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6E4E9" w14:textId="77777777" w:rsidR="00892A4F" w:rsidRDefault="001673F4" w:rsidP="003910D2">
      <w:pPr>
        <w:rPr>
          <w:noProof/>
          <w:lang w:eastAsia="es-MX"/>
        </w:rPr>
      </w:pPr>
      <w:r>
        <w:rPr>
          <w:noProof/>
          <w:lang w:eastAsia="es-MX"/>
        </w:rPr>
        <w:drawing>
          <wp:anchor distT="0" distB="0" distL="114300" distR="114300" simplePos="0" relativeHeight="251629568" behindDoc="1" locked="0" layoutInCell="1" allowOverlap="1" wp14:anchorId="350FB485" wp14:editId="368D1454">
            <wp:simplePos x="0" y="0"/>
            <wp:positionH relativeFrom="column">
              <wp:posOffset>1704975</wp:posOffset>
            </wp:positionH>
            <wp:positionV relativeFrom="paragraph">
              <wp:posOffset>133350</wp:posOffset>
            </wp:positionV>
            <wp:extent cx="2268220" cy="1172845"/>
            <wp:effectExtent l="0" t="0" r="0" b="8255"/>
            <wp:wrapTight wrapText="bothSides">
              <wp:wrapPolygon edited="0">
                <wp:start x="10340" y="0"/>
                <wp:lineTo x="0" y="3158"/>
                <wp:lineTo x="0" y="5964"/>
                <wp:lineTo x="1270" y="11227"/>
                <wp:lineTo x="907" y="18594"/>
                <wp:lineTo x="7075" y="21401"/>
                <wp:lineTo x="10522" y="21401"/>
                <wp:lineTo x="11610" y="21401"/>
                <wp:lineTo x="15601" y="21401"/>
                <wp:lineTo x="21225" y="18594"/>
                <wp:lineTo x="21406" y="13332"/>
                <wp:lineTo x="21406" y="3508"/>
                <wp:lineTo x="19411" y="2456"/>
                <wp:lineTo x="11610" y="0"/>
                <wp:lineTo x="10340" y="0"/>
              </wp:wrapPolygon>
            </wp:wrapTight>
            <wp:docPr id="5" name="Picture 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logo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68220" cy="1172845"/>
                    </a:xfrm>
                    <a:prstGeom prst="rect">
                      <a:avLst/>
                    </a:prstGeom>
                    <a:noFill/>
                    <a:ln w="9525">
                      <a:noFill/>
                      <a:miter lim="800000"/>
                      <a:headEnd/>
                      <a:tailEnd/>
                    </a:ln>
                  </pic:spPr>
                </pic:pic>
              </a:graphicData>
            </a:graphic>
          </wp:anchor>
        </w:drawing>
      </w:r>
      <w:r w:rsidR="00F37EB1">
        <w:rPr>
          <w:noProof/>
          <w:lang w:eastAsia="es-MX"/>
        </w:rPr>
        <w:t xml:space="preserve"> </w:t>
      </w:r>
    </w:p>
    <w:p w14:paraId="18A89258" w14:textId="77777777" w:rsidR="00F37EB1" w:rsidRDefault="00F37EB1" w:rsidP="003910D2">
      <w:pPr>
        <w:rPr>
          <w:noProof/>
          <w:lang w:eastAsia="es-MX"/>
        </w:rPr>
      </w:pPr>
    </w:p>
    <w:p w14:paraId="1602E954" w14:textId="77777777" w:rsidR="00F37EB1" w:rsidRDefault="00F37EB1" w:rsidP="003910D2">
      <w:pPr>
        <w:rPr>
          <w:noProof/>
          <w:lang w:eastAsia="es-MX"/>
        </w:rPr>
      </w:pPr>
    </w:p>
    <w:p w14:paraId="08BDE734" w14:textId="77777777" w:rsidR="00F37EB1" w:rsidRDefault="00F37EB1" w:rsidP="003910D2">
      <w:pPr>
        <w:rPr>
          <w:noProof/>
          <w:lang w:eastAsia="es-MX"/>
        </w:rPr>
      </w:pPr>
    </w:p>
    <w:p w14:paraId="785B6564" w14:textId="77777777" w:rsidR="00F37EB1" w:rsidRDefault="00F37EB1" w:rsidP="003910D2">
      <w:pPr>
        <w:pStyle w:val="Ttulo1"/>
        <w:rPr>
          <w:noProof/>
          <w:lang w:eastAsia="es-MX"/>
        </w:rPr>
      </w:pPr>
    </w:p>
    <w:p w14:paraId="654DB3AC" w14:textId="77777777" w:rsidR="001673F4" w:rsidRPr="001673F4" w:rsidRDefault="001673F4" w:rsidP="001673F4">
      <w:pPr>
        <w:rPr>
          <w:lang w:eastAsia="es-MX"/>
        </w:rPr>
      </w:pPr>
    </w:p>
    <w:p w14:paraId="70F2C18C" w14:textId="77777777" w:rsidR="00F37EB1" w:rsidRDefault="00F04315" w:rsidP="003910D2">
      <w:pPr>
        <w:rPr>
          <w:noProof/>
          <w:lang w:eastAsia="es-MX"/>
        </w:rPr>
      </w:pPr>
      <w:r w:rsidRPr="00631A4F">
        <w:rPr>
          <w:noProof/>
          <w:lang w:eastAsia="es-MX"/>
        </w:rPr>
        <mc:AlternateContent>
          <mc:Choice Requires="wps">
            <w:drawing>
              <wp:anchor distT="0" distB="0" distL="114298" distR="114298" simplePos="0" relativeHeight="251734016" behindDoc="0" locked="0" layoutInCell="1" allowOverlap="1" wp14:anchorId="5D51B554" wp14:editId="22A6370D">
                <wp:simplePos x="0" y="0"/>
                <wp:positionH relativeFrom="column">
                  <wp:posOffset>2578100</wp:posOffset>
                </wp:positionH>
                <wp:positionV relativeFrom="paragraph">
                  <wp:posOffset>297815</wp:posOffset>
                </wp:positionV>
                <wp:extent cx="0" cy="1339215"/>
                <wp:effectExtent l="19050" t="0" r="19050" b="13335"/>
                <wp:wrapNone/>
                <wp:docPr id="43"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9215"/>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AABFAA" id="2 Conector recto" o:spid="_x0000_s1026" style="position:absolute;z-index:25173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3pt,23.45pt" to="203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" strokecolor="#a5a5a5 [2092]" strokeweight="3pt">
                <o:lock v:ext="edit" shapetype="f"/>
              </v:line>
            </w:pict>
          </mc:Fallback>
        </mc:AlternateContent>
      </w:r>
      <w:r w:rsidR="00B90A50">
        <w:rPr>
          <w:noProof/>
          <w:color w:val="4F81BD" w:themeColor="accent1"/>
          <w:sz w:val="200"/>
          <w:szCs w:val="200"/>
          <w:lang w:eastAsia="es-MX"/>
        </w:rPr>
        <mc:AlternateContent>
          <mc:Choice Requires="wps">
            <w:drawing>
              <wp:anchor distT="0" distB="0" distL="114300" distR="114300" simplePos="0" relativeHeight="251737088" behindDoc="0" locked="0" layoutInCell="1" allowOverlap="1" wp14:anchorId="5D9AB7E6" wp14:editId="138DEC04">
                <wp:simplePos x="0" y="0"/>
                <wp:positionH relativeFrom="column">
                  <wp:posOffset>2570480</wp:posOffset>
                </wp:positionH>
                <wp:positionV relativeFrom="paragraph">
                  <wp:posOffset>178435</wp:posOffset>
                </wp:positionV>
                <wp:extent cx="2998470" cy="1414145"/>
                <wp:effectExtent l="0" t="0" r="0" b="0"/>
                <wp:wrapNone/>
                <wp:docPr id="40"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8470" cy="1414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2431F" w14:textId="77777777" w:rsidR="001673F4" w:rsidRPr="008B2FEA" w:rsidRDefault="001673F4" w:rsidP="00B90A50">
                            <w:pPr>
                              <w:rPr>
                                <w:rFonts w:ascii="Candara" w:hAnsi="Candara"/>
                                <w:b/>
                                <w:color w:val="0E4E7A"/>
                                <w:sz w:val="44"/>
                              </w:rPr>
                            </w:pPr>
                            <w:r w:rsidRPr="008B2FEA">
                              <w:rPr>
                                <w:rFonts w:ascii="Candara" w:hAnsi="Candara"/>
                                <w:b/>
                                <w:color w:val="0E4E7A"/>
                                <w:sz w:val="44"/>
                              </w:rPr>
                              <w:t>Evaluación de Consistencia y Resultados</w:t>
                            </w:r>
                            <w:r>
                              <w:rPr>
                                <w:rFonts w:ascii="Candara" w:hAnsi="Candara"/>
                                <w:b/>
                                <w:color w:val="0E4E7A"/>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9AB7E6" id="_x0000_t202" coordsize="21600,21600" o:spt="202" path="m,l,21600r21600,l21600,xe">
                <v:stroke joinstyle="miter"/>
                <v:path gradientshapeok="t" o:connecttype="rect"/>
              </v:shapetype>
              <v:shape id="6 Cuadro de texto" o:spid="_x0000_s1026" type="#_x0000_t202" style="position:absolute;margin-left:202.4pt;margin-top:14.05pt;width:236.1pt;height:11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" fillcolor="white [3201]" stroked="f" strokeweight=".5pt">
                <v:path arrowok="t"/>
                <v:textbox>
                  <w:txbxContent>
                    <w:p w14:paraId="49B2431F" w14:textId="77777777" w:rsidR="001673F4" w:rsidRPr="008B2FEA" w:rsidRDefault="001673F4" w:rsidP="00B90A50">
                      <w:pPr>
                        <w:rPr>
                          <w:rFonts w:ascii="Candara" w:hAnsi="Candara"/>
                          <w:b/>
                          <w:color w:val="0E4E7A"/>
                          <w:sz w:val="44"/>
                        </w:rPr>
                      </w:pPr>
                      <w:r w:rsidRPr="008B2FEA">
                        <w:rPr>
                          <w:rFonts w:ascii="Candara" w:hAnsi="Candara"/>
                          <w:b/>
                          <w:color w:val="0E4E7A"/>
                          <w:sz w:val="44"/>
                        </w:rPr>
                        <w:t>Evaluación de Consistencia y Resultados</w:t>
                      </w:r>
                      <w:r>
                        <w:rPr>
                          <w:rFonts w:ascii="Candara" w:hAnsi="Candara"/>
                          <w:b/>
                          <w:color w:val="0E4E7A"/>
                          <w:sz w:val="44"/>
                        </w:rPr>
                        <w:t xml:space="preserve"> </w:t>
                      </w:r>
                    </w:p>
                  </w:txbxContent>
                </v:textbox>
              </v:shape>
            </w:pict>
          </mc:Fallback>
        </mc:AlternateContent>
      </w:r>
    </w:p>
    <w:p w14:paraId="2BF7FF90" w14:textId="77777777" w:rsidR="00F37EB1" w:rsidRDefault="001A4B58" w:rsidP="003910D2">
      <w:pPr>
        <w:rPr>
          <w:noProof/>
          <w:lang w:eastAsia="es-MX"/>
        </w:rPr>
      </w:pPr>
      <w:r>
        <w:rPr>
          <w:noProof/>
          <w:lang w:eastAsia="es-MX"/>
        </w:rPr>
        <w:drawing>
          <wp:anchor distT="0" distB="0" distL="114300" distR="114300" simplePos="0" relativeHeight="251731968" behindDoc="1" locked="0" layoutInCell="1" allowOverlap="1" wp14:anchorId="46A419CA" wp14:editId="207E2709">
            <wp:simplePos x="0" y="0"/>
            <wp:positionH relativeFrom="column">
              <wp:posOffset>262255</wp:posOffset>
            </wp:positionH>
            <wp:positionV relativeFrom="paragraph">
              <wp:posOffset>154940</wp:posOffset>
            </wp:positionV>
            <wp:extent cx="2300605" cy="1020445"/>
            <wp:effectExtent l="0" t="0" r="4445" b="8255"/>
            <wp:wrapTight wrapText="bothSides">
              <wp:wrapPolygon edited="0">
                <wp:start x="0" y="0"/>
                <wp:lineTo x="0" y="21371"/>
                <wp:lineTo x="21463" y="21371"/>
                <wp:lineTo x="2146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BEBA8EAE-BF5A-486C-A8C5-ECC9F3942E4B}">
                          <a14:imgProps xmlns:a14="http://schemas.microsoft.com/office/drawing/2010/main">
                            <a14:imgLayer r:embed="rId10">
                              <a14:imgEffect>
                                <a14:backgroundRemoval t="17839" b="61589" l="8492" r="86457">
                                  <a14:foregroundMark x1="22767" y1="26432" x2="22108" y2="30339"/>
                                  <a14:foregroundMark x1="27160" y1="26172" x2="27086" y2="32292"/>
                                  <a14:foregroundMark x1="53587" y1="43099" x2="53587" y2="43099"/>
                                  <a14:foregroundMark x1="86457" y1="61589" x2="86457" y2="61589"/>
                                  <a14:foregroundMark x1="86457" y1="61589" x2="86457" y2="61589"/>
                                </a14:backgroundRemoval>
                              </a14:imgEffect>
                            </a14:imgLayer>
                          </a14:imgProps>
                        </a:ext>
                        <a:ext uri="{28A0092B-C50C-407E-A947-70E740481C1C}">
                          <a14:useLocalDpi xmlns:a14="http://schemas.microsoft.com/office/drawing/2010/main" val="0"/>
                        </a:ext>
                      </a:extLst>
                    </a:blip>
                    <a:srcRect l="15623" t="23679" r="68753" b="63992"/>
                    <a:stretch/>
                  </pic:blipFill>
                  <pic:spPr bwMode="auto">
                    <a:xfrm>
                      <a:off x="0" y="0"/>
                      <a:ext cx="2300605" cy="1020445"/>
                    </a:xfrm>
                    <a:prstGeom prst="rect">
                      <a:avLst/>
                    </a:prstGeom>
                    <a:ln>
                      <a:noFill/>
                    </a:ln>
                    <a:extLst>
                      <a:ext uri="{53640926-AAD7-44D8-BBD7-CCE9431645EC}">
                        <a14:shadowObscured xmlns:a14="http://schemas.microsoft.com/office/drawing/2010/main"/>
                      </a:ext>
                    </a:extLst>
                  </pic:spPr>
                </pic:pic>
              </a:graphicData>
            </a:graphic>
          </wp:anchor>
        </w:drawing>
      </w:r>
    </w:p>
    <w:p w14:paraId="6413F9C6" w14:textId="77777777" w:rsidR="00F37EB1" w:rsidRDefault="00F37EB1" w:rsidP="003910D2">
      <w:pPr>
        <w:rPr>
          <w:noProof/>
          <w:lang w:eastAsia="es-MX"/>
        </w:rPr>
      </w:pPr>
    </w:p>
    <w:p w14:paraId="6D61FF30" w14:textId="77777777" w:rsidR="008829F8" w:rsidRDefault="008829F8" w:rsidP="003910D2">
      <w:pPr>
        <w:rPr>
          <w:noProof/>
          <w:lang w:eastAsia="es-MX"/>
        </w:rPr>
      </w:pPr>
    </w:p>
    <w:p w14:paraId="6387C19B" w14:textId="77777777" w:rsidR="008829F8" w:rsidRDefault="008829F8" w:rsidP="003910D2">
      <w:pPr>
        <w:rPr>
          <w:noProof/>
          <w:lang w:eastAsia="es-MX"/>
        </w:rPr>
      </w:pPr>
    </w:p>
    <w:p w14:paraId="6A1B4A2C" w14:textId="77777777" w:rsidR="00F37EB1" w:rsidRDefault="00F04315" w:rsidP="003910D2">
      <w:pPr>
        <w:rPr>
          <w:noProof/>
          <w:lang w:eastAsia="es-MX"/>
        </w:rPr>
      </w:pPr>
      <w:r w:rsidRPr="00631A4F">
        <w:rPr>
          <w:noProof/>
          <w:lang w:eastAsia="es-MX"/>
        </w:rPr>
        <mc:AlternateContent>
          <mc:Choice Requires="wps">
            <w:drawing>
              <wp:anchor distT="0" distB="0" distL="114300" distR="114300" simplePos="0" relativeHeight="251735040" behindDoc="0" locked="0" layoutInCell="1" allowOverlap="1" wp14:anchorId="22AC5724" wp14:editId="4897D5DF">
                <wp:simplePos x="0" y="0"/>
                <wp:positionH relativeFrom="column">
                  <wp:posOffset>168275</wp:posOffset>
                </wp:positionH>
                <wp:positionV relativeFrom="paragraph">
                  <wp:posOffset>40005</wp:posOffset>
                </wp:positionV>
                <wp:extent cx="4869180" cy="1270"/>
                <wp:effectExtent l="19050" t="76200" r="102870" b="7493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69180" cy="1270"/>
                        </a:xfrm>
                        <a:prstGeom prst="line">
                          <a:avLst/>
                        </a:prstGeom>
                        <a:ln w="38100">
                          <a:solidFill>
                            <a:schemeClr val="bg1">
                              <a:lumMod val="65000"/>
                            </a:schemeClr>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7C7DE" id="3 Conector recto"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3.15pt" to="396.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" strokecolor="#a5a5a5 [2092]" strokeweight="3pt">
                <v:shadow on="t" color="black" opacity="26214f" origin="-.5" offset="3pt,0"/>
                <o:lock v:ext="edit" shapetype="f"/>
              </v:line>
            </w:pict>
          </mc:Fallback>
        </mc:AlternateContent>
      </w:r>
    </w:p>
    <w:p w14:paraId="33F96548" w14:textId="77777777" w:rsidR="00F37EB1" w:rsidRDefault="00F37EB1" w:rsidP="003910D2">
      <w:pPr>
        <w:rPr>
          <w:noProof/>
          <w:lang w:eastAsia="es-MX"/>
        </w:rPr>
      </w:pPr>
    </w:p>
    <w:p w14:paraId="01AF5932" w14:textId="77777777" w:rsidR="008829F8" w:rsidRPr="001673F4" w:rsidRDefault="00711A92" w:rsidP="00711A92">
      <w:pPr>
        <w:jc w:val="center"/>
        <w:rPr>
          <w:rFonts w:ascii="Candara" w:hAnsi="Candara"/>
          <w:b/>
          <w:color w:val="0E4E7A"/>
          <w:sz w:val="44"/>
        </w:rPr>
      </w:pPr>
      <w:r w:rsidRPr="001673F4">
        <w:rPr>
          <w:rFonts w:ascii="Candara" w:hAnsi="Candara"/>
          <w:b/>
          <w:color w:val="0E4E7A"/>
          <w:sz w:val="44"/>
        </w:rPr>
        <w:t>F</w:t>
      </w:r>
      <w:r w:rsidR="008829F8" w:rsidRPr="001673F4">
        <w:rPr>
          <w:rFonts w:ascii="Candara" w:hAnsi="Candara"/>
          <w:b/>
          <w:color w:val="0E4E7A"/>
          <w:sz w:val="44"/>
        </w:rPr>
        <w:t xml:space="preserve">ondo: </w:t>
      </w:r>
      <w:r w:rsidRPr="001673F4">
        <w:rPr>
          <w:rFonts w:ascii="Candara" w:hAnsi="Candara"/>
          <w:b/>
          <w:color w:val="0E4E7A"/>
          <w:sz w:val="44"/>
        </w:rPr>
        <w:t xml:space="preserve">Fondo para el Fortalecimiento de las </w:t>
      </w:r>
      <w:r w:rsidR="008829F8" w:rsidRPr="001673F4">
        <w:rPr>
          <w:rFonts w:ascii="Candara" w:hAnsi="Candara"/>
          <w:b/>
          <w:color w:val="0E4E7A"/>
          <w:sz w:val="44"/>
        </w:rPr>
        <w:t>Entidades Federativas (FAFEF)</w:t>
      </w:r>
    </w:p>
    <w:p w14:paraId="3EFD8511" w14:textId="77777777" w:rsidR="008829F8" w:rsidRPr="001673F4" w:rsidRDefault="008829F8" w:rsidP="00711A92">
      <w:pPr>
        <w:jc w:val="center"/>
        <w:rPr>
          <w:rFonts w:ascii="Candara" w:hAnsi="Candara"/>
          <w:b/>
          <w:color w:val="0E4E7A"/>
          <w:sz w:val="44"/>
        </w:rPr>
      </w:pPr>
      <w:r w:rsidRPr="001673F4">
        <w:rPr>
          <w:rFonts w:ascii="Candara" w:hAnsi="Candara"/>
          <w:b/>
          <w:color w:val="0E4E7A"/>
          <w:sz w:val="44"/>
        </w:rPr>
        <w:t>P</w:t>
      </w:r>
      <w:r w:rsidR="00711A92" w:rsidRPr="001673F4">
        <w:rPr>
          <w:rFonts w:ascii="Candara" w:hAnsi="Candara"/>
          <w:b/>
          <w:color w:val="0E4E7A"/>
          <w:sz w:val="44"/>
        </w:rPr>
        <w:t>rograma presupuestario: I</w:t>
      </w:r>
      <w:r w:rsidRPr="001673F4">
        <w:rPr>
          <w:rFonts w:ascii="Candara" w:hAnsi="Candara"/>
          <w:b/>
          <w:color w:val="0E4E7A"/>
          <w:sz w:val="44"/>
        </w:rPr>
        <w:t>nfraestructura no Habitacional</w:t>
      </w:r>
    </w:p>
    <w:p w14:paraId="1EE6B5F8" w14:textId="77777777" w:rsidR="00711A92" w:rsidRPr="001673F4" w:rsidRDefault="008829F8" w:rsidP="00711A92">
      <w:pPr>
        <w:jc w:val="center"/>
        <w:rPr>
          <w:rFonts w:ascii="Candara" w:hAnsi="Candara"/>
          <w:b/>
          <w:color w:val="0E4E7A"/>
          <w:sz w:val="44"/>
        </w:rPr>
      </w:pPr>
      <w:r w:rsidRPr="001673F4">
        <w:rPr>
          <w:rFonts w:ascii="Candara" w:hAnsi="Candara"/>
          <w:b/>
          <w:color w:val="0E4E7A"/>
          <w:sz w:val="44"/>
        </w:rPr>
        <w:t>E</w:t>
      </w:r>
      <w:r w:rsidR="00711A92" w:rsidRPr="001673F4">
        <w:rPr>
          <w:rFonts w:ascii="Candara" w:hAnsi="Candara"/>
          <w:b/>
          <w:color w:val="0E4E7A"/>
          <w:sz w:val="44"/>
        </w:rPr>
        <w:t>jercicio fiscal 2017</w:t>
      </w:r>
    </w:p>
    <w:p w14:paraId="13DFBEF1" w14:textId="77777777" w:rsidR="00F37EB1" w:rsidRDefault="00F37EB1" w:rsidP="003910D2">
      <w:pPr>
        <w:rPr>
          <w:noProof/>
          <w:lang w:eastAsia="es-MX"/>
        </w:rPr>
      </w:pPr>
    </w:p>
    <w:p w14:paraId="09ACE0D9" w14:textId="77777777" w:rsidR="00B46F01" w:rsidRDefault="00B46F01" w:rsidP="003910D2">
      <w:pPr>
        <w:rPr>
          <w:noProof/>
          <w:lang w:eastAsia="es-MX"/>
        </w:rPr>
      </w:pPr>
    </w:p>
    <w:p w14:paraId="483A8846" w14:textId="77777777" w:rsidR="00822BC1" w:rsidRDefault="00822BC1" w:rsidP="003910D2">
      <w:pPr>
        <w:rPr>
          <w:noProof/>
          <w:lang w:eastAsia="es-MX"/>
        </w:rPr>
      </w:pPr>
    </w:p>
    <w:p w14:paraId="088ABC0D" w14:textId="77777777" w:rsidR="00822BC1" w:rsidRDefault="00822BC1" w:rsidP="003910D2">
      <w:pPr>
        <w:rPr>
          <w:noProof/>
          <w:lang w:eastAsia="es-MX"/>
        </w:rPr>
      </w:pPr>
    </w:p>
    <w:p w14:paraId="4D5CF14C" w14:textId="77777777" w:rsidR="00711A92" w:rsidRDefault="00711A92">
      <w:pPr>
        <w:rPr>
          <w:noProof/>
          <w:lang w:eastAsia="es-MX"/>
        </w:rPr>
      </w:pPr>
      <w:r>
        <w:rPr>
          <w:noProof/>
          <w:lang w:eastAsia="es-MX"/>
        </w:rPr>
        <w:br w:type="page"/>
      </w:r>
    </w:p>
    <w:p w14:paraId="01A1E1C1" w14:textId="77777777" w:rsidR="00822BC1" w:rsidRDefault="00822BC1" w:rsidP="003910D2">
      <w:pPr>
        <w:rPr>
          <w:noProof/>
          <w:lang w:eastAsia="es-MX"/>
        </w:rPr>
      </w:pPr>
    </w:p>
    <w:p w14:paraId="3A5E673B" w14:textId="77777777" w:rsidR="00711A92" w:rsidRDefault="00711A92" w:rsidP="003910D2">
      <w:pPr>
        <w:rPr>
          <w:noProof/>
          <w:lang w:eastAsia="es-MX"/>
        </w:rPr>
      </w:pPr>
    </w:p>
    <w:p w14:paraId="011D1A58" w14:textId="77777777" w:rsidR="00822BC1" w:rsidRPr="00822BC1" w:rsidRDefault="00822BC1" w:rsidP="003910D2">
      <w:pPr>
        <w:rPr>
          <w:noProof/>
          <w:sz w:val="20"/>
          <w:szCs w:val="20"/>
          <w:lang w:eastAsia="es-MX"/>
        </w:rPr>
      </w:pPr>
      <w:bookmarkStart w:id="0" w:name="_GoBack"/>
      <w:bookmarkEnd w:id="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C15BEB" w:rsidRPr="00822BC1" w14:paraId="0D73A5E4" w14:textId="77777777" w:rsidTr="002C4E9A">
        <w:trPr>
          <w:trHeight w:val="259"/>
        </w:trPr>
        <w:tc>
          <w:tcPr>
            <w:tcW w:w="8978" w:type="dxa"/>
          </w:tcPr>
          <w:p w14:paraId="548856B8" w14:textId="77777777" w:rsidR="00C15BEB" w:rsidRPr="00822BC1" w:rsidRDefault="00C15BEB" w:rsidP="00DF2603">
            <w:pPr>
              <w:rPr>
                <w:rFonts w:ascii="Century Gothic" w:hAnsi="Century Gothic"/>
                <w:b/>
                <w:sz w:val="20"/>
                <w:szCs w:val="20"/>
              </w:rPr>
            </w:pPr>
            <w:r w:rsidRPr="00822BC1">
              <w:rPr>
                <w:rFonts w:ascii="Century Gothic" w:hAnsi="Century Gothic"/>
                <w:b/>
                <w:sz w:val="20"/>
                <w:szCs w:val="20"/>
              </w:rPr>
              <w:t xml:space="preserve">Nombre de la evaluación: </w:t>
            </w:r>
          </w:p>
        </w:tc>
      </w:tr>
      <w:tr w:rsidR="00C15BEB" w:rsidRPr="00822BC1" w14:paraId="6E06854F" w14:textId="77777777" w:rsidTr="00822BC1">
        <w:tc>
          <w:tcPr>
            <w:tcW w:w="8978" w:type="dxa"/>
          </w:tcPr>
          <w:p w14:paraId="28AFE0FD" w14:textId="77777777" w:rsidR="00822BC1" w:rsidRDefault="008F433B" w:rsidP="003910D2">
            <w:pPr>
              <w:jc w:val="both"/>
              <w:rPr>
                <w:rFonts w:ascii="Century Gothic" w:hAnsi="Century Gothic"/>
                <w:sz w:val="20"/>
                <w:szCs w:val="20"/>
              </w:rPr>
            </w:pPr>
            <w:r w:rsidRPr="008F433B">
              <w:rPr>
                <w:rFonts w:ascii="Century Gothic" w:hAnsi="Century Gothic"/>
                <w:sz w:val="20"/>
                <w:szCs w:val="20"/>
              </w:rPr>
              <w:t>Evaluación de Consistencia y Resultados, al “Fondo para el Fortalecimiento de las Entidades Federativas (FAFEF).” a través del programa presupuestario: Infraestructura no Habitacional, para el ejercicio fiscal 2017</w:t>
            </w:r>
          </w:p>
          <w:p w14:paraId="7E57167C" w14:textId="77777777" w:rsidR="008F433B" w:rsidRPr="00822BC1" w:rsidRDefault="008F433B" w:rsidP="003910D2">
            <w:pPr>
              <w:jc w:val="both"/>
              <w:rPr>
                <w:rFonts w:ascii="Century Gothic" w:hAnsi="Century Gothic"/>
                <w:b/>
                <w:sz w:val="20"/>
                <w:szCs w:val="20"/>
              </w:rPr>
            </w:pPr>
          </w:p>
        </w:tc>
      </w:tr>
      <w:tr w:rsidR="00C15BEB" w:rsidRPr="00822BC1" w14:paraId="05EF1FE7" w14:textId="77777777" w:rsidTr="002C4E9A">
        <w:trPr>
          <w:trHeight w:val="525"/>
        </w:trPr>
        <w:tc>
          <w:tcPr>
            <w:tcW w:w="8978" w:type="dxa"/>
          </w:tcPr>
          <w:p w14:paraId="0B35280E" w14:textId="77777777" w:rsidR="00C15BEB" w:rsidRDefault="00C15BEB" w:rsidP="00DF2603">
            <w:pPr>
              <w:jc w:val="both"/>
              <w:rPr>
                <w:rFonts w:ascii="Century Gothic" w:hAnsi="Century Gothic"/>
                <w:sz w:val="20"/>
                <w:szCs w:val="20"/>
              </w:rPr>
            </w:pPr>
            <w:r w:rsidRPr="00822BC1">
              <w:rPr>
                <w:rFonts w:ascii="Century Gothic" w:hAnsi="Century Gothic"/>
                <w:b/>
                <w:sz w:val="20"/>
                <w:szCs w:val="20"/>
              </w:rPr>
              <w:t>Fecha de inicio de la evaluación:</w:t>
            </w:r>
            <w:r w:rsidRPr="00822BC1">
              <w:rPr>
                <w:rFonts w:ascii="Century Gothic" w:hAnsi="Century Gothic"/>
                <w:sz w:val="20"/>
                <w:szCs w:val="20"/>
              </w:rPr>
              <w:t xml:space="preserve"> </w:t>
            </w:r>
          </w:p>
          <w:p w14:paraId="114E5A69" w14:textId="77777777" w:rsidR="00822BC1" w:rsidRPr="00822BC1" w:rsidRDefault="00140F9A" w:rsidP="001B63D3">
            <w:pPr>
              <w:rPr>
                <w:rFonts w:ascii="Century Gothic" w:hAnsi="Century Gothic"/>
                <w:b/>
                <w:sz w:val="20"/>
                <w:szCs w:val="20"/>
              </w:rPr>
            </w:pPr>
            <w:r w:rsidRPr="00140F9A">
              <w:rPr>
                <w:rFonts w:ascii="Century Gothic" w:hAnsi="Century Gothic"/>
                <w:sz w:val="20"/>
                <w:szCs w:val="20"/>
              </w:rPr>
              <w:t xml:space="preserve">4 de </w:t>
            </w:r>
            <w:r w:rsidR="00DC53A8" w:rsidRPr="00140F9A">
              <w:rPr>
                <w:rFonts w:ascii="Century Gothic" w:hAnsi="Century Gothic"/>
                <w:sz w:val="20"/>
                <w:szCs w:val="20"/>
              </w:rPr>
              <w:t>Diciembre de 2017</w:t>
            </w:r>
          </w:p>
        </w:tc>
      </w:tr>
      <w:tr w:rsidR="00C15BEB" w:rsidRPr="00822BC1" w14:paraId="52B5D23A" w14:textId="77777777" w:rsidTr="00822BC1">
        <w:tc>
          <w:tcPr>
            <w:tcW w:w="8978" w:type="dxa"/>
          </w:tcPr>
          <w:p w14:paraId="41A78569" w14:textId="77777777" w:rsidR="00C15BEB" w:rsidRPr="00822BC1" w:rsidRDefault="00C15BEB" w:rsidP="003910D2">
            <w:pPr>
              <w:jc w:val="both"/>
              <w:rPr>
                <w:rFonts w:ascii="Century Gothic" w:hAnsi="Century Gothic"/>
                <w:b/>
                <w:sz w:val="20"/>
                <w:szCs w:val="20"/>
              </w:rPr>
            </w:pPr>
          </w:p>
        </w:tc>
      </w:tr>
      <w:tr w:rsidR="00C15BEB" w:rsidRPr="00822BC1" w14:paraId="3050D65B" w14:textId="77777777" w:rsidTr="00822BC1">
        <w:tc>
          <w:tcPr>
            <w:tcW w:w="8978" w:type="dxa"/>
          </w:tcPr>
          <w:p w14:paraId="244EE70B" w14:textId="77777777" w:rsidR="00C15BEB" w:rsidRDefault="00C15BEB" w:rsidP="003910D2">
            <w:pPr>
              <w:jc w:val="both"/>
              <w:rPr>
                <w:rFonts w:ascii="Century Gothic" w:hAnsi="Century Gothic"/>
                <w:b/>
                <w:sz w:val="20"/>
                <w:szCs w:val="20"/>
              </w:rPr>
            </w:pPr>
            <w:r w:rsidRPr="00822BC1">
              <w:rPr>
                <w:rFonts w:ascii="Century Gothic" w:hAnsi="Century Gothic"/>
                <w:b/>
                <w:sz w:val="20"/>
                <w:szCs w:val="20"/>
              </w:rPr>
              <w:t xml:space="preserve">Fecha de término de la evaluación: </w:t>
            </w:r>
          </w:p>
          <w:p w14:paraId="02026106" w14:textId="77777777" w:rsidR="00822BC1" w:rsidRPr="00822BC1" w:rsidRDefault="003C6984" w:rsidP="003910D2">
            <w:pPr>
              <w:jc w:val="both"/>
              <w:rPr>
                <w:rFonts w:ascii="Century Gothic" w:hAnsi="Century Gothic"/>
                <w:b/>
                <w:sz w:val="20"/>
                <w:szCs w:val="20"/>
              </w:rPr>
            </w:pPr>
            <w:r>
              <w:rPr>
                <w:rFonts w:ascii="Century Gothic" w:hAnsi="Century Gothic"/>
                <w:sz w:val="20"/>
                <w:szCs w:val="20"/>
              </w:rPr>
              <w:t xml:space="preserve">19 de abril </w:t>
            </w:r>
            <w:r w:rsidR="00BF1FB8">
              <w:rPr>
                <w:rFonts w:ascii="Century Gothic" w:hAnsi="Century Gothic"/>
                <w:sz w:val="20"/>
                <w:szCs w:val="20"/>
              </w:rPr>
              <w:t xml:space="preserve">de </w:t>
            </w:r>
            <w:r w:rsidR="00DC53A8">
              <w:rPr>
                <w:rFonts w:ascii="Century Gothic" w:hAnsi="Century Gothic"/>
                <w:sz w:val="20"/>
                <w:szCs w:val="20"/>
              </w:rPr>
              <w:t>2018</w:t>
            </w:r>
          </w:p>
        </w:tc>
      </w:tr>
      <w:tr w:rsidR="00C15BEB" w:rsidRPr="00822BC1" w14:paraId="2A058E39" w14:textId="77777777" w:rsidTr="00822BC1">
        <w:tc>
          <w:tcPr>
            <w:tcW w:w="8978" w:type="dxa"/>
          </w:tcPr>
          <w:p w14:paraId="283C3D39" w14:textId="77777777" w:rsidR="00C15BEB" w:rsidRPr="00822BC1" w:rsidRDefault="00C15BEB" w:rsidP="003910D2">
            <w:pPr>
              <w:jc w:val="both"/>
              <w:rPr>
                <w:rFonts w:ascii="Century Gothic" w:hAnsi="Century Gothic"/>
                <w:b/>
                <w:sz w:val="20"/>
                <w:szCs w:val="20"/>
              </w:rPr>
            </w:pPr>
          </w:p>
        </w:tc>
      </w:tr>
      <w:tr w:rsidR="00C15BEB" w:rsidRPr="00822BC1" w14:paraId="259EC4D0" w14:textId="77777777" w:rsidTr="00822BC1">
        <w:tc>
          <w:tcPr>
            <w:tcW w:w="8978" w:type="dxa"/>
          </w:tcPr>
          <w:p w14:paraId="322DE45E" w14:textId="77777777" w:rsidR="00C15BEB" w:rsidRPr="00822BC1" w:rsidRDefault="00DF2603" w:rsidP="003910D2">
            <w:pPr>
              <w:jc w:val="both"/>
              <w:rPr>
                <w:rFonts w:ascii="Century Gothic" w:hAnsi="Century Gothic"/>
                <w:b/>
                <w:sz w:val="20"/>
                <w:szCs w:val="20"/>
              </w:rPr>
            </w:pPr>
            <w:r w:rsidRPr="00822BC1">
              <w:rPr>
                <w:rFonts w:ascii="Century Gothic" w:hAnsi="Century Gothic"/>
                <w:b/>
                <w:sz w:val="20"/>
                <w:szCs w:val="20"/>
              </w:rPr>
              <w:t>Unidad Administrativa responsable de dar seguimiento a la evaluación</w:t>
            </w:r>
            <w:r w:rsidR="00C15BEB" w:rsidRPr="00822BC1">
              <w:rPr>
                <w:rFonts w:ascii="Century Gothic" w:hAnsi="Century Gothic"/>
                <w:b/>
                <w:sz w:val="20"/>
                <w:szCs w:val="20"/>
              </w:rPr>
              <w:t xml:space="preserve">: </w:t>
            </w:r>
          </w:p>
        </w:tc>
      </w:tr>
      <w:tr w:rsidR="00C15BEB" w:rsidRPr="00822BC1" w14:paraId="253329C6" w14:textId="77777777" w:rsidTr="00822BC1">
        <w:tc>
          <w:tcPr>
            <w:tcW w:w="8978" w:type="dxa"/>
          </w:tcPr>
          <w:p w14:paraId="56F13129" w14:textId="77777777" w:rsidR="00822BC1" w:rsidRDefault="002871EF" w:rsidP="002871EF">
            <w:pPr>
              <w:jc w:val="both"/>
              <w:rPr>
                <w:rFonts w:ascii="Century Gothic" w:hAnsi="Century Gothic"/>
                <w:sz w:val="20"/>
                <w:szCs w:val="20"/>
              </w:rPr>
            </w:pPr>
            <w:r w:rsidRPr="002871EF">
              <w:rPr>
                <w:rFonts w:ascii="Century Gothic" w:hAnsi="Century Gothic"/>
                <w:sz w:val="20"/>
                <w:szCs w:val="20"/>
              </w:rPr>
              <w:t>Secretaría de Planeación y Finanzas</w:t>
            </w:r>
            <w:r w:rsidR="00FF579E">
              <w:rPr>
                <w:rFonts w:ascii="Century Gothic" w:hAnsi="Century Gothic"/>
                <w:sz w:val="20"/>
                <w:szCs w:val="20"/>
              </w:rPr>
              <w:t xml:space="preserve">, </w:t>
            </w:r>
            <w:r w:rsidRPr="002871EF">
              <w:rPr>
                <w:rFonts w:ascii="Century Gothic" w:hAnsi="Century Gothic"/>
                <w:sz w:val="20"/>
                <w:szCs w:val="20"/>
              </w:rPr>
              <w:t>Dirección General de Planeación y Contro</w:t>
            </w:r>
            <w:r w:rsidR="00FF579E">
              <w:rPr>
                <w:rFonts w:ascii="Century Gothic" w:hAnsi="Century Gothic"/>
                <w:sz w:val="20"/>
                <w:szCs w:val="20"/>
              </w:rPr>
              <w:t>l</w:t>
            </w:r>
          </w:p>
          <w:p w14:paraId="7DF7C450" w14:textId="77777777" w:rsidR="00FF579E" w:rsidRPr="002871EF" w:rsidRDefault="00FF579E" w:rsidP="002871EF">
            <w:pPr>
              <w:jc w:val="both"/>
              <w:rPr>
                <w:rFonts w:ascii="Century Gothic" w:hAnsi="Century Gothic"/>
                <w:sz w:val="20"/>
                <w:szCs w:val="20"/>
              </w:rPr>
            </w:pPr>
          </w:p>
        </w:tc>
      </w:tr>
      <w:tr w:rsidR="00C15BEB" w:rsidRPr="00822BC1" w14:paraId="7E2D678A" w14:textId="77777777" w:rsidTr="00822BC1">
        <w:tc>
          <w:tcPr>
            <w:tcW w:w="8978" w:type="dxa"/>
          </w:tcPr>
          <w:p w14:paraId="36D65C62" w14:textId="77777777" w:rsidR="00C15BEB" w:rsidRPr="001B63D3" w:rsidRDefault="00DF2603" w:rsidP="003910D2">
            <w:pPr>
              <w:jc w:val="both"/>
              <w:rPr>
                <w:rFonts w:ascii="Century Gothic" w:hAnsi="Century Gothic"/>
                <w:b/>
                <w:sz w:val="20"/>
                <w:szCs w:val="20"/>
              </w:rPr>
            </w:pPr>
            <w:r w:rsidRPr="001B63D3">
              <w:rPr>
                <w:rFonts w:ascii="Century Gothic" w:hAnsi="Century Gothic"/>
                <w:b/>
                <w:sz w:val="20"/>
                <w:szCs w:val="20"/>
              </w:rPr>
              <w:t>Titular de la Unidad Administrativa responsable de dar seguimiento a la evaluación:</w:t>
            </w:r>
          </w:p>
          <w:p w14:paraId="58A2F211" w14:textId="77777777" w:rsidR="00822BC1" w:rsidRPr="00822BC1" w:rsidRDefault="00FF579E" w:rsidP="003910D2">
            <w:pPr>
              <w:jc w:val="both"/>
              <w:rPr>
                <w:rFonts w:ascii="Century Gothic" w:hAnsi="Century Gothic"/>
                <w:b/>
                <w:sz w:val="20"/>
                <w:szCs w:val="20"/>
              </w:rPr>
            </w:pPr>
            <w:r w:rsidRPr="00FF579E">
              <w:rPr>
                <w:rFonts w:ascii="Century Gothic" w:hAnsi="Century Gothic"/>
                <w:sz w:val="20"/>
                <w:szCs w:val="20"/>
              </w:rPr>
              <w:t>Mtro. Eduardo Rosales Ochoa</w:t>
            </w:r>
          </w:p>
        </w:tc>
      </w:tr>
      <w:tr w:rsidR="00C15BEB" w:rsidRPr="00822BC1" w14:paraId="64D535AE" w14:textId="77777777" w:rsidTr="00822BC1">
        <w:tc>
          <w:tcPr>
            <w:tcW w:w="8978" w:type="dxa"/>
          </w:tcPr>
          <w:p w14:paraId="2EEA1285" w14:textId="77777777" w:rsidR="00C15BEB" w:rsidRPr="00822BC1" w:rsidRDefault="00C15BEB" w:rsidP="003910D2">
            <w:pPr>
              <w:jc w:val="both"/>
              <w:rPr>
                <w:rFonts w:ascii="Century Gothic" w:hAnsi="Century Gothic"/>
                <w:b/>
                <w:sz w:val="20"/>
                <w:szCs w:val="20"/>
              </w:rPr>
            </w:pPr>
          </w:p>
        </w:tc>
      </w:tr>
      <w:tr w:rsidR="00C15BEB" w:rsidRPr="00822BC1" w14:paraId="28380955" w14:textId="77777777" w:rsidTr="00822BC1">
        <w:tc>
          <w:tcPr>
            <w:tcW w:w="8978" w:type="dxa"/>
          </w:tcPr>
          <w:p w14:paraId="62794B58" w14:textId="57D7C4A3" w:rsidR="00C15BEB" w:rsidRDefault="00C15BEB" w:rsidP="003910D2">
            <w:pPr>
              <w:jc w:val="both"/>
              <w:rPr>
                <w:rFonts w:ascii="Century Gothic" w:hAnsi="Century Gothic"/>
                <w:sz w:val="20"/>
                <w:szCs w:val="20"/>
              </w:rPr>
            </w:pPr>
            <w:r w:rsidRPr="00822BC1">
              <w:rPr>
                <w:rFonts w:ascii="Century Gothic" w:hAnsi="Century Gothic"/>
                <w:b/>
                <w:sz w:val="20"/>
                <w:szCs w:val="20"/>
              </w:rPr>
              <w:t>Principales colaboradores:</w:t>
            </w:r>
            <w:r w:rsidRPr="00822BC1">
              <w:rPr>
                <w:rFonts w:ascii="Century Gothic" w:hAnsi="Century Gothic"/>
                <w:sz w:val="20"/>
                <w:szCs w:val="20"/>
              </w:rPr>
              <w:t xml:space="preserve"> </w:t>
            </w:r>
          </w:p>
          <w:p w14:paraId="211EC409" w14:textId="77777777" w:rsidR="00822BC1" w:rsidRDefault="00927474" w:rsidP="00DC53A8">
            <w:pPr>
              <w:pStyle w:val="Default"/>
              <w:rPr>
                <w:rFonts w:ascii="Century Gothic" w:eastAsiaTheme="minorHAnsi" w:hAnsi="Century Gothic" w:cstheme="minorBidi"/>
                <w:color w:val="auto"/>
                <w:sz w:val="20"/>
                <w:szCs w:val="20"/>
                <w:lang w:val="es-MX" w:eastAsia="en-US"/>
              </w:rPr>
            </w:pPr>
            <w:r>
              <w:rPr>
                <w:rFonts w:ascii="Century Gothic" w:eastAsiaTheme="minorHAnsi" w:hAnsi="Century Gothic" w:cstheme="minorBidi"/>
                <w:color w:val="auto"/>
                <w:sz w:val="20"/>
                <w:szCs w:val="20"/>
                <w:lang w:val="es-MX" w:eastAsia="en-US"/>
              </w:rPr>
              <w:t xml:space="preserve">M.C. </w:t>
            </w:r>
            <w:r w:rsidR="00FF579E">
              <w:rPr>
                <w:rFonts w:ascii="Century Gothic" w:eastAsiaTheme="minorHAnsi" w:hAnsi="Century Gothic" w:cstheme="minorBidi"/>
                <w:color w:val="auto"/>
                <w:sz w:val="20"/>
                <w:szCs w:val="20"/>
                <w:lang w:val="es-MX" w:eastAsia="en-US"/>
              </w:rPr>
              <w:t xml:space="preserve">Guadalupe </w:t>
            </w:r>
            <w:r w:rsidR="00FF579E" w:rsidRPr="00FF579E">
              <w:rPr>
                <w:rFonts w:ascii="Century Gothic" w:eastAsiaTheme="minorHAnsi" w:hAnsi="Century Gothic" w:cstheme="minorBidi"/>
                <w:color w:val="auto"/>
                <w:sz w:val="20"/>
                <w:szCs w:val="20"/>
                <w:lang w:val="es-MX" w:eastAsia="en-US"/>
              </w:rPr>
              <w:t>Ariadna Flores Santana</w:t>
            </w:r>
          </w:p>
          <w:p w14:paraId="3DB0F98E" w14:textId="77777777" w:rsidR="00927474" w:rsidRDefault="00927474" w:rsidP="00DC53A8">
            <w:pPr>
              <w:pStyle w:val="Default"/>
              <w:rPr>
                <w:rFonts w:ascii="Century Gothic" w:eastAsiaTheme="minorHAnsi" w:hAnsi="Century Gothic" w:cstheme="minorBidi"/>
                <w:color w:val="auto"/>
                <w:sz w:val="20"/>
                <w:szCs w:val="20"/>
                <w:lang w:val="es-MX" w:eastAsia="en-US"/>
              </w:rPr>
            </w:pPr>
            <w:r>
              <w:rPr>
                <w:rFonts w:ascii="Century Gothic" w:eastAsiaTheme="minorHAnsi" w:hAnsi="Century Gothic" w:cstheme="minorBidi"/>
                <w:color w:val="auto"/>
                <w:sz w:val="20"/>
                <w:szCs w:val="20"/>
                <w:lang w:val="es-MX" w:eastAsia="en-US"/>
              </w:rPr>
              <w:t>Ing. Armando Córdova Ramírez</w:t>
            </w:r>
          </w:p>
          <w:p w14:paraId="77D71616" w14:textId="77777777" w:rsidR="00927474" w:rsidRDefault="00927474" w:rsidP="00DC53A8">
            <w:pPr>
              <w:pStyle w:val="Default"/>
              <w:rPr>
                <w:rFonts w:ascii="Century Gothic" w:eastAsiaTheme="minorHAnsi" w:hAnsi="Century Gothic" w:cstheme="minorBidi"/>
                <w:color w:val="auto"/>
                <w:sz w:val="20"/>
                <w:szCs w:val="20"/>
                <w:lang w:val="es-MX" w:eastAsia="en-US"/>
              </w:rPr>
            </w:pPr>
            <w:r>
              <w:rPr>
                <w:rFonts w:ascii="Century Gothic" w:eastAsiaTheme="minorHAnsi" w:hAnsi="Century Gothic" w:cstheme="minorBidi"/>
                <w:color w:val="auto"/>
                <w:sz w:val="20"/>
                <w:szCs w:val="20"/>
                <w:lang w:val="es-MX" w:eastAsia="en-US"/>
              </w:rPr>
              <w:t>C.P. J. Guadalupe Caro León</w:t>
            </w:r>
          </w:p>
          <w:p w14:paraId="429B389D" w14:textId="77777777" w:rsidR="00927474" w:rsidRDefault="00927474" w:rsidP="00DC53A8">
            <w:pPr>
              <w:pStyle w:val="Default"/>
              <w:rPr>
                <w:rFonts w:ascii="Century Gothic" w:eastAsiaTheme="minorHAnsi" w:hAnsi="Century Gothic" w:cstheme="minorBidi"/>
                <w:color w:val="auto"/>
                <w:sz w:val="20"/>
                <w:szCs w:val="20"/>
                <w:lang w:val="es-MX" w:eastAsia="en-US"/>
              </w:rPr>
            </w:pPr>
            <w:r>
              <w:rPr>
                <w:rFonts w:ascii="Century Gothic" w:eastAsiaTheme="minorHAnsi" w:hAnsi="Century Gothic" w:cstheme="minorBidi"/>
                <w:color w:val="auto"/>
                <w:sz w:val="20"/>
                <w:szCs w:val="20"/>
                <w:lang w:val="es-MX" w:eastAsia="en-US"/>
              </w:rPr>
              <w:t>Lic. César Esteban Mancilla Ramírez</w:t>
            </w:r>
          </w:p>
          <w:p w14:paraId="624C67D4" w14:textId="7C4007CE" w:rsidR="00927474" w:rsidRPr="00822BC1" w:rsidRDefault="00927474" w:rsidP="00DC53A8">
            <w:pPr>
              <w:pStyle w:val="Default"/>
              <w:rPr>
                <w:rFonts w:ascii="Century Gothic" w:hAnsi="Century Gothic"/>
                <w:b/>
                <w:sz w:val="20"/>
                <w:szCs w:val="20"/>
              </w:rPr>
            </w:pPr>
            <w:r>
              <w:rPr>
                <w:rFonts w:ascii="Century Gothic" w:eastAsiaTheme="minorHAnsi" w:hAnsi="Century Gothic" w:cstheme="minorBidi"/>
                <w:color w:val="auto"/>
                <w:sz w:val="20"/>
                <w:szCs w:val="20"/>
                <w:lang w:val="es-MX" w:eastAsia="en-US"/>
              </w:rPr>
              <w:t>Licda. Lorena Alejandra Hernández Hernández</w:t>
            </w:r>
          </w:p>
        </w:tc>
      </w:tr>
      <w:tr w:rsidR="00C15BEB" w:rsidRPr="00822BC1" w14:paraId="66931396" w14:textId="77777777" w:rsidTr="00822BC1">
        <w:tc>
          <w:tcPr>
            <w:tcW w:w="8978" w:type="dxa"/>
          </w:tcPr>
          <w:p w14:paraId="08CAC924" w14:textId="77777777" w:rsidR="00C15BEB" w:rsidRPr="00822BC1" w:rsidRDefault="00C15BEB" w:rsidP="00DF2603">
            <w:pPr>
              <w:jc w:val="both"/>
              <w:rPr>
                <w:rFonts w:ascii="Century Gothic" w:hAnsi="Century Gothic"/>
                <w:sz w:val="20"/>
                <w:szCs w:val="20"/>
              </w:rPr>
            </w:pPr>
          </w:p>
        </w:tc>
      </w:tr>
      <w:tr w:rsidR="00C15BEB" w:rsidRPr="00822BC1" w14:paraId="49327692" w14:textId="77777777" w:rsidTr="00822BC1">
        <w:tc>
          <w:tcPr>
            <w:tcW w:w="8978" w:type="dxa"/>
          </w:tcPr>
          <w:p w14:paraId="33635376" w14:textId="77777777" w:rsidR="00604CB3" w:rsidRDefault="00604CB3" w:rsidP="00604CB3">
            <w:pPr>
              <w:jc w:val="both"/>
              <w:rPr>
                <w:rFonts w:ascii="Century Gothic" w:hAnsi="Century Gothic"/>
                <w:b/>
                <w:sz w:val="20"/>
                <w:szCs w:val="20"/>
              </w:rPr>
            </w:pPr>
            <w:r>
              <w:rPr>
                <w:rFonts w:ascii="Century Gothic" w:hAnsi="Century Gothic"/>
                <w:b/>
                <w:sz w:val="20"/>
                <w:szCs w:val="20"/>
              </w:rPr>
              <w:t>Instancia Evaluadora</w:t>
            </w:r>
            <w:r w:rsidRPr="00822BC1">
              <w:rPr>
                <w:rFonts w:ascii="Century Gothic" w:hAnsi="Century Gothic"/>
                <w:b/>
                <w:sz w:val="20"/>
                <w:szCs w:val="20"/>
              </w:rPr>
              <w:t xml:space="preserve">: </w:t>
            </w:r>
          </w:p>
          <w:p w14:paraId="048593E9" w14:textId="77777777" w:rsidR="00604CB3" w:rsidRDefault="00604CB3" w:rsidP="00604CB3">
            <w:pPr>
              <w:jc w:val="both"/>
              <w:rPr>
                <w:rFonts w:ascii="Century Gothic" w:hAnsi="Century Gothic"/>
                <w:sz w:val="20"/>
                <w:szCs w:val="20"/>
              </w:rPr>
            </w:pPr>
            <w:r>
              <w:rPr>
                <w:rFonts w:ascii="Century Gothic" w:hAnsi="Century Gothic"/>
                <w:sz w:val="20"/>
                <w:szCs w:val="20"/>
              </w:rPr>
              <w:t>Tecnología Social para el Desarrollo SA de CV</w:t>
            </w:r>
          </w:p>
          <w:p w14:paraId="13881469" w14:textId="77777777" w:rsidR="00604CB3" w:rsidRDefault="00604CB3" w:rsidP="00604CB3">
            <w:pPr>
              <w:jc w:val="both"/>
              <w:rPr>
                <w:rFonts w:ascii="Century Gothic" w:hAnsi="Century Gothic"/>
                <w:b/>
                <w:sz w:val="20"/>
                <w:szCs w:val="20"/>
              </w:rPr>
            </w:pPr>
          </w:p>
          <w:p w14:paraId="6683AD8D" w14:textId="77777777" w:rsidR="00822BC1" w:rsidRDefault="00C15BEB" w:rsidP="003910D2">
            <w:pPr>
              <w:jc w:val="both"/>
              <w:rPr>
                <w:rFonts w:ascii="Century Gothic" w:hAnsi="Century Gothic"/>
                <w:b/>
                <w:sz w:val="20"/>
                <w:szCs w:val="20"/>
              </w:rPr>
            </w:pPr>
            <w:r w:rsidRPr="00822BC1">
              <w:rPr>
                <w:rFonts w:ascii="Century Gothic" w:hAnsi="Century Gothic"/>
                <w:b/>
                <w:sz w:val="20"/>
                <w:szCs w:val="20"/>
              </w:rPr>
              <w:t xml:space="preserve">Coordinador de la evaluación: </w:t>
            </w:r>
          </w:p>
          <w:p w14:paraId="64A5D6E8" w14:textId="77777777" w:rsidR="00C15BEB" w:rsidRPr="00822BC1" w:rsidRDefault="00C15BEB" w:rsidP="003910D2">
            <w:pPr>
              <w:jc w:val="both"/>
              <w:rPr>
                <w:rFonts w:ascii="Century Gothic" w:hAnsi="Century Gothic"/>
                <w:b/>
                <w:sz w:val="20"/>
                <w:szCs w:val="20"/>
              </w:rPr>
            </w:pPr>
            <w:r w:rsidRPr="00822BC1">
              <w:rPr>
                <w:rFonts w:ascii="Century Gothic" w:hAnsi="Century Gothic"/>
                <w:sz w:val="20"/>
                <w:szCs w:val="20"/>
              </w:rPr>
              <w:t>Víctor Manuel Fajardo Correa</w:t>
            </w:r>
          </w:p>
        </w:tc>
      </w:tr>
      <w:tr w:rsidR="00C15BEB" w:rsidRPr="00822BC1" w14:paraId="619AC79E" w14:textId="77777777" w:rsidTr="00822BC1">
        <w:tc>
          <w:tcPr>
            <w:tcW w:w="8978" w:type="dxa"/>
          </w:tcPr>
          <w:p w14:paraId="2FFB9548" w14:textId="77777777" w:rsidR="00C15BEB" w:rsidRPr="00822BC1" w:rsidRDefault="00C15BEB" w:rsidP="003910D2">
            <w:pPr>
              <w:jc w:val="both"/>
              <w:rPr>
                <w:rFonts w:ascii="Century Gothic" w:hAnsi="Century Gothic"/>
                <w:sz w:val="20"/>
                <w:szCs w:val="20"/>
              </w:rPr>
            </w:pPr>
          </w:p>
        </w:tc>
      </w:tr>
      <w:tr w:rsidR="00C15BEB" w:rsidRPr="00822BC1" w14:paraId="44AAF643" w14:textId="77777777" w:rsidTr="00822BC1">
        <w:tc>
          <w:tcPr>
            <w:tcW w:w="8978" w:type="dxa"/>
          </w:tcPr>
          <w:p w14:paraId="09E8D7C9" w14:textId="77777777" w:rsidR="00C15BEB" w:rsidRPr="00822BC1" w:rsidRDefault="00C15BEB" w:rsidP="003910D2">
            <w:pPr>
              <w:jc w:val="both"/>
              <w:rPr>
                <w:rFonts w:ascii="Century Gothic" w:hAnsi="Century Gothic"/>
                <w:b/>
                <w:sz w:val="20"/>
                <w:szCs w:val="20"/>
              </w:rPr>
            </w:pPr>
            <w:r w:rsidRPr="00822BC1">
              <w:rPr>
                <w:rFonts w:ascii="Century Gothic" w:hAnsi="Century Gothic"/>
                <w:b/>
                <w:sz w:val="20"/>
                <w:szCs w:val="20"/>
              </w:rPr>
              <w:t>Principales colaboradores:</w:t>
            </w:r>
          </w:p>
        </w:tc>
      </w:tr>
      <w:tr w:rsidR="00C15BEB" w:rsidRPr="00822BC1" w14:paraId="6C9CBEF4" w14:textId="77777777" w:rsidTr="00DC53A8">
        <w:trPr>
          <w:trHeight w:val="469"/>
        </w:trPr>
        <w:tc>
          <w:tcPr>
            <w:tcW w:w="8978" w:type="dxa"/>
          </w:tcPr>
          <w:p w14:paraId="6DB643AD" w14:textId="77777777" w:rsidR="00C15BEB" w:rsidRDefault="008F433B" w:rsidP="00FD2776">
            <w:pPr>
              <w:rPr>
                <w:rFonts w:ascii="Century Gothic" w:hAnsi="Century Gothic"/>
                <w:sz w:val="20"/>
                <w:szCs w:val="20"/>
              </w:rPr>
            </w:pPr>
            <w:r>
              <w:rPr>
                <w:rFonts w:ascii="Century Gothic" w:hAnsi="Century Gothic"/>
                <w:sz w:val="20"/>
                <w:szCs w:val="20"/>
              </w:rPr>
              <w:t>Nancy Paola Hernández Clavijo</w:t>
            </w:r>
          </w:p>
          <w:p w14:paraId="044F2DCD" w14:textId="77777777" w:rsidR="003C6984" w:rsidRPr="00822BC1" w:rsidRDefault="003C6984" w:rsidP="00FD2776">
            <w:pPr>
              <w:rPr>
                <w:rFonts w:ascii="Century Gothic" w:hAnsi="Century Gothic"/>
                <w:sz w:val="20"/>
                <w:szCs w:val="20"/>
              </w:rPr>
            </w:pPr>
            <w:r>
              <w:rPr>
                <w:rFonts w:ascii="Century Gothic" w:hAnsi="Century Gothic"/>
                <w:sz w:val="20"/>
                <w:szCs w:val="20"/>
              </w:rPr>
              <w:t>German Sandoval Cruz</w:t>
            </w:r>
          </w:p>
        </w:tc>
      </w:tr>
    </w:tbl>
    <w:p w14:paraId="54567A4B" w14:textId="77777777" w:rsidR="007838DA" w:rsidRDefault="007838DA" w:rsidP="003910D2">
      <w:pPr>
        <w:jc w:val="both"/>
        <w:rPr>
          <w:rFonts w:ascii="Arial" w:hAnsi="Arial" w:cs="Arial"/>
          <w:b/>
          <w:color w:val="0E4E7A"/>
          <w:sz w:val="16"/>
          <w:szCs w:val="72"/>
        </w:rPr>
      </w:pPr>
    </w:p>
    <w:p w14:paraId="149E7F91" w14:textId="77777777" w:rsidR="007838DA" w:rsidRDefault="007838DA">
      <w:pPr>
        <w:rPr>
          <w:rFonts w:ascii="Arial" w:hAnsi="Arial" w:cs="Arial"/>
          <w:b/>
          <w:color w:val="0E4E7A"/>
          <w:sz w:val="16"/>
          <w:szCs w:val="72"/>
        </w:rPr>
      </w:pPr>
      <w:r>
        <w:rPr>
          <w:rFonts w:ascii="Arial" w:hAnsi="Arial" w:cs="Arial"/>
          <w:b/>
          <w:color w:val="0E4E7A"/>
          <w:sz w:val="16"/>
          <w:szCs w:val="72"/>
        </w:rPr>
        <w:br w:type="page"/>
      </w:r>
    </w:p>
    <w:sdt>
      <w:sdtPr>
        <w:rPr>
          <w:rFonts w:asciiTheme="minorHAnsi" w:eastAsiaTheme="minorHAnsi" w:hAnsiTheme="minorHAnsi" w:cstheme="minorBidi"/>
          <w:b w:val="0"/>
          <w:bCs w:val="0"/>
          <w:color w:val="auto"/>
          <w:sz w:val="22"/>
          <w:szCs w:val="22"/>
          <w:lang w:val="es-ES" w:eastAsia="en-US"/>
        </w:rPr>
        <w:id w:val="942799219"/>
        <w:docPartObj>
          <w:docPartGallery w:val="Table of Contents"/>
          <w:docPartUnique/>
        </w:docPartObj>
      </w:sdtPr>
      <w:sdtEndPr>
        <w:rPr>
          <w:rFonts w:asciiTheme="majorHAnsi" w:eastAsiaTheme="majorEastAsia" w:hAnsiTheme="majorHAnsi" w:cstheme="majorBidi"/>
          <w:b/>
          <w:bCs/>
          <w:color w:val="365F91" w:themeColor="accent1" w:themeShade="BF"/>
          <w:sz w:val="28"/>
          <w:szCs w:val="28"/>
          <w:lang w:eastAsia="es-MX"/>
        </w:rPr>
      </w:sdtEndPr>
      <w:sdtContent>
        <w:sdt>
          <w:sdtPr>
            <w:rPr>
              <w:rFonts w:ascii="Century Gothic" w:eastAsiaTheme="minorHAnsi" w:hAnsi="Century Gothic" w:cstheme="minorBidi"/>
              <w:b w:val="0"/>
              <w:bCs w:val="0"/>
              <w:color w:val="auto"/>
              <w:sz w:val="24"/>
              <w:szCs w:val="24"/>
              <w:lang w:val="es-ES" w:eastAsia="en-US"/>
            </w:rPr>
            <w:id w:val="1429310008"/>
            <w:docPartObj>
              <w:docPartGallery w:val="Table of Contents"/>
              <w:docPartUnique/>
            </w:docPartObj>
          </w:sdtPr>
          <w:sdtEndPr>
            <w:rPr>
              <w:rFonts w:asciiTheme="minorHAnsi" w:hAnsiTheme="minorHAnsi"/>
              <w:sz w:val="22"/>
              <w:szCs w:val="22"/>
            </w:rPr>
          </w:sdtEndPr>
          <w:sdtContent>
            <w:p w14:paraId="1F909BDE" w14:textId="77777777" w:rsidR="00485680" w:rsidRPr="001673F4" w:rsidRDefault="00485680" w:rsidP="00485680">
              <w:pPr>
                <w:pStyle w:val="TtulodeTDC"/>
                <w:rPr>
                  <w:rFonts w:ascii="Century Gothic" w:hAnsi="Century Gothic"/>
                  <w:b w:val="0"/>
                  <w:sz w:val="24"/>
                  <w:szCs w:val="24"/>
                  <w:lang w:val="es-ES"/>
                </w:rPr>
              </w:pPr>
              <w:r w:rsidRPr="001673F4">
                <w:rPr>
                  <w:rFonts w:ascii="Century Gothic" w:hAnsi="Century Gothic"/>
                  <w:b w:val="0"/>
                  <w:sz w:val="24"/>
                  <w:szCs w:val="24"/>
                  <w:lang w:val="es-ES"/>
                </w:rPr>
                <w:t>Contenido</w:t>
              </w:r>
            </w:p>
            <w:p w14:paraId="09B8645A" w14:textId="77777777" w:rsidR="001673F4" w:rsidRPr="001673F4" w:rsidRDefault="00485680">
              <w:pPr>
                <w:pStyle w:val="TDC1"/>
                <w:rPr>
                  <w:rFonts w:eastAsiaTheme="minorEastAsia"/>
                  <w:szCs w:val="24"/>
                  <w:lang w:eastAsia="es-MX"/>
                </w:rPr>
              </w:pPr>
              <w:r w:rsidRPr="001673F4">
                <w:rPr>
                  <w:szCs w:val="24"/>
                </w:rPr>
                <w:fldChar w:fldCharType="begin"/>
              </w:r>
              <w:r w:rsidRPr="001673F4">
                <w:rPr>
                  <w:szCs w:val="24"/>
                </w:rPr>
                <w:instrText xml:space="preserve"> TOC \o "1-3" \h \z \u </w:instrText>
              </w:r>
              <w:r w:rsidRPr="001673F4">
                <w:rPr>
                  <w:szCs w:val="24"/>
                </w:rPr>
                <w:fldChar w:fldCharType="separate"/>
              </w:r>
              <w:hyperlink w:anchor="_Toc511859761" w:history="1">
                <w:r w:rsidR="001673F4" w:rsidRPr="001673F4">
                  <w:rPr>
                    <w:rStyle w:val="Hipervnculo"/>
                    <w:szCs w:val="24"/>
                  </w:rPr>
                  <w:t>Introducción</w:t>
                </w:r>
                <w:r w:rsidR="001673F4" w:rsidRPr="001673F4">
                  <w:rPr>
                    <w:webHidden/>
                    <w:szCs w:val="24"/>
                  </w:rPr>
                  <w:tab/>
                </w:r>
                <w:r w:rsidR="001673F4" w:rsidRPr="001673F4">
                  <w:rPr>
                    <w:webHidden/>
                    <w:szCs w:val="24"/>
                  </w:rPr>
                  <w:fldChar w:fldCharType="begin"/>
                </w:r>
                <w:r w:rsidR="001673F4" w:rsidRPr="001673F4">
                  <w:rPr>
                    <w:webHidden/>
                    <w:szCs w:val="24"/>
                  </w:rPr>
                  <w:instrText xml:space="preserve"> PAGEREF _Toc511859761 \h </w:instrText>
                </w:r>
                <w:r w:rsidR="001673F4" w:rsidRPr="001673F4">
                  <w:rPr>
                    <w:webHidden/>
                    <w:szCs w:val="24"/>
                  </w:rPr>
                </w:r>
                <w:r w:rsidR="001673F4" w:rsidRPr="001673F4">
                  <w:rPr>
                    <w:webHidden/>
                    <w:szCs w:val="24"/>
                  </w:rPr>
                  <w:fldChar w:fldCharType="separate"/>
                </w:r>
                <w:r w:rsidR="003702BB">
                  <w:rPr>
                    <w:webHidden/>
                    <w:szCs w:val="24"/>
                  </w:rPr>
                  <w:t>7</w:t>
                </w:r>
                <w:r w:rsidR="001673F4" w:rsidRPr="001673F4">
                  <w:rPr>
                    <w:webHidden/>
                    <w:szCs w:val="24"/>
                  </w:rPr>
                  <w:fldChar w:fldCharType="end"/>
                </w:r>
              </w:hyperlink>
            </w:p>
            <w:p w14:paraId="01EE75DD" w14:textId="77777777" w:rsidR="001673F4" w:rsidRPr="001673F4" w:rsidRDefault="00927474">
              <w:pPr>
                <w:pStyle w:val="TDC1"/>
                <w:rPr>
                  <w:rFonts w:eastAsiaTheme="minorEastAsia"/>
                  <w:szCs w:val="24"/>
                  <w:lang w:eastAsia="es-MX"/>
                </w:rPr>
              </w:pPr>
              <w:hyperlink w:anchor="_Toc511859762" w:history="1">
                <w:r w:rsidR="001673F4" w:rsidRPr="001673F4">
                  <w:rPr>
                    <w:rStyle w:val="Hipervnculo"/>
                    <w:szCs w:val="24"/>
                  </w:rPr>
                  <w:t>1.</w:t>
                </w:r>
                <w:r w:rsidR="001673F4" w:rsidRPr="001673F4">
                  <w:rPr>
                    <w:rFonts w:eastAsiaTheme="minorEastAsia"/>
                    <w:szCs w:val="24"/>
                    <w:lang w:eastAsia="es-MX"/>
                  </w:rPr>
                  <w:tab/>
                </w:r>
                <w:r w:rsidR="001673F4" w:rsidRPr="001673F4">
                  <w:rPr>
                    <w:rStyle w:val="Hipervnculo"/>
                    <w:szCs w:val="24"/>
                  </w:rPr>
                  <w:t>Análisis del contexto</w:t>
                </w:r>
                <w:r w:rsidR="001673F4" w:rsidRPr="001673F4">
                  <w:rPr>
                    <w:webHidden/>
                    <w:szCs w:val="24"/>
                  </w:rPr>
                  <w:tab/>
                </w:r>
                <w:r w:rsidR="001673F4" w:rsidRPr="001673F4">
                  <w:rPr>
                    <w:webHidden/>
                    <w:szCs w:val="24"/>
                  </w:rPr>
                  <w:fldChar w:fldCharType="begin"/>
                </w:r>
                <w:r w:rsidR="001673F4" w:rsidRPr="001673F4">
                  <w:rPr>
                    <w:webHidden/>
                    <w:szCs w:val="24"/>
                  </w:rPr>
                  <w:instrText xml:space="preserve"> PAGEREF _Toc511859762 \h </w:instrText>
                </w:r>
                <w:r w:rsidR="001673F4" w:rsidRPr="001673F4">
                  <w:rPr>
                    <w:webHidden/>
                    <w:szCs w:val="24"/>
                  </w:rPr>
                </w:r>
                <w:r w:rsidR="001673F4" w:rsidRPr="001673F4">
                  <w:rPr>
                    <w:webHidden/>
                    <w:szCs w:val="24"/>
                  </w:rPr>
                  <w:fldChar w:fldCharType="separate"/>
                </w:r>
                <w:r w:rsidR="003702BB">
                  <w:rPr>
                    <w:webHidden/>
                    <w:szCs w:val="24"/>
                  </w:rPr>
                  <w:t>17</w:t>
                </w:r>
                <w:r w:rsidR="001673F4" w:rsidRPr="001673F4">
                  <w:rPr>
                    <w:webHidden/>
                    <w:szCs w:val="24"/>
                  </w:rPr>
                  <w:fldChar w:fldCharType="end"/>
                </w:r>
              </w:hyperlink>
            </w:p>
            <w:p w14:paraId="342C565C" w14:textId="77777777" w:rsidR="001673F4" w:rsidRPr="001673F4" w:rsidRDefault="00927474">
              <w:pPr>
                <w:pStyle w:val="TDC2"/>
                <w:rPr>
                  <w:rFonts w:ascii="Century Gothic" w:eastAsiaTheme="minorEastAsia" w:hAnsi="Century Gothic"/>
                  <w:noProof/>
                  <w:sz w:val="24"/>
                  <w:szCs w:val="24"/>
                  <w:lang w:eastAsia="es-MX"/>
                </w:rPr>
              </w:pPr>
              <w:hyperlink w:anchor="_Toc511859763" w:history="1">
                <w:r w:rsidR="001673F4" w:rsidRPr="001673F4">
                  <w:rPr>
                    <w:rStyle w:val="Hipervnculo"/>
                    <w:rFonts w:ascii="Century Gothic" w:hAnsi="Century Gothic"/>
                    <w:noProof/>
                    <w:sz w:val="24"/>
                    <w:szCs w:val="24"/>
                  </w:rPr>
                  <w:t>1.1 Creación del Ramo General 33, y del FAFEF</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_Toc511859763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17</w:t>
                </w:r>
                <w:r w:rsidR="001673F4" w:rsidRPr="001673F4">
                  <w:rPr>
                    <w:rFonts w:ascii="Century Gothic" w:hAnsi="Century Gothic"/>
                    <w:noProof/>
                    <w:webHidden/>
                    <w:sz w:val="24"/>
                    <w:szCs w:val="24"/>
                  </w:rPr>
                  <w:fldChar w:fldCharType="end"/>
                </w:r>
              </w:hyperlink>
            </w:p>
            <w:p w14:paraId="23F9CE4F" w14:textId="77777777" w:rsidR="001673F4" w:rsidRPr="001673F4" w:rsidRDefault="00927474">
              <w:pPr>
                <w:pStyle w:val="TDC2"/>
                <w:rPr>
                  <w:rFonts w:ascii="Century Gothic" w:eastAsiaTheme="minorEastAsia" w:hAnsi="Century Gothic"/>
                  <w:noProof/>
                  <w:sz w:val="24"/>
                  <w:szCs w:val="24"/>
                  <w:lang w:eastAsia="es-MX"/>
                </w:rPr>
              </w:pPr>
              <w:hyperlink w:anchor="_Toc511859764" w:history="1">
                <w:r w:rsidR="001673F4" w:rsidRPr="001673F4">
                  <w:rPr>
                    <w:rStyle w:val="Hipervnculo"/>
                    <w:rFonts w:ascii="Century Gothic" w:hAnsi="Century Gothic"/>
                    <w:noProof/>
                    <w:sz w:val="24"/>
                    <w:szCs w:val="24"/>
                  </w:rPr>
                  <w:t>1.2 Operación del FAFEF a través del Programa Presupuestario “Infraestructura no Habitacional” en Colima</w:t>
                </w:r>
                <w:r w:rsidR="001673F4" w:rsidRPr="001673F4">
                  <w:rPr>
                    <w:rStyle w:val="Hipervnculo"/>
                    <w:rFonts w:ascii="Century Gothic" w:hAnsi="Century Gothic" w:cs="Arial"/>
                    <w:noProof/>
                    <w:sz w:val="24"/>
                    <w:szCs w:val="24"/>
                  </w:rPr>
                  <w:t>, 2017.</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_Toc511859764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21</w:t>
                </w:r>
                <w:r w:rsidR="001673F4" w:rsidRPr="001673F4">
                  <w:rPr>
                    <w:rFonts w:ascii="Century Gothic" w:hAnsi="Century Gothic"/>
                    <w:noProof/>
                    <w:webHidden/>
                    <w:sz w:val="24"/>
                    <w:szCs w:val="24"/>
                  </w:rPr>
                  <w:fldChar w:fldCharType="end"/>
                </w:r>
              </w:hyperlink>
            </w:p>
            <w:p w14:paraId="416C70BC" w14:textId="77777777" w:rsidR="001673F4" w:rsidRPr="001673F4" w:rsidRDefault="00927474">
              <w:pPr>
                <w:pStyle w:val="TDC1"/>
                <w:rPr>
                  <w:rFonts w:eastAsiaTheme="minorEastAsia"/>
                  <w:szCs w:val="24"/>
                  <w:lang w:eastAsia="es-MX"/>
                </w:rPr>
              </w:pPr>
              <w:hyperlink w:anchor="_Toc511859765" w:history="1">
                <w:r w:rsidR="001673F4" w:rsidRPr="001673F4">
                  <w:rPr>
                    <w:rStyle w:val="Hipervnculo"/>
                    <w:szCs w:val="24"/>
                  </w:rPr>
                  <w:t>2.</w:t>
                </w:r>
                <w:r w:rsidR="001673F4" w:rsidRPr="001673F4">
                  <w:rPr>
                    <w:rFonts w:eastAsiaTheme="minorEastAsia"/>
                    <w:szCs w:val="24"/>
                    <w:lang w:eastAsia="es-MX"/>
                  </w:rPr>
                  <w:tab/>
                </w:r>
                <w:r w:rsidR="001673F4" w:rsidRPr="001673F4">
                  <w:rPr>
                    <w:rStyle w:val="Hipervnculo"/>
                    <w:szCs w:val="24"/>
                  </w:rPr>
                  <w:t>Análisis de la Consistencia y Resultados del programa Presupuestario “Infraestructura no Habitacional”</w:t>
                </w:r>
                <w:r w:rsidR="001673F4" w:rsidRPr="001673F4">
                  <w:rPr>
                    <w:webHidden/>
                    <w:szCs w:val="24"/>
                  </w:rPr>
                  <w:tab/>
                </w:r>
                <w:r w:rsidR="001673F4" w:rsidRPr="001673F4">
                  <w:rPr>
                    <w:webHidden/>
                    <w:szCs w:val="24"/>
                  </w:rPr>
                  <w:fldChar w:fldCharType="begin"/>
                </w:r>
                <w:r w:rsidR="001673F4" w:rsidRPr="001673F4">
                  <w:rPr>
                    <w:webHidden/>
                    <w:szCs w:val="24"/>
                  </w:rPr>
                  <w:instrText xml:space="preserve"> PAGEREF _Toc511859765 \h </w:instrText>
                </w:r>
                <w:r w:rsidR="001673F4" w:rsidRPr="001673F4">
                  <w:rPr>
                    <w:webHidden/>
                    <w:szCs w:val="24"/>
                  </w:rPr>
                </w:r>
                <w:r w:rsidR="001673F4" w:rsidRPr="001673F4">
                  <w:rPr>
                    <w:webHidden/>
                    <w:szCs w:val="24"/>
                  </w:rPr>
                  <w:fldChar w:fldCharType="separate"/>
                </w:r>
                <w:r w:rsidR="003702BB">
                  <w:rPr>
                    <w:webHidden/>
                    <w:szCs w:val="24"/>
                  </w:rPr>
                  <w:t>25</w:t>
                </w:r>
                <w:r w:rsidR="001673F4" w:rsidRPr="001673F4">
                  <w:rPr>
                    <w:webHidden/>
                    <w:szCs w:val="24"/>
                  </w:rPr>
                  <w:fldChar w:fldCharType="end"/>
                </w:r>
              </w:hyperlink>
            </w:p>
            <w:p w14:paraId="782DB36F" w14:textId="77777777" w:rsidR="001673F4" w:rsidRPr="001673F4" w:rsidRDefault="00927474">
              <w:pPr>
                <w:pStyle w:val="TDC2"/>
                <w:rPr>
                  <w:rFonts w:ascii="Century Gothic" w:eastAsiaTheme="minorEastAsia" w:hAnsi="Century Gothic"/>
                  <w:noProof/>
                  <w:sz w:val="24"/>
                  <w:szCs w:val="24"/>
                  <w:lang w:eastAsia="es-MX"/>
                </w:rPr>
              </w:pPr>
              <w:hyperlink w:anchor="_Toc511859766" w:history="1">
                <w:r w:rsidR="001673F4" w:rsidRPr="001673F4">
                  <w:rPr>
                    <w:rStyle w:val="Hipervnculo"/>
                    <w:rFonts w:ascii="Century Gothic" w:hAnsi="Century Gothic"/>
                    <w:noProof/>
                    <w:sz w:val="24"/>
                    <w:szCs w:val="24"/>
                  </w:rPr>
                  <w:t>Características del programa.</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_Toc511859766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25</w:t>
                </w:r>
                <w:r w:rsidR="001673F4" w:rsidRPr="001673F4">
                  <w:rPr>
                    <w:rFonts w:ascii="Century Gothic" w:hAnsi="Century Gothic"/>
                    <w:noProof/>
                    <w:webHidden/>
                    <w:sz w:val="24"/>
                    <w:szCs w:val="24"/>
                  </w:rPr>
                  <w:fldChar w:fldCharType="end"/>
                </w:r>
              </w:hyperlink>
            </w:p>
            <w:p w14:paraId="0C49B30C" w14:textId="77777777" w:rsidR="001673F4" w:rsidRPr="001673F4" w:rsidRDefault="00927474">
              <w:pPr>
                <w:pStyle w:val="TDC1"/>
                <w:rPr>
                  <w:rFonts w:eastAsiaTheme="minorEastAsia"/>
                  <w:szCs w:val="24"/>
                  <w:lang w:eastAsia="es-MX"/>
                </w:rPr>
              </w:pPr>
              <w:hyperlink w:anchor="_Toc511859767" w:history="1">
                <w:r w:rsidR="001673F4" w:rsidRPr="001673F4">
                  <w:rPr>
                    <w:rStyle w:val="Hipervnculo"/>
                    <w:szCs w:val="24"/>
                  </w:rPr>
                  <w:t>2.1 Diseño</w:t>
                </w:r>
                <w:r w:rsidR="001673F4" w:rsidRPr="001673F4">
                  <w:rPr>
                    <w:webHidden/>
                    <w:szCs w:val="24"/>
                  </w:rPr>
                  <w:tab/>
                </w:r>
                <w:r w:rsidR="001673F4" w:rsidRPr="001673F4">
                  <w:rPr>
                    <w:webHidden/>
                    <w:szCs w:val="24"/>
                  </w:rPr>
                  <w:fldChar w:fldCharType="begin"/>
                </w:r>
                <w:r w:rsidR="001673F4" w:rsidRPr="001673F4">
                  <w:rPr>
                    <w:webHidden/>
                    <w:szCs w:val="24"/>
                  </w:rPr>
                  <w:instrText xml:space="preserve"> PAGEREF _Toc511859767 \h </w:instrText>
                </w:r>
                <w:r w:rsidR="001673F4" w:rsidRPr="001673F4">
                  <w:rPr>
                    <w:webHidden/>
                    <w:szCs w:val="24"/>
                  </w:rPr>
                </w:r>
                <w:r w:rsidR="001673F4" w:rsidRPr="001673F4">
                  <w:rPr>
                    <w:webHidden/>
                    <w:szCs w:val="24"/>
                  </w:rPr>
                  <w:fldChar w:fldCharType="separate"/>
                </w:r>
                <w:r w:rsidR="003702BB">
                  <w:rPr>
                    <w:webHidden/>
                    <w:szCs w:val="24"/>
                  </w:rPr>
                  <w:t>33</w:t>
                </w:r>
                <w:r w:rsidR="001673F4" w:rsidRPr="001673F4">
                  <w:rPr>
                    <w:webHidden/>
                    <w:szCs w:val="24"/>
                  </w:rPr>
                  <w:fldChar w:fldCharType="end"/>
                </w:r>
              </w:hyperlink>
            </w:p>
            <w:p w14:paraId="02668172" w14:textId="77777777" w:rsidR="001673F4" w:rsidRPr="001673F4" w:rsidRDefault="00927474">
              <w:pPr>
                <w:pStyle w:val="TDC2"/>
                <w:rPr>
                  <w:rFonts w:ascii="Century Gothic" w:eastAsiaTheme="minorEastAsia" w:hAnsi="Century Gothic"/>
                  <w:noProof/>
                  <w:sz w:val="24"/>
                  <w:szCs w:val="24"/>
                  <w:lang w:eastAsia="es-MX"/>
                </w:rPr>
              </w:pPr>
              <w:hyperlink w:anchor="_Toc511859768" w:history="1">
                <w:r w:rsidR="001673F4" w:rsidRPr="001673F4">
                  <w:rPr>
                    <w:rStyle w:val="Hipervnculo"/>
                    <w:rFonts w:ascii="Century Gothic" w:hAnsi="Century Gothic"/>
                    <w:noProof/>
                    <w:sz w:val="24"/>
                    <w:szCs w:val="24"/>
                  </w:rPr>
                  <w:t>2.1.1 Análisis de la justificación de la creación y del diseño del programa.</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_Toc511859768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33</w:t>
                </w:r>
                <w:r w:rsidR="001673F4" w:rsidRPr="001673F4">
                  <w:rPr>
                    <w:rFonts w:ascii="Century Gothic" w:hAnsi="Century Gothic"/>
                    <w:noProof/>
                    <w:webHidden/>
                    <w:sz w:val="24"/>
                    <w:szCs w:val="24"/>
                  </w:rPr>
                  <w:fldChar w:fldCharType="end"/>
                </w:r>
              </w:hyperlink>
            </w:p>
            <w:p w14:paraId="31809ABA" w14:textId="77777777" w:rsidR="001673F4" w:rsidRPr="001673F4" w:rsidRDefault="00927474">
              <w:pPr>
                <w:pStyle w:val="TDC2"/>
                <w:rPr>
                  <w:rFonts w:ascii="Century Gothic" w:eastAsiaTheme="minorEastAsia" w:hAnsi="Century Gothic"/>
                  <w:noProof/>
                  <w:sz w:val="24"/>
                  <w:szCs w:val="24"/>
                  <w:lang w:eastAsia="es-MX"/>
                </w:rPr>
              </w:pPr>
              <w:hyperlink w:anchor="_Toc511859769" w:history="1">
                <w:r w:rsidR="001673F4" w:rsidRPr="001673F4">
                  <w:rPr>
                    <w:rStyle w:val="Hipervnculo"/>
                    <w:rFonts w:ascii="Century Gothic" w:hAnsi="Century Gothic"/>
                    <w:noProof/>
                    <w:sz w:val="24"/>
                    <w:szCs w:val="24"/>
                  </w:rPr>
                  <w:t>2.1.2 Análisis de la contribución del programa a las metas y estrategias nacionales.</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_Toc511859769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35</w:t>
                </w:r>
                <w:r w:rsidR="001673F4" w:rsidRPr="001673F4">
                  <w:rPr>
                    <w:rFonts w:ascii="Century Gothic" w:hAnsi="Century Gothic"/>
                    <w:noProof/>
                    <w:webHidden/>
                    <w:sz w:val="24"/>
                    <w:szCs w:val="24"/>
                  </w:rPr>
                  <w:fldChar w:fldCharType="end"/>
                </w:r>
              </w:hyperlink>
            </w:p>
            <w:p w14:paraId="2DBCA0C6" w14:textId="77777777" w:rsidR="001673F4" w:rsidRPr="001673F4" w:rsidRDefault="00927474">
              <w:pPr>
                <w:pStyle w:val="TDC2"/>
                <w:rPr>
                  <w:rFonts w:ascii="Century Gothic" w:eastAsiaTheme="minorEastAsia" w:hAnsi="Century Gothic"/>
                  <w:noProof/>
                  <w:sz w:val="24"/>
                  <w:szCs w:val="24"/>
                  <w:lang w:eastAsia="es-MX"/>
                </w:rPr>
              </w:pPr>
              <w:hyperlink w:anchor="_Toc511859770" w:history="1">
                <w:r w:rsidR="001673F4" w:rsidRPr="001673F4">
                  <w:rPr>
                    <w:rStyle w:val="Hipervnculo"/>
                    <w:rFonts w:ascii="Century Gothic" w:hAnsi="Century Gothic"/>
                    <w:noProof/>
                    <w:sz w:val="24"/>
                    <w:szCs w:val="24"/>
                  </w:rPr>
                  <w:t>2.1.3 Análisis de la población potencial y objetivo y mecanismos de elegibilidad.</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_Toc511859770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40</w:t>
                </w:r>
                <w:r w:rsidR="001673F4" w:rsidRPr="001673F4">
                  <w:rPr>
                    <w:rFonts w:ascii="Century Gothic" w:hAnsi="Century Gothic"/>
                    <w:noProof/>
                    <w:webHidden/>
                    <w:sz w:val="24"/>
                    <w:szCs w:val="24"/>
                  </w:rPr>
                  <w:fldChar w:fldCharType="end"/>
                </w:r>
              </w:hyperlink>
            </w:p>
            <w:p w14:paraId="3870962F" w14:textId="77777777" w:rsidR="001673F4" w:rsidRPr="001673F4" w:rsidRDefault="00927474">
              <w:pPr>
                <w:pStyle w:val="TDC2"/>
                <w:rPr>
                  <w:rFonts w:ascii="Century Gothic" w:eastAsiaTheme="minorEastAsia" w:hAnsi="Century Gothic"/>
                  <w:noProof/>
                  <w:sz w:val="24"/>
                  <w:szCs w:val="24"/>
                  <w:lang w:eastAsia="es-MX"/>
                </w:rPr>
              </w:pPr>
              <w:hyperlink w:anchor="_Toc511859771" w:history="1">
                <w:r w:rsidR="001673F4" w:rsidRPr="001673F4">
                  <w:rPr>
                    <w:rStyle w:val="Hipervnculo"/>
                    <w:rFonts w:ascii="Century Gothic" w:hAnsi="Century Gothic"/>
                    <w:noProof/>
                    <w:sz w:val="24"/>
                    <w:szCs w:val="24"/>
                  </w:rPr>
                  <w:t>2.1.4 Evaluación y análisis de la matriz de indicadores para resultados.</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_Toc511859771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43</w:t>
                </w:r>
                <w:r w:rsidR="001673F4" w:rsidRPr="001673F4">
                  <w:rPr>
                    <w:rFonts w:ascii="Century Gothic" w:hAnsi="Century Gothic"/>
                    <w:noProof/>
                    <w:webHidden/>
                    <w:sz w:val="24"/>
                    <w:szCs w:val="24"/>
                  </w:rPr>
                  <w:fldChar w:fldCharType="end"/>
                </w:r>
              </w:hyperlink>
            </w:p>
            <w:p w14:paraId="523E6323" w14:textId="77777777" w:rsidR="001673F4" w:rsidRPr="001673F4" w:rsidRDefault="00927474">
              <w:pPr>
                <w:pStyle w:val="TDC3"/>
                <w:rPr>
                  <w:rFonts w:ascii="Century Gothic" w:eastAsiaTheme="minorEastAsia" w:hAnsi="Century Gothic"/>
                  <w:noProof/>
                  <w:sz w:val="24"/>
                  <w:szCs w:val="24"/>
                  <w:lang w:eastAsia="es-MX"/>
                </w:rPr>
              </w:pPr>
              <w:hyperlink w:anchor="_Toc511859772" w:history="1">
                <w:r w:rsidR="001673F4" w:rsidRPr="001673F4">
                  <w:rPr>
                    <w:rStyle w:val="Hipervnculo"/>
                    <w:rFonts w:ascii="Century Gothic" w:hAnsi="Century Gothic"/>
                    <w:noProof/>
                    <w:sz w:val="24"/>
                    <w:szCs w:val="24"/>
                  </w:rPr>
                  <w:t>Análisis de los supuestos</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_Toc511859772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46</w:t>
                </w:r>
                <w:r w:rsidR="001673F4" w:rsidRPr="001673F4">
                  <w:rPr>
                    <w:rFonts w:ascii="Century Gothic" w:hAnsi="Century Gothic"/>
                    <w:noProof/>
                    <w:webHidden/>
                    <w:sz w:val="24"/>
                    <w:szCs w:val="24"/>
                  </w:rPr>
                  <w:fldChar w:fldCharType="end"/>
                </w:r>
              </w:hyperlink>
            </w:p>
            <w:p w14:paraId="3E6E1C4B" w14:textId="77777777" w:rsidR="001673F4" w:rsidRPr="001673F4" w:rsidRDefault="00927474">
              <w:pPr>
                <w:pStyle w:val="TDC3"/>
                <w:rPr>
                  <w:rFonts w:ascii="Century Gothic" w:eastAsiaTheme="minorEastAsia" w:hAnsi="Century Gothic"/>
                  <w:noProof/>
                  <w:sz w:val="24"/>
                  <w:szCs w:val="24"/>
                  <w:lang w:eastAsia="es-MX"/>
                </w:rPr>
              </w:pPr>
              <w:hyperlink w:anchor="_Toc511859773" w:history="1">
                <w:r w:rsidR="001673F4" w:rsidRPr="001673F4">
                  <w:rPr>
                    <w:rStyle w:val="Hipervnculo"/>
                    <w:rFonts w:ascii="Century Gothic" w:hAnsi="Century Gothic"/>
                    <w:noProof/>
                    <w:sz w:val="24"/>
                    <w:szCs w:val="24"/>
                  </w:rPr>
                  <w:t>Análisis de la lógica vertical</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_Toc511859773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47</w:t>
                </w:r>
                <w:r w:rsidR="001673F4" w:rsidRPr="001673F4">
                  <w:rPr>
                    <w:rFonts w:ascii="Century Gothic" w:hAnsi="Century Gothic"/>
                    <w:noProof/>
                    <w:webHidden/>
                    <w:sz w:val="24"/>
                    <w:szCs w:val="24"/>
                  </w:rPr>
                  <w:fldChar w:fldCharType="end"/>
                </w:r>
              </w:hyperlink>
            </w:p>
            <w:p w14:paraId="21403646" w14:textId="77777777" w:rsidR="001673F4" w:rsidRPr="001673F4" w:rsidRDefault="00927474">
              <w:pPr>
                <w:pStyle w:val="TDC3"/>
                <w:rPr>
                  <w:rFonts w:ascii="Century Gothic" w:eastAsiaTheme="minorEastAsia" w:hAnsi="Century Gothic"/>
                  <w:noProof/>
                  <w:sz w:val="24"/>
                  <w:szCs w:val="24"/>
                  <w:lang w:eastAsia="es-MX"/>
                </w:rPr>
              </w:pPr>
              <w:hyperlink w:anchor="_Toc511859774" w:history="1">
                <w:r w:rsidR="001673F4" w:rsidRPr="001673F4">
                  <w:rPr>
                    <w:rStyle w:val="Hipervnculo"/>
                    <w:rFonts w:ascii="Century Gothic" w:hAnsi="Century Gothic"/>
                    <w:noProof/>
                    <w:sz w:val="24"/>
                    <w:szCs w:val="24"/>
                  </w:rPr>
                  <w:t>Análisis de la lógica horizontal</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_Toc511859774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52</w:t>
                </w:r>
                <w:r w:rsidR="001673F4" w:rsidRPr="001673F4">
                  <w:rPr>
                    <w:rFonts w:ascii="Century Gothic" w:hAnsi="Century Gothic"/>
                    <w:noProof/>
                    <w:webHidden/>
                    <w:sz w:val="24"/>
                    <w:szCs w:val="24"/>
                  </w:rPr>
                  <w:fldChar w:fldCharType="end"/>
                </w:r>
              </w:hyperlink>
            </w:p>
            <w:p w14:paraId="376EEAC8" w14:textId="77777777" w:rsidR="001673F4" w:rsidRPr="001673F4" w:rsidRDefault="00927474">
              <w:pPr>
                <w:pStyle w:val="TDC3"/>
                <w:rPr>
                  <w:rFonts w:ascii="Century Gothic" w:eastAsiaTheme="minorEastAsia" w:hAnsi="Century Gothic"/>
                  <w:noProof/>
                  <w:sz w:val="24"/>
                  <w:szCs w:val="24"/>
                  <w:lang w:eastAsia="es-MX"/>
                </w:rPr>
              </w:pPr>
              <w:hyperlink w:anchor="_Toc511859775" w:history="1">
                <w:r w:rsidR="001673F4" w:rsidRPr="001673F4">
                  <w:rPr>
                    <w:rStyle w:val="Hipervnculo"/>
                    <w:rFonts w:ascii="Century Gothic" w:hAnsi="Century Gothic"/>
                    <w:noProof/>
                    <w:sz w:val="24"/>
                    <w:szCs w:val="24"/>
                  </w:rPr>
                  <w:t>Ficha técnica de los Indicadores</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_Toc511859775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59</w:t>
                </w:r>
                <w:r w:rsidR="001673F4" w:rsidRPr="001673F4">
                  <w:rPr>
                    <w:rFonts w:ascii="Century Gothic" w:hAnsi="Century Gothic"/>
                    <w:noProof/>
                    <w:webHidden/>
                    <w:sz w:val="24"/>
                    <w:szCs w:val="24"/>
                  </w:rPr>
                  <w:fldChar w:fldCharType="end"/>
                </w:r>
              </w:hyperlink>
            </w:p>
            <w:p w14:paraId="3531BBD8" w14:textId="77777777" w:rsidR="001673F4" w:rsidRPr="001673F4" w:rsidRDefault="00927474">
              <w:pPr>
                <w:pStyle w:val="TDC2"/>
                <w:rPr>
                  <w:rFonts w:ascii="Century Gothic" w:eastAsiaTheme="minorEastAsia" w:hAnsi="Century Gothic"/>
                  <w:noProof/>
                  <w:sz w:val="24"/>
                  <w:szCs w:val="24"/>
                  <w:lang w:eastAsia="es-MX"/>
                </w:rPr>
              </w:pPr>
              <w:hyperlink w:anchor="_Toc511859776" w:history="1">
                <w:r w:rsidR="001673F4" w:rsidRPr="001673F4">
                  <w:rPr>
                    <w:rStyle w:val="Hipervnculo"/>
                    <w:rFonts w:ascii="Century Gothic" w:hAnsi="Century Gothic"/>
                    <w:noProof/>
                    <w:sz w:val="24"/>
                    <w:szCs w:val="24"/>
                  </w:rPr>
                  <w:t>2.1.5 Análisis de posibles complementariedades y coincidencias con otros programas federales.</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_Toc511859776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60</w:t>
                </w:r>
                <w:r w:rsidR="001673F4" w:rsidRPr="001673F4">
                  <w:rPr>
                    <w:rFonts w:ascii="Century Gothic" w:hAnsi="Century Gothic"/>
                    <w:noProof/>
                    <w:webHidden/>
                    <w:sz w:val="24"/>
                    <w:szCs w:val="24"/>
                  </w:rPr>
                  <w:fldChar w:fldCharType="end"/>
                </w:r>
              </w:hyperlink>
            </w:p>
            <w:p w14:paraId="5000285B" w14:textId="77777777" w:rsidR="001673F4" w:rsidRPr="001673F4" w:rsidRDefault="00927474">
              <w:pPr>
                <w:pStyle w:val="TDC1"/>
                <w:rPr>
                  <w:rFonts w:eastAsiaTheme="minorEastAsia"/>
                  <w:szCs w:val="24"/>
                  <w:lang w:eastAsia="es-MX"/>
                </w:rPr>
              </w:pPr>
              <w:hyperlink w:anchor="_Toc511859777" w:history="1">
                <w:r w:rsidR="001673F4" w:rsidRPr="001673F4">
                  <w:rPr>
                    <w:rStyle w:val="Hipervnculo"/>
                    <w:szCs w:val="24"/>
                  </w:rPr>
                  <w:t>2.2. Planeación y orientación a resultados</w:t>
                </w:r>
                <w:r w:rsidR="001673F4" w:rsidRPr="001673F4">
                  <w:rPr>
                    <w:webHidden/>
                    <w:szCs w:val="24"/>
                  </w:rPr>
                  <w:tab/>
                </w:r>
                <w:r w:rsidR="001673F4" w:rsidRPr="001673F4">
                  <w:rPr>
                    <w:webHidden/>
                    <w:szCs w:val="24"/>
                  </w:rPr>
                  <w:fldChar w:fldCharType="begin"/>
                </w:r>
                <w:r w:rsidR="001673F4" w:rsidRPr="001673F4">
                  <w:rPr>
                    <w:webHidden/>
                    <w:szCs w:val="24"/>
                  </w:rPr>
                  <w:instrText xml:space="preserve"> PAGEREF _Toc511859777 \h </w:instrText>
                </w:r>
                <w:r w:rsidR="001673F4" w:rsidRPr="001673F4">
                  <w:rPr>
                    <w:webHidden/>
                    <w:szCs w:val="24"/>
                  </w:rPr>
                </w:r>
                <w:r w:rsidR="001673F4" w:rsidRPr="001673F4">
                  <w:rPr>
                    <w:webHidden/>
                    <w:szCs w:val="24"/>
                  </w:rPr>
                  <w:fldChar w:fldCharType="separate"/>
                </w:r>
                <w:r w:rsidR="003702BB">
                  <w:rPr>
                    <w:webHidden/>
                    <w:szCs w:val="24"/>
                  </w:rPr>
                  <w:t>63</w:t>
                </w:r>
                <w:r w:rsidR="001673F4" w:rsidRPr="001673F4">
                  <w:rPr>
                    <w:webHidden/>
                    <w:szCs w:val="24"/>
                  </w:rPr>
                  <w:fldChar w:fldCharType="end"/>
                </w:r>
              </w:hyperlink>
            </w:p>
            <w:p w14:paraId="31191190" w14:textId="77777777" w:rsidR="001673F4" w:rsidRPr="001673F4" w:rsidRDefault="00927474">
              <w:pPr>
                <w:pStyle w:val="TDC2"/>
                <w:rPr>
                  <w:rFonts w:ascii="Century Gothic" w:eastAsiaTheme="minorEastAsia" w:hAnsi="Century Gothic"/>
                  <w:noProof/>
                  <w:sz w:val="24"/>
                  <w:szCs w:val="24"/>
                  <w:lang w:eastAsia="es-MX"/>
                </w:rPr>
              </w:pPr>
              <w:hyperlink w:anchor="_Toc511859778" w:history="1">
                <w:r w:rsidR="001673F4" w:rsidRPr="001673F4">
                  <w:rPr>
                    <w:rStyle w:val="Hipervnculo"/>
                    <w:rFonts w:ascii="Century Gothic" w:hAnsi="Century Gothic"/>
                    <w:noProof/>
                    <w:sz w:val="24"/>
                    <w:szCs w:val="24"/>
                  </w:rPr>
                  <w:t>2.2.1 Instrumentos de planeación.</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_Toc511859778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63</w:t>
                </w:r>
                <w:r w:rsidR="001673F4" w:rsidRPr="001673F4">
                  <w:rPr>
                    <w:rFonts w:ascii="Century Gothic" w:hAnsi="Century Gothic"/>
                    <w:noProof/>
                    <w:webHidden/>
                    <w:sz w:val="24"/>
                    <w:szCs w:val="24"/>
                  </w:rPr>
                  <w:fldChar w:fldCharType="end"/>
                </w:r>
              </w:hyperlink>
            </w:p>
            <w:p w14:paraId="29C3875F" w14:textId="77777777" w:rsidR="001673F4" w:rsidRPr="001673F4" w:rsidRDefault="00927474">
              <w:pPr>
                <w:pStyle w:val="TDC2"/>
                <w:rPr>
                  <w:rFonts w:ascii="Century Gothic" w:eastAsiaTheme="minorEastAsia" w:hAnsi="Century Gothic"/>
                  <w:noProof/>
                  <w:sz w:val="24"/>
                  <w:szCs w:val="24"/>
                  <w:lang w:eastAsia="es-MX"/>
                </w:rPr>
              </w:pPr>
              <w:hyperlink w:anchor="_Toc511859779" w:history="1">
                <w:r w:rsidR="001673F4" w:rsidRPr="001673F4">
                  <w:rPr>
                    <w:rStyle w:val="Hipervnculo"/>
                    <w:rFonts w:ascii="Century Gothic" w:hAnsi="Century Gothic"/>
                    <w:noProof/>
                    <w:sz w:val="24"/>
                    <w:szCs w:val="24"/>
                  </w:rPr>
                  <w:t>2.2.2 De la orientación hacia resultados y esquemas o procesos de evaluación.</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_Toc511859779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64</w:t>
                </w:r>
                <w:r w:rsidR="001673F4" w:rsidRPr="001673F4">
                  <w:rPr>
                    <w:rFonts w:ascii="Century Gothic" w:hAnsi="Century Gothic"/>
                    <w:noProof/>
                    <w:webHidden/>
                    <w:sz w:val="24"/>
                    <w:szCs w:val="24"/>
                  </w:rPr>
                  <w:fldChar w:fldCharType="end"/>
                </w:r>
              </w:hyperlink>
            </w:p>
            <w:p w14:paraId="4D2D1AFB" w14:textId="77777777" w:rsidR="001673F4" w:rsidRPr="001673F4" w:rsidRDefault="00927474">
              <w:pPr>
                <w:pStyle w:val="TDC2"/>
                <w:rPr>
                  <w:rFonts w:ascii="Century Gothic" w:eastAsiaTheme="minorEastAsia" w:hAnsi="Century Gothic"/>
                  <w:noProof/>
                  <w:sz w:val="24"/>
                  <w:szCs w:val="24"/>
                  <w:lang w:eastAsia="es-MX"/>
                </w:rPr>
              </w:pPr>
              <w:hyperlink w:anchor="_Toc511859780" w:history="1">
                <w:r w:rsidR="001673F4" w:rsidRPr="001673F4">
                  <w:rPr>
                    <w:rStyle w:val="Hipervnculo"/>
                    <w:rFonts w:ascii="Century Gothic" w:hAnsi="Century Gothic"/>
                    <w:noProof/>
                    <w:sz w:val="24"/>
                    <w:szCs w:val="24"/>
                  </w:rPr>
                  <w:t>2.2.3 De la generación de información.</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_Toc511859780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65</w:t>
                </w:r>
                <w:r w:rsidR="001673F4" w:rsidRPr="001673F4">
                  <w:rPr>
                    <w:rFonts w:ascii="Century Gothic" w:hAnsi="Century Gothic"/>
                    <w:noProof/>
                    <w:webHidden/>
                    <w:sz w:val="24"/>
                    <w:szCs w:val="24"/>
                  </w:rPr>
                  <w:fldChar w:fldCharType="end"/>
                </w:r>
              </w:hyperlink>
            </w:p>
            <w:p w14:paraId="5670F65C" w14:textId="77777777" w:rsidR="001673F4" w:rsidRPr="001673F4" w:rsidRDefault="00927474">
              <w:pPr>
                <w:pStyle w:val="TDC1"/>
                <w:rPr>
                  <w:rFonts w:eastAsiaTheme="minorEastAsia"/>
                  <w:szCs w:val="24"/>
                  <w:lang w:eastAsia="es-MX"/>
                </w:rPr>
              </w:pPr>
              <w:hyperlink w:anchor="_Toc511859781" w:history="1">
                <w:r w:rsidR="001673F4" w:rsidRPr="001673F4">
                  <w:rPr>
                    <w:rStyle w:val="Hipervnculo"/>
                    <w:szCs w:val="24"/>
                  </w:rPr>
                  <w:t>2.3. Cobertura y focalización</w:t>
                </w:r>
                <w:r w:rsidR="001673F4" w:rsidRPr="001673F4">
                  <w:rPr>
                    <w:webHidden/>
                    <w:szCs w:val="24"/>
                  </w:rPr>
                  <w:tab/>
                </w:r>
                <w:r w:rsidR="001673F4" w:rsidRPr="001673F4">
                  <w:rPr>
                    <w:webHidden/>
                    <w:szCs w:val="24"/>
                  </w:rPr>
                  <w:fldChar w:fldCharType="begin"/>
                </w:r>
                <w:r w:rsidR="001673F4" w:rsidRPr="001673F4">
                  <w:rPr>
                    <w:webHidden/>
                    <w:szCs w:val="24"/>
                  </w:rPr>
                  <w:instrText xml:space="preserve"> PAGEREF _Toc511859781 \h </w:instrText>
                </w:r>
                <w:r w:rsidR="001673F4" w:rsidRPr="001673F4">
                  <w:rPr>
                    <w:webHidden/>
                    <w:szCs w:val="24"/>
                  </w:rPr>
                </w:r>
                <w:r w:rsidR="001673F4" w:rsidRPr="001673F4">
                  <w:rPr>
                    <w:webHidden/>
                    <w:szCs w:val="24"/>
                  </w:rPr>
                  <w:fldChar w:fldCharType="separate"/>
                </w:r>
                <w:r w:rsidR="003702BB">
                  <w:rPr>
                    <w:webHidden/>
                    <w:szCs w:val="24"/>
                  </w:rPr>
                  <w:t>66</w:t>
                </w:r>
                <w:r w:rsidR="001673F4" w:rsidRPr="001673F4">
                  <w:rPr>
                    <w:webHidden/>
                    <w:szCs w:val="24"/>
                  </w:rPr>
                  <w:fldChar w:fldCharType="end"/>
                </w:r>
              </w:hyperlink>
            </w:p>
            <w:p w14:paraId="46A805D5" w14:textId="77777777" w:rsidR="001673F4" w:rsidRPr="001673F4" w:rsidRDefault="00927474">
              <w:pPr>
                <w:pStyle w:val="TDC2"/>
                <w:rPr>
                  <w:rFonts w:ascii="Century Gothic" w:eastAsiaTheme="minorEastAsia" w:hAnsi="Century Gothic"/>
                  <w:noProof/>
                  <w:sz w:val="24"/>
                  <w:szCs w:val="24"/>
                  <w:lang w:eastAsia="es-MX"/>
                </w:rPr>
              </w:pPr>
              <w:hyperlink w:anchor="_Toc511859782" w:history="1">
                <w:r w:rsidR="001673F4" w:rsidRPr="001673F4">
                  <w:rPr>
                    <w:rStyle w:val="Hipervnculo"/>
                    <w:rFonts w:ascii="Century Gothic" w:hAnsi="Century Gothic"/>
                    <w:noProof/>
                    <w:sz w:val="24"/>
                    <w:szCs w:val="24"/>
                  </w:rPr>
                  <w:t>2.3.1. Análisis de cobertura.</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_Toc511859782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66</w:t>
                </w:r>
                <w:r w:rsidR="001673F4" w:rsidRPr="001673F4">
                  <w:rPr>
                    <w:rFonts w:ascii="Century Gothic" w:hAnsi="Century Gothic"/>
                    <w:noProof/>
                    <w:webHidden/>
                    <w:sz w:val="24"/>
                    <w:szCs w:val="24"/>
                  </w:rPr>
                  <w:fldChar w:fldCharType="end"/>
                </w:r>
              </w:hyperlink>
            </w:p>
            <w:p w14:paraId="36F49120" w14:textId="77777777" w:rsidR="001673F4" w:rsidRPr="001673F4" w:rsidRDefault="00927474">
              <w:pPr>
                <w:pStyle w:val="TDC1"/>
                <w:rPr>
                  <w:rFonts w:eastAsiaTheme="minorEastAsia"/>
                  <w:szCs w:val="24"/>
                  <w:lang w:eastAsia="es-MX"/>
                </w:rPr>
              </w:pPr>
              <w:hyperlink w:anchor="_Toc511859783" w:history="1">
                <w:r w:rsidR="001673F4" w:rsidRPr="001673F4">
                  <w:rPr>
                    <w:rStyle w:val="Hipervnculo"/>
                    <w:bCs/>
                    <w:szCs w:val="24"/>
                  </w:rPr>
                  <w:t xml:space="preserve">2.4. </w:t>
                </w:r>
                <w:r w:rsidR="001673F4" w:rsidRPr="001673F4">
                  <w:rPr>
                    <w:rStyle w:val="Hipervnculo"/>
                    <w:szCs w:val="24"/>
                  </w:rPr>
                  <w:t>Operación</w:t>
                </w:r>
                <w:r w:rsidR="001673F4" w:rsidRPr="001673F4">
                  <w:rPr>
                    <w:webHidden/>
                    <w:szCs w:val="24"/>
                  </w:rPr>
                  <w:tab/>
                </w:r>
                <w:r w:rsidR="001673F4" w:rsidRPr="001673F4">
                  <w:rPr>
                    <w:webHidden/>
                    <w:szCs w:val="24"/>
                  </w:rPr>
                  <w:fldChar w:fldCharType="begin"/>
                </w:r>
                <w:r w:rsidR="001673F4" w:rsidRPr="001673F4">
                  <w:rPr>
                    <w:webHidden/>
                    <w:szCs w:val="24"/>
                  </w:rPr>
                  <w:instrText xml:space="preserve"> PAGEREF _Toc511859783 \h </w:instrText>
                </w:r>
                <w:r w:rsidR="001673F4" w:rsidRPr="001673F4">
                  <w:rPr>
                    <w:webHidden/>
                    <w:szCs w:val="24"/>
                  </w:rPr>
                </w:r>
                <w:r w:rsidR="001673F4" w:rsidRPr="001673F4">
                  <w:rPr>
                    <w:webHidden/>
                    <w:szCs w:val="24"/>
                  </w:rPr>
                  <w:fldChar w:fldCharType="separate"/>
                </w:r>
                <w:r w:rsidR="003702BB">
                  <w:rPr>
                    <w:webHidden/>
                    <w:szCs w:val="24"/>
                  </w:rPr>
                  <w:t>68</w:t>
                </w:r>
                <w:r w:rsidR="001673F4" w:rsidRPr="001673F4">
                  <w:rPr>
                    <w:webHidden/>
                    <w:szCs w:val="24"/>
                  </w:rPr>
                  <w:fldChar w:fldCharType="end"/>
                </w:r>
              </w:hyperlink>
            </w:p>
            <w:p w14:paraId="5F703CCF" w14:textId="77777777" w:rsidR="001673F4" w:rsidRPr="001673F4" w:rsidRDefault="00927474">
              <w:pPr>
                <w:pStyle w:val="TDC2"/>
                <w:rPr>
                  <w:rFonts w:ascii="Century Gothic" w:eastAsiaTheme="minorEastAsia" w:hAnsi="Century Gothic"/>
                  <w:noProof/>
                  <w:sz w:val="24"/>
                  <w:szCs w:val="24"/>
                  <w:lang w:eastAsia="es-MX"/>
                </w:rPr>
              </w:pPr>
              <w:hyperlink w:anchor="_Toc511859784" w:history="1">
                <w:r w:rsidR="001673F4" w:rsidRPr="001673F4">
                  <w:rPr>
                    <w:rStyle w:val="Hipervnculo"/>
                    <w:rFonts w:ascii="Century Gothic" w:hAnsi="Century Gothic"/>
                    <w:noProof/>
                    <w:sz w:val="24"/>
                    <w:szCs w:val="24"/>
                  </w:rPr>
                  <w:t>2.4.1. Análisis de los procesos establecidos en las ROP o normatividad aplicable.</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_Toc511859784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68</w:t>
                </w:r>
                <w:r w:rsidR="001673F4" w:rsidRPr="001673F4">
                  <w:rPr>
                    <w:rFonts w:ascii="Century Gothic" w:hAnsi="Century Gothic"/>
                    <w:noProof/>
                    <w:webHidden/>
                    <w:sz w:val="24"/>
                    <w:szCs w:val="24"/>
                  </w:rPr>
                  <w:fldChar w:fldCharType="end"/>
                </w:r>
              </w:hyperlink>
            </w:p>
            <w:p w14:paraId="6FD9B646" w14:textId="77777777" w:rsidR="001673F4" w:rsidRPr="001673F4" w:rsidRDefault="00927474">
              <w:pPr>
                <w:pStyle w:val="TDC3"/>
                <w:rPr>
                  <w:rFonts w:ascii="Century Gothic" w:eastAsiaTheme="minorEastAsia" w:hAnsi="Century Gothic"/>
                  <w:noProof/>
                  <w:sz w:val="24"/>
                  <w:szCs w:val="24"/>
                  <w:lang w:eastAsia="es-MX"/>
                </w:rPr>
              </w:pPr>
              <w:hyperlink w:anchor="_Toc511859785" w:history="1">
                <w:r w:rsidR="001673F4" w:rsidRPr="001673F4">
                  <w:rPr>
                    <w:rStyle w:val="Hipervnculo"/>
                    <w:rFonts w:ascii="Century Gothic" w:hAnsi="Century Gothic"/>
                    <w:noProof/>
                    <w:sz w:val="24"/>
                    <w:szCs w:val="24"/>
                  </w:rPr>
                  <w:t>Plan de Calidad para proyectos ejecutivos</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_Toc511859785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69</w:t>
                </w:r>
                <w:r w:rsidR="001673F4" w:rsidRPr="001673F4">
                  <w:rPr>
                    <w:rFonts w:ascii="Century Gothic" w:hAnsi="Century Gothic"/>
                    <w:noProof/>
                    <w:webHidden/>
                    <w:sz w:val="24"/>
                    <w:szCs w:val="24"/>
                  </w:rPr>
                  <w:fldChar w:fldCharType="end"/>
                </w:r>
              </w:hyperlink>
            </w:p>
            <w:p w14:paraId="0E329CE9" w14:textId="77777777" w:rsidR="001673F4" w:rsidRPr="001673F4" w:rsidRDefault="00927474">
              <w:pPr>
                <w:pStyle w:val="TDC3"/>
                <w:rPr>
                  <w:rFonts w:ascii="Century Gothic" w:eastAsiaTheme="minorEastAsia" w:hAnsi="Century Gothic"/>
                  <w:noProof/>
                  <w:sz w:val="24"/>
                  <w:szCs w:val="24"/>
                  <w:lang w:eastAsia="es-MX"/>
                </w:rPr>
              </w:pPr>
              <w:hyperlink w:anchor="_Toc511859786" w:history="1">
                <w:r w:rsidR="001673F4" w:rsidRPr="001673F4">
                  <w:rPr>
                    <w:rStyle w:val="Hipervnculo"/>
                    <w:rFonts w:ascii="Century Gothic" w:hAnsi="Century Gothic"/>
                    <w:noProof/>
                    <w:sz w:val="24"/>
                    <w:szCs w:val="24"/>
                  </w:rPr>
                  <w:t>Plan de la Calidad para la contratación</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_Toc511859786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72</w:t>
                </w:r>
                <w:r w:rsidR="001673F4" w:rsidRPr="001673F4">
                  <w:rPr>
                    <w:rFonts w:ascii="Century Gothic" w:hAnsi="Century Gothic"/>
                    <w:noProof/>
                    <w:webHidden/>
                    <w:sz w:val="24"/>
                    <w:szCs w:val="24"/>
                  </w:rPr>
                  <w:fldChar w:fldCharType="end"/>
                </w:r>
              </w:hyperlink>
            </w:p>
            <w:p w14:paraId="46BA4553" w14:textId="77777777" w:rsidR="001673F4" w:rsidRPr="001673F4" w:rsidRDefault="00927474">
              <w:pPr>
                <w:pStyle w:val="TDC3"/>
                <w:rPr>
                  <w:rFonts w:ascii="Century Gothic" w:eastAsiaTheme="minorEastAsia" w:hAnsi="Century Gothic"/>
                  <w:noProof/>
                  <w:sz w:val="24"/>
                  <w:szCs w:val="24"/>
                  <w:lang w:eastAsia="es-MX"/>
                </w:rPr>
              </w:pPr>
              <w:hyperlink w:anchor="_Toc511859787" w:history="1">
                <w:r w:rsidR="001673F4" w:rsidRPr="001673F4">
                  <w:rPr>
                    <w:rStyle w:val="Hipervnculo"/>
                    <w:rFonts w:ascii="Century Gothic" w:hAnsi="Century Gothic"/>
                    <w:noProof/>
                    <w:sz w:val="24"/>
                    <w:szCs w:val="24"/>
                  </w:rPr>
                  <w:t>Procedimiento de Ejecución de obra contratada</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_Toc511859787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73</w:t>
                </w:r>
                <w:r w:rsidR="001673F4" w:rsidRPr="001673F4">
                  <w:rPr>
                    <w:rFonts w:ascii="Century Gothic" w:hAnsi="Century Gothic"/>
                    <w:noProof/>
                    <w:webHidden/>
                    <w:sz w:val="24"/>
                    <w:szCs w:val="24"/>
                  </w:rPr>
                  <w:fldChar w:fldCharType="end"/>
                </w:r>
              </w:hyperlink>
            </w:p>
            <w:p w14:paraId="73026135" w14:textId="77777777" w:rsidR="001673F4" w:rsidRPr="001673F4" w:rsidRDefault="00927474">
              <w:pPr>
                <w:pStyle w:val="TDC3"/>
                <w:rPr>
                  <w:rFonts w:ascii="Century Gothic" w:eastAsiaTheme="minorEastAsia" w:hAnsi="Century Gothic"/>
                  <w:noProof/>
                  <w:sz w:val="24"/>
                  <w:szCs w:val="24"/>
                  <w:lang w:eastAsia="es-MX"/>
                </w:rPr>
              </w:pPr>
              <w:hyperlink w:anchor="_Toc511859788" w:history="1">
                <w:r w:rsidR="001673F4" w:rsidRPr="001673F4">
                  <w:rPr>
                    <w:rStyle w:val="Hipervnculo"/>
                    <w:rFonts w:ascii="Century Gothic" w:hAnsi="Century Gothic"/>
                    <w:noProof/>
                    <w:sz w:val="24"/>
                    <w:szCs w:val="24"/>
                  </w:rPr>
                  <w:t>Plan de la calidad para la ejecución de la obra</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_Toc511859788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76</w:t>
                </w:r>
                <w:r w:rsidR="001673F4" w:rsidRPr="001673F4">
                  <w:rPr>
                    <w:rFonts w:ascii="Century Gothic" w:hAnsi="Century Gothic"/>
                    <w:noProof/>
                    <w:webHidden/>
                    <w:sz w:val="24"/>
                    <w:szCs w:val="24"/>
                  </w:rPr>
                  <w:fldChar w:fldCharType="end"/>
                </w:r>
              </w:hyperlink>
            </w:p>
            <w:p w14:paraId="3D582936" w14:textId="77777777" w:rsidR="001673F4" w:rsidRPr="001673F4" w:rsidRDefault="00927474">
              <w:pPr>
                <w:pStyle w:val="TDC2"/>
                <w:rPr>
                  <w:rFonts w:ascii="Century Gothic" w:eastAsiaTheme="minorEastAsia" w:hAnsi="Century Gothic"/>
                  <w:noProof/>
                  <w:sz w:val="24"/>
                  <w:szCs w:val="24"/>
                  <w:lang w:eastAsia="es-MX"/>
                </w:rPr>
              </w:pPr>
              <w:hyperlink w:anchor="_Toc511859789" w:history="1">
                <w:r w:rsidR="001673F4" w:rsidRPr="001673F4">
                  <w:rPr>
                    <w:rStyle w:val="Hipervnculo"/>
                    <w:rFonts w:ascii="Century Gothic" w:hAnsi="Century Gothic"/>
                    <w:noProof/>
                    <w:sz w:val="24"/>
                    <w:szCs w:val="24"/>
                  </w:rPr>
                  <w:t>2.4.2. Mejora y simplificación regulatoria.</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_Toc511859789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80</w:t>
                </w:r>
                <w:r w:rsidR="001673F4" w:rsidRPr="001673F4">
                  <w:rPr>
                    <w:rFonts w:ascii="Century Gothic" w:hAnsi="Century Gothic"/>
                    <w:noProof/>
                    <w:webHidden/>
                    <w:sz w:val="24"/>
                    <w:szCs w:val="24"/>
                  </w:rPr>
                  <w:fldChar w:fldCharType="end"/>
                </w:r>
              </w:hyperlink>
            </w:p>
            <w:p w14:paraId="7A31D94D" w14:textId="77777777" w:rsidR="001673F4" w:rsidRPr="001673F4" w:rsidRDefault="00927474">
              <w:pPr>
                <w:pStyle w:val="TDC2"/>
                <w:rPr>
                  <w:rFonts w:ascii="Century Gothic" w:eastAsiaTheme="minorEastAsia" w:hAnsi="Century Gothic"/>
                  <w:noProof/>
                  <w:sz w:val="24"/>
                  <w:szCs w:val="24"/>
                  <w:lang w:eastAsia="es-MX"/>
                </w:rPr>
              </w:pPr>
              <w:hyperlink w:anchor="_Toc511859790" w:history="1">
                <w:r w:rsidR="001673F4" w:rsidRPr="001673F4">
                  <w:rPr>
                    <w:rStyle w:val="Hipervnculo"/>
                    <w:rFonts w:ascii="Century Gothic" w:hAnsi="Century Gothic"/>
                    <w:noProof/>
                    <w:sz w:val="24"/>
                    <w:szCs w:val="24"/>
                  </w:rPr>
                  <w:t>2.4.3. Eficiencia y economía operativa del programa.</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_Toc511859790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81</w:t>
                </w:r>
                <w:r w:rsidR="001673F4" w:rsidRPr="001673F4">
                  <w:rPr>
                    <w:rFonts w:ascii="Century Gothic" w:hAnsi="Century Gothic"/>
                    <w:noProof/>
                    <w:webHidden/>
                    <w:sz w:val="24"/>
                    <w:szCs w:val="24"/>
                  </w:rPr>
                  <w:fldChar w:fldCharType="end"/>
                </w:r>
              </w:hyperlink>
            </w:p>
            <w:p w14:paraId="656A5342" w14:textId="77777777" w:rsidR="001673F4" w:rsidRPr="001673F4" w:rsidRDefault="00927474">
              <w:pPr>
                <w:pStyle w:val="TDC2"/>
                <w:rPr>
                  <w:rFonts w:ascii="Century Gothic" w:eastAsiaTheme="minorEastAsia" w:hAnsi="Century Gothic"/>
                  <w:noProof/>
                  <w:sz w:val="24"/>
                  <w:szCs w:val="24"/>
                  <w:lang w:eastAsia="es-MX"/>
                </w:rPr>
              </w:pPr>
              <w:hyperlink w:anchor="_Toc511859791" w:history="1">
                <w:r w:rsidR="001673F4" w:rsidRPr="001673F4">
                  <w:rPr>
                    <w:rStyle w:val="Hipervnculo"/>
                    <w:rFonts w:ascii="Century Gothic" w:hAnsi="Century Gothic"/>
                    <w:noProof/>
                    <w:sz w:val="24"/>
                    <w:szCs w:val="24"/>
                  </w:rPr>
                  <w:t>2.4.4. Sistematización de la información.</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_Toc511859791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83</w:t>
                </w:r>
                <w:r w:rsidR="001673F4" w:rsidRPr="001673F4">
                  <w:rPr>
                    <w:rFonts w:ascii="Century Gothic" w:hAnsi="Century Gothic"/>
                    <w:noProof/>
                    <w:webHidden/>
                    <w:sz w:val="24"/>
                    <w:szCs w:val="24"/>
                  </w:rPr>
                  <w:fldChar w:fldCharType="end"/>
                </w:r>
              </w:hyperlink>
            </w:p>
            <w:p w14:paraId="3B090795" w14:textId="77777777" w:rsidR="001673F4" w:rsidRPr="001673F4" w:rsidRDefault="00927474">
              <w:pPr>
                <w:pStyle w:val="TDC2"/>
                <w:rPr>
                  <w:rFonts w:ascii="Century Gothic" w:eastAsiaTheme="minorEastAsia" w:hAnsi="Century Gothic"/>
                  <w:noProof/>
                  <w:sz w:val="24"/>
                  <w:szCs w:val="24"/>
                  <w:lang w:eastAsia="es-MX"/>
                </w:rPr>
              </w:pPr>
              <w:hyperlink w:anchor="_Toc511859792" w:history="1">
                <w:r w:rsidR="001673F4" w:rsidRPr="001673F4">
                  <w:rPr>
                    <w:rStyle w:val="Hipervnculo"/>
                    <w:rFonts w:ascii="Century Gothic" w:hAnsi="Century Gothic"/>
                    <w:noProof/>
                    <w:sz w:val="24"/>
                    <w:szCs w:val="24"/>
                  </w:rPr>
                  <w:t>2.4.5. Cumplimiento y avance en los indicadores de gestión y productos.</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_Toc511859792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84</w:t>
                </w:r>
                <w:r w:rsidR="001673F4" w:rsidRPr="001673F4">
                  <w:rPr>
                    <w:rFonts w:ascii="Century Gothic" w:hAnsi="Century Gothic"/>
                    <w:noProof/>
                    <w:webHidden/>
                    <w:sz w:val="24"/>
                    <w:szCs w:val="24"/>
                  </w:rPr>
                  <w:fldChar w:fldCharType="end"/>
                </w:r>
              </w:hyperlink>
            </w:p>
            <w:p w14:paraId="6474BB97" w14:textId="77777777" w:rsidR="001673F4" w:rsidRPr="001673F4" w:rsidRDefault="00927474">
              <w:pPr>
                <w:pStyle w:val="TDC2"/>
                <w:rPr>
                  <w:rFonts w:ascii="Century Gothic" w:eastAsiaTheme="minorEastAsia" w:hAnsi="Century Gothic"/>
                  <w:noProof/>
                  <w:sz w:val="24"/>
                  <w:szCs w:val="24"/>
                  <w:lang w:eastAsia="es-MX"/>
                </w:rPr>
              </w:pPr>
              <w:hyperlink w:anchor="_Toc511859793" w:history="1">
                <w:r w:rsidR="001673F4" w:rsidRPr="001673F4">
                  <w:rPr>
                    <w:rStyle w:val="Hipervnculo"/>
                    <w:rFonts w:ascii="Century Gothic" w:hAnsi="Century Gothic"/>
                    <w:noProof/>
                    <w:sz w:val="24"/>
                    <w:szCs w:val="24"/>
                  </w:rPr>
                  <w:t>2.4.6. Rendición de cuentas y transparencia.</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_Toc511859793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84</w:t>
                </w:r>
                <w:r w:rsidR="001673F4" w:rsidRPr="001673F4">
                  <w:rPr>
                    <w:rFonts w:ascii="Century Gothic" w:hAnsi="Century Gothic"/>
                    <w:noProof/>
                    <w:webHidden/>
                    <w:sz w:val="24"/>
                    <w:szCs w:val="24"/>
                  </w:rPr>
                  <w:fldChar w:fldCharType="end"/>
                </w:r>
              </w:hyperlink>
            </w:p>
            <w:p w14:paraId="6D4D6F3D" w14:textId="77777777" w:rsidR="001673F4" w:rsidRPr="001673F4" w:rsidRDefault="00927474">
              <w:pPr>
                <w:pStyle w:val="TDC1"/>
                <w:rPr>
                  <w:rFonts w:eastAsiaTheme="minorEastAsia"/>
                  <w:szCs w:val="24"/>
                  <w:lang w:eastAsia="es-MX"/>
                </w:rPr>
              </w:pPr>
              <w:hyperlink w:anchor="_Toc511859794" w:history="1">
                <w:r w:rsidR="001673F4" w:rsidRPr="001673F4">
                  <w:rPr>
                    <w:rStyle w:val="Hipervnculo"/>
                    <w:szCs w:val="24"/>
                  </w:rPr>
                  <w:t>2.5. Percepción de la población atendida</w:t>
                </w:r>
                <w:r w:rsidR="001673F4" w:rsidRPr="001673F4">
                  <w:rPr>
                    <w:webHidden/>
                    <w:szCs w:val="24"/>
                  </w:rPr>
                  <w:tab/>
                </w:r>
                <w:r w:rsidR="001673F4" w:rsidRPr="001673F4">
                  <w:rPr>
                    <w:webHidden/>
                    <w:szCs w:val="24"/>
                  </w:rPr>
                  <w:fldChar w:fldCharType="begin"/>
                </w:r>
                <w:r w:rsidR="001673F4" w:rsidRPr="001673F4">
                  <w:rPr>
                    <w:webHidden/>
                    <w:szCs w:val="24"/>
                  </w:rPr>
                  <w:instrText xml:space="preserve"> PAGEREF _Toc511859794 \h </w:instrText>
                </w:r>
                <w:r w:rsidR="001673F4" w:rsidRPr="001673F4">
                  <w:rPr>
                    <w:webHidden/>
                    <w:szCs w:val="24"/>
                  </w:rPr>
                </w:r>
                <w:r w:rsidR="001673F4" w:rsidRPr="001673F4">
                  <w:rPr>
                    <w:webHidden/>
                    <w:szCs w:val="24"/>
                  </w:rPr>
                  <w:fldChar w:fldCharType="separate"/>
                </w:r>
                <w:r w:rsidR="003702BB">
                  <w:rPr>
                    <w:webHidden/>
                    <w:szCs w:val="24"/>
                  </w:rPr>
                  <w:t>86</w:t>
                </w:r>
                <w:r w:rsidR="001673F4" w:rsidRPr="001673F4">
                  <w:rPr>
                    <w:webHidden/>
                    <w:szCs w:val="24"/>
                  </w:rPr>
                  <w:fldChar w:fldCharType="end"/>
                </w:r>
              </w:hyperlink>
            </w:p>
            <w:p w14:paraId="4EB159C4" w14:textId="77777777" w:rsidR="001673F4" w:rsidRPr="001673F4" w:rsidRDefault="00927474">
              <w:pPr>
                <w:pStyle w:val="TDC1"/>
                <w:rPr>
                  <w:rFonts w:eastAsiaTheme="minorEastAsia"/>
                  <w:szCs w:val="24"/>
                  <w:lang w:eastAsia="es-MX"/>
                </w:rPr>
              </w:pPr>
              <w:hyperlink w:anchor="_Toc511859795" w:history="1">
                <w:r w:rsidR="001673F4" w:rsidRPr="001673F4">
                  <w:rPr>
                    <w:rStyle w:val="Hipervnculo"/>
                    <w:szCs w:val="24"/>
                  </w:rPr>
                  <w:t>2.6. Medición de resultados</w:t>
                </w:r>
                <w:r w:rsidR="001673F4" w:rsidRPr="001673F4">
                  <w:rPr>
                    <w:webHidden/>
                    <w:szCs w:val="24"/>
                  </w:rPr>
                  <w:tab/>
                </w:r>
                <w:r w:rsidR="001673F4" w:rsidRPr="001673F4">
                  <w:rPr>
                    <w:webHidden/>
                    <w:szCs w:val="24"/>
                  </w:rPr>
                  <w:fldChar w:fldCharType="begin"/>
                </w:r>
                <w:r w:rsidR="001673F4" w:rsidRPr="001673F4">
                  <w:rPr>
                    <w:webHidden/>
                    <w:szCs w:val="24"/>
                  </w:rPr>
                  <w:instrText xml:space="preserve"> PAGEREF _Toc511859795 \h </w:instrText>
                </w:r>
                <w:r w:rsidR="001673F4" w:rsidRPr="001673F4">
                  <w:rPr>
                    <w:webHidden/>
                    <w:szCs w:val="24"/>
                  </w:rPr>
                </w:r>
                <w:r w:rsidR="001673F4" w:rsidRPr="001673F4">
                  <w:rPr>
                    <w:webHidden/>
                    <w:szCs w:val="24"/>
                  </w:rPr>
                  <w:fldChar w:fldCharType="separate"/>
                </w:r>
                <w:r w:rsidR="003702BB">
                  <w:rPr>
                    <w:webHidden/>
                    <w:szCs w:val="24"/>
                  </w:rPr>
                  <w:t>88</w:t>
                </w:r>
                <w:r w:rsidR="001673F4" w:rsidRPr="001673F4">
                  <w:rPr>
                    <w:webHidden/>
                    <w:szCs w:val="24"/>
                  </w:rPr>
                  <w:fldChar w:fldCharType="end"/>
                </w:r>
              </w:hyperlink>
            </w:p>
            <w:p w14:paraId="04CD8F8B" w14:textId="77777777" w:rsidR="001673F4" w:rsidRPr="001673F4" w:rsidRDefault="00927474">
              <w:pPr>
                <w:pStyle w:val="TDC1"/>
                <w:rPr>
                  <w:rFonts w:eastAsiaTheme="minorEastAsia"/>
                  <w:szCs w:val="24"/>
                  <w:lang w:eastAsia="es-MX"/>
                </w:rPr>
              </w:pPr>
              <w:hyperlink w:anchor="_Toc511859796" w:history="1">
                <w:r w:rsidR="001673F4" w:rsidRPr="001673F4">
                  <w:rPr>
                    <w:rStyle w:val="Hipervnculo"/>
                    <w:szCs w:val="24"/>
                  </w:rPr>
                  <w:t>3. Análisis de fortalezas, oportunidades, debilidades, amenazas (FODA) y recomendaciones</w:t>
                </w:r>
                <w:r w:rsidR="001673F4" w:rsidRPr="001673F4">
                  <w:rPr>
                    <w:webHidden/>
                    <w:szCs w:val="24"/>
                  </w:rPr>
                  <w:tab/>
                </w:r>
                <w:r w:rsidR="001673F4" w:rsidRPr="001673F4">
                  <w:rPr>
                    <w:webHidden/>
                    <w:szCs w:val="24"/>
                  </w:rPr>
                  <w:fldChar w:fldCharType="begin"/>
                </w:r>
                <w:r w:rsidR="001673F4" w:rsidRPr="001673F4">
                  <w:rPr>
                    <w:webHidden/>
                    <w:szCs w:val="24"/>
                  </w:rPr>
                  <w:instrText xml:space="preserve"> PAGEREF _Toc511859796 \h </w:instrText>
                </w:r>
                <w:r w:rsidR="001673F4" w:rsidRPr="001673F4">
                  <w:rPr>
                    <w:webHidden/>
                    <w:szCs w:val="24"/>
                  </w:rPr>
                </w:r>
                <w:r w:rsidR="001673F4" w:rsidRPr="001673F4">
                  <w:rPr>
                    <w:webHidden/>
                    <w:szCs w:val="24"/>
                  </w:rPr>
                  <w:fldChar w:fldCharType="separate"/>
                </w:r>
                <w:r w:rsidR="003702BB">
                  <w:rPr>
                    <w:webHidden/>
                    <w:szCs w:val="24"/>
                  </w:rPr>
                  <w:t>89</w:t>
                </w:r>
                <w:r w:rsidR="001673F4" w:rsidRPr="001673F4">
                  <w:rPr>
                    <w:webHidden/>
                    <w:szCs w:val="24"/>
                  </w:rPr>
                  <w:fldChar w:fldCharType="end"/>
                </w:r>
              </w:hyperlink>
            </w:p>
            <w:p w14:paraId="5D088B14" w14:textId="77777777" w:rsidR="001673F4" w:rsidRPr="001673F4" w:rsidRDefault="00927474">
              <w:pPr>
                <w:pStyle w:val="TDC2"/>
                <w:rPr>
                  <w:rFonts w:ascii="Century Gothic" w:eastAsiaTheme="minorEastAsia" w:hAnsi="Century Gothic"/>
                  <w:noProof/>
                  <w:sz w:val="24"/>
                  <w:szCs w:val="24"/>
                  <w:lang w:eastAsia="es-MX"/>
                </w:rPr>
              </w:pPr>
              <w:hyperlink w:anchor="_Toc511859797" w:history="1">
                <w:r w:rsidR="001673F4" w:rsidRPr="001673F4">
                  <w:rPr>
                    <w:rStyle w:val="Hipervnculo"/>
                    <w:rFonts w:ascii="Century Gothic" w:hAnsi="Century Gothic"/>
                    <w:noProof/>
                    <w:sz w:val="24"/>
                    <w:szCs w:val="24"/>
                    <w:lang w:val="es-ES_tradnl" w:eastAsia="es-ES_tradnl"/>
                  </w:rPr>
                  <w:t>3.1 Análisis Interno</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_Toc511859797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89</w:t>
                </w:r>
                <w:r w:rsidR="001673F4" w:rsidRPr="001673F4">
                  <w:rPr>
                    <w:rFonts w:ascii="Century Gothic" w:hAnsi="Century Gothic"/>
                    <w:noProof/>
                    <w:webHidden/>
                    <w:sz w:val="24"/>
                    <w:szCs w:val="24"/>
                  </w:rPr>
                  <w:fldChar w:fldCharType="end"/>
                </w:r>
              </w:hyperlink>
            </w:p>
            <w:p w14:paraId="2BCC7853" w14:textId="77777777" w:rsidR="001673F4" w:rsidRPr="001673F4" w:rsidRDefault="00927474">
              <w:pPr>
                <w:pStyle w:val="TDC2"/>
                <w:rPr>
                  <w:rFonts w:ascii="Century Gothic" w:eastAsiaTheme="minorEastAsia" w:hAnsi="Century Gothic"/>
                  <w:noProof/>
                  <w:sz w:val="24"/>
                  <w:szCs w:val="24"/>
                  <w:lang w:eastAsia="es-MX"/>
                </w:rPr>
              </w:pPr>
              <w:hyperlink w:anchor="_Toc511859798" w:history="1">
                <w:r w:rsidR="001673F4" w:rsidRPr="001673F4">
                  <w:rPr>
                    <w:rStyle w:val="Hipervnculo"/>
                    <w:rFonts w:ascii="Century Gothic" w:hAnsi="Century Gothic"/>
                    <w:noProof/>
                    <w:sz w:val="24"/>
                    <w:szCs w:val="24"/>
                    <w:lang w:eastAsia="es-ES_tradnl"/>
                  </w:rPr>
                  <w:t>3.2 Análisis Externo</w:t>
                </w:r>
                <w:r w:rsidR="001673F4" w:rsidRPr="001673F4">
                  <w:rPr>
                    <w:rFonts w:ascii="Century Gothic" w:hAnsi="Century Gothic"/>
                    <w:noProof/>
                    <w:webHidden/>
                    <w:sz w:val="24"/>
                    <w:szCs w:val="24"/>
                  </w:rPr>
                  <w:tab/>
                </w:r>
                <w:r w:rsidR="001673F4" w:rsidRPr="001673F4">
                  <w:rPr>
                    <w:rFonts w:ascii="Century Gothic" w:hAnsi="Century Gothic"/>
                    <w:noProof/>
                    <w:webHidden/>
                    <w:sz w:val="24"/>
                    <w:szCs w:val="24"/>
                  </w:rPr>
                  <w:fldChar w:fldCharType="begin"/>
                </w:r>
                <w:r w:rsidR="001673F4" w:rsidRPr="001673F4">
                  <w:rPr>
                    <w:rFonts w:ascii="Century Gothic" w:hAnsi="Century Gothic"/>
                    <w:noProof/>
                    <w:webHidden/>
                    <w:sz w:val="24"/>
                    <w:szCs w:val="24"/>
                  </w:rPr>
                  <w:instrText xml:space="preserve"> PAGEREF _Toc511859798 \h </w:instrText>
                </w:r>
                <w:r w:rsidR="001673F4" w:rsidRPr="001673F4">
                  <w:rPr>
                    <w:rFonts w:ascii="Century Gothic" w:hAnsi="Century Gothic"/>
                    <w:noProof/>
                    <w:webHidden/>
                    <w:sz w:val="24"/>
                    <w:szCs w:val="24"/>
                  </w:rPr>
                </w:r>
                <w:r w:rsidR="001673F4" w:rsidRPr="001673F4">
                  <w:rPr>
                    <w:rFonts w:ascii="Century Gothic" w:hAnsi="Century Gothic"/>
                    <w:noProof/>
                    <w:webHidden/>
                    <w:sz w:val="24"/>
                    <w:szCs w:val="24"/>
                  </w:rPr>
                  <w:fldChar w:fldCharType="separate"/>
                </w:r>
                <w:r w:rsidR="003702BB">
                  <w:rPr>
                    <w:rFonts w:ascii="Century Gothic" w:hAnsi="Century Gothic"/>
                    <w:noProof/>
                    <w:webHidden/>
                    <w:sz w:val="24"/>
                    <w:szCs w:val="24"/>
                  </w:rPr>
                  <w:t>92</w:t>
                </w:r>
                <w:r w:rsidR="001673F4" w:rsidRPr="001673F4">
                  <w:rPr>
                    <w:rFonts w:ascii="Century Gothic" w:hAnsi="Century Gothic"/>
                    <w:noProof/>
                    <w:webHidden/>
                    <w:sz w:val="24"/>
                    <w:szCs w:val="24"/>
                  </w:rPr>
                  <w:fldChar w:fldCharType="end"/>
                </w:r>
              </w:hyperlink>
            </w:p>
            <w:p w14:paraId="5E30DDDE" w14:textId="77777777" w:rsidR="001673F4" w:rsidRPr="001673F4" w:rsidRDefault="00927474">
              <w:pPr>
                <w:pStyle w:val="TDC1"/>
                <w:rPr>
                  <w:rFonts w:eastAsiaTheme="minorEastAsia"/>
                  <w:szCs w:val="24"/>
                  <w:lang w:eastAsia="es-MX"/>
                </w:rPr>
              </w:pPr>
              <w:hyperlink w:anchor="_Toc511859799" w:history="1">
                <w:r w:rsidR="001673F4" w:rsidRPr="001673F4">
                  <w:rPr>
                    <w:rStyle w:val="Hipervnculo"/>
                    <w:szCs w:val="24"/>
                  </w:rPr>
                  <w:t>4. Conclusiones</w:t>
                </w:r>
                <w:r w:rsidR="001673F4" w:rsidRPr="001673F4">
                  <w:rPr>
                    <w:webHidden/>
                    <w:szCs w:val="24"/>
                  </w:rPr>
                  <w:tab/>
                </w:r>
                <w:r w:rsidR="001673F4" w:rsidRPr="001673F4">
                  <w:rPr>
                    <w:webHidden/>
                    <w:szCs w:val="24"/>
                  </w:rPr>
                  <w:fldChar w:fldCharType="begin"/>
                </w:r>
                <w:r w:rsidR="001673F4" w:rsidRPr="001673F4">
                  <w:rPr>
                    <w:webHidden/>
                    <w:szCs w:val="24"/>
                  </w:rPr>
                  <w:instrText xml:space="preserve"> PAGEREF _Toc511859799 \h </w:instrText>
                </w:r>
                <w:r w:rsidR="001673F4" w:rsidRPr="001673F4">
                  <w:rPr>
                    <w:webHidden/>
                    <w:szCs w:val="24"/>
                  </w:rPr>
                </w:r>
                <w:r w:rsidR="001673F4" w:rsidRPr="001673F4">
                  <w:rPr>
                    <w:webHidden/>
                    <w:szCs w:val="24"/>
                  </w:rPr>
                  <w:fldChar w:fldCharType="separate"/>
                </w:r>
                <w:r w:rsidR="003702BB">
                  <w:rPr>
                    <w:webHidden/>
                    <w:szCs w:val="24"/>
                  </w:rPr>
                  <w:t>93</w:t>
                </w:r>
                <w:r w:rsidR="001673F4" w:rsidRPr="001673F4">
                  <w:rPr>
                    <w:webHidden/>
                    <w:szCs w:val="24"/>
                  </w:rPr>
                  <w:fldChar w:fldCharType="end"/>
                </w:r>
              </w:hyperlink>
            </w:p>
            <w:p w14:paraId="13BC8610" w14:textId="77777777" w:rsidR="001673F4" w:rsidRPr="001673F4" w:rsidRDefault="00927474">
              <w:pPr>
                <w:pStyle w:val="TDC1"/>
                <w:rPr>
                  <w:rFonts w:eastAsiaTheme="minorEastAsia"/>
                  <w:szCs w:val="24"/>
                  <w:lang w:eastAsia="es-MX"/>
                </w:rPr>
              </w:pPr>
              <w:hyperlink w:anchor="_Toc511859800" w:history="1">
                <w:r w:rsidR="001673F4" w:rsidRPr="001673F4">
                  <w:rPr>
                    <w:rStyle w:val="Hipervnculo"/>
                    <w:szCs w:val="24"/>
                  </w:rPr>
                  <w:t>Fuentes de Consulta</w:t>
                </w:r>
                <w:r w:rsidR="001673F4" w:rsidRPr="001673F4">
                  <w:rPr>
                    <w:webHidden/>
                    <w:szCs w:val="24"/>
                  </w:rPr>
                  <w:tab/>
                </w:r>
                <w:r w:rsidR="001673F4" w:rsidRPr="001673F4">
                  <w:rPr>
                    <w:webHidden/>
                    <w:szCs w:val="24"/>
                  </w:rPr>
                  <w:fldChar w:fldCharType="begin"/>
                </w:r>
                <w:r w:rsidR="001673F4" w:rsidRPr="001673F4">
                  <w:rPr>
                    <w:webHidden/>
                    <w:szCs w:val="24"/>
                  </w:rPr>
                  <w:instrText xml:space="preserve"> PAGEREF _Toc511859800 \h </w:instrText>
                </w:r>
                <w:r w:rsidR="001673F4" w:rsidRPr="001673F4">
                  <w:rPr>
                    <w:webHidden/>
                    <w:szCs w:val="24"/>
                  </w:rPr>
                </w:r>
                <w:r w:rsidR="001673F4" w:rsidRPr="001673F4">
                  <w:rPr>
                    <w:webHidden/>
                    <w:szCs w:val="24"/>
                  </w:rPr>
                  <w:fldChar w:fldCharType="separate"/>
                </w:r>
                <w:r w:rsidR="003702BB">
                  <w:rPr>
                    <w:webHidden/>
                    <w:szCs w:val="24"/>
                  </w:rPr>
                  <w:t>96</w:t>
                </w:r>
                <w:r w:rsidR="001673F4" w:rsidRPr="001673F4">
                  <w:rPr>
                    <w:webHidden/>
                    <w:szCs w:val="24"/>
                  </w:rPr>
                  <w:fldChar w:fldCharType="end"/>
                </w:r>
              </w:hyperlink>
            </w:p>
            <w:p w14:paraId="426FC351" w14:textId="77777777" w:rsidR="00485680" w:rsidRPr="0069602D" w:rsidRDefault="00485680" w:rsidP="00485680">
              <w:pPr>
                <w:rPr>
                  <w:lang w:val="es-ES"/>
                </w:rPr>
              </w:pPr>
              <w:r w:rsidRPr="001673F4">
                <w:rPr>
                  <w:rFonts w:ascii="Century Gothic" w:hAnsi="Century Gothic"/>
                  <w:bCs/>
                  <w:sz w:val="24"/>
                  <w:szCs w:val="24"/>
                  <w:lang w:val="es-ES"/>
                </w:rPr>
                <w:fldChar w:fldCharType="end"/>
              </w:r>
            </w:p>
          </w:sdtContent>
        </w:sdt>
        <w:p w14:paraId="54A4DA68" w14:textId="77777777" w:rsidR="003A2465" w:rsidRDefault="00927474" w:rsidP="00FD476C">
          <w:pPr>
            <w:pStyle w:val="TtulodeTDC"/>
          </w:pPr>
        </w:p>
      </w:sdtContent>
    </w:sdt>
    <w:p w14:paraId="535BBBC5" w14:textId="77777777" w:rsidR="00A3560E" w:rsidRDefault="00A3560E">
      <w:r>
        <w:br w:type="page"/>
      </w:r>
    </w:p>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992"/>
      </w:tblGrid>
      <w:tr w:rsidR="00B1754D" w:rsidRPr="003832EF" w14:paraId="75B8318D" w14:textId="77777777" w:rsidTr="00E4576B">
        <w:trPr>
          <w:trHeight w:val="271"/>
          <w:tblHeader/>
          <w:jc w:val="center"/>
        </w:trPr>
        <w:tc>
          <w:tcPr>
            <w:tcW w:w="8500" w:type="dxa"/>
            <w:gridSpan w:val="2"/>
          </w:tcPr>
          <w:p w14:paraId="013F554E" w14:textId="77777777" w:rsidR="00B1754D" w:rsidRPr="003832EF" w:rsidRDefault="00B1754D" w:rsidP="00E4576B">
            <w:pPr>
              <w:spacing w:after="80"/>
              <w:jc w:val="center"/>
              <w:rPr>
                <w:rFonts w:ascii="Century Gothic" w:eastAsiaTheme="minorEastAsia" w:hAnsi="Century Gothic"/>
                <w:b/>
                <w:color w:val="0E4E7A"/>
              </w:rPr>
            </w:pPr>
            <w:r w:rsidRPr="003832EF">
              <w:rPr>
                <w:rFonts w:ascii="Century Gothic" w:eastAsiaTheme="minorEastAsia" w:hAnsi="Century Gothic"/>
                <w:b/>
                <w:color w:val="0E4E7A"/>
                <w:sz w:val="28"/>
              </w:rPr>
              <w:lastRenderedPageBreak/>
              <w:t>Índice de cuadros</w:t>
            </w:r>
          </w:p>
        </w:tc>
      </w:tr>
      <w:tr w:rsidR="00B1754D" w:rsidRPr="003832EF" w14:paraId="421A1B82" w14:textId="77777777" w:rsidTr="00E4576B">
        <w:trPr>
          <w:trHeight w:val="260"/>
          <w:jc w:val="center"/>
        </w:trPr>
        <w:tc>
          <w:tcPr>
            <w:tcW w:w="7508" w:type="dxa"/>
            <w:vAlign w:val="center"/>
          </w:tcPr>
          <w:p w14:paraId="3651F279"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1.1. Valoración CONEVAL</w:t>
            </w:r>
          </w:p>
        </w:tc>
        <w:tc>
          <w:tcPr>
            <w:tcW w:w="992" w:type="dxa"/>
            <w:vAlign w:val="center"/>
          </w:tcPr>
          <w:p w14:paraId="00CFE1E7"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15</w:t>
            </w:r>
          </w:p>
        </w:tc>
      </w:tr>
      <w:tr w:rsidR="00B1754D" w:rsidRPr="003832EF" w14:paraId="58100B58" w14:textId="77777777" w:rsidTr="00E4576B">
        <w:trPr>
          <w:trHeight w:val="246"/>
          <w:jc w:val="center"/>
        </w:trPr>
        <w:tc>
          <w:tcPr>
            <w:tcW w:w="7508" w:type="dxa"/>
            <w:vAlign w:val="center"/>
          </w:tcPr>
          <w:p w14:paraId="7E9E13BB"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1.2 Fondos que integran las aportaciones federales a entidades federativas y municipios del Ramo 33</w:t>
            </w:r>
          </w:p>
        </w:tc>
        <w:tc>
          <w:tcPr>
            <w:tcW w:w="992" w:type="dxa"/>
            <w:vAlign w:val="center"/>
          </w:tcPr>
          <w:p w14:paraId="1167D982"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18</w:t>
            </w:r>
          </w:p>
        </w:tc>
      </w:tr>
      <w:tr w:rsidR="00B1754D" w:rsidRPr="003832EF" w14:paraId="5F25E2DF" w14:textId="77777777" w:rsidTr="00E4576B">
        <w:trPr>
          <w:trHeight w:val="246"/>
          <w:jc w:val="center"/>
        </w:trPr>
        <w:tc>
          <w:tcPr>
            <w:tcW w:w="7508" w:type="dxa"/>
            <w:vAlign w:val="center"/>
          </w:tcPr>
          <w:p w14:paraId="7A9014DE"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1.3. Presupuesto SEIDUR 2017, Colima.</w:t>
            </w:r>
          </w:p>
        </w:tc>
        <w:tc>
          <w:tcPr>
            <w:tcW w:w="992" w:type="dxa"/>
            <w:vAlign w:val="center"/>
          </w:tcPr>
          <w:p w14:paraId="047D8A0E"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22</w:t>
            </w:r>
          </w:p>
        </w:tc>
      </w:tr>
      <w:tr w:rsidR="00B1754D" w:rsidRPr="003832EF" w14:paraId="327A84C8" w14:textId="77777777" w:rsidTr="00E4576B">
        <w:trPr>
          <w:trHeight w:val="246"/>
          <w:jc w:val="center"/>
        </w:trPr>
        <w:tc>
          <w:tcPr>
            <w:tcW w:w="7508" w:type="dxa"/>
            <w:vAlign w:val="center"/>
          </w:tcPr>
          <w:p w14:paraId="4B7D7029"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1.4. Origen de los Recursos, SEIDUR 2017</w:t>
            </w:r>
          </w:p>
        </w:tc>
        <w:tc>
          <w:tcPr>
            <w:tcW w:w="992" w:type="dxa"/>
            <w:vAlign w:val="center"/>
          </w:tcPr>
          <w:p w14:paraId="2644A4FF"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22</w:t>
            </w:r>
          </w:p>
        </w:tc>
      </w:tr>
      <w:tr w:rsidR="00B1754D" w:rsidRPr="003832EF" w14:paraId="78873C36" w14:textId="77777777" w:rsidTr="00E4576B">
        <w:trPr>
          <w:trHeight w:val="246"/>
          <w:jc w:val="center"/>
        </w:trPr>
        <w:tc>
          <w:tcPr>
            <w:tcW w:w="7508" w:type="dxa"/>
            <w:vAlign w:val="center"/>
          </w:tcPr>
          <w:p w14:paraId="2144C4B3"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1.5. Inversión del FAFEF 2017, SEIDUR</w:t>
            </w:r>
          </w:p>
        </w:tc>
        <w:tc>
          <w:tcPr>
            <w:tcW w:w="992" w:type="dxa"/>
            <w:vAlign w:val="center"/>
          </w:tcPr>
          <w:p w14:paraId="663ACAE9"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22</w:t>
            </w:r>
          </w:p>
        </w:tc>
      </w:tr>
      <w:tr w:rsidR="00B1754D" w:rsidRPr="003832EF" w14:paraId="0B88B6E7" w14:textId="77777777" w:rsidTr="00E4576B">
        <w:trPr>
          <w:trHeight w:val="246"/>
          <w:jc w:val="center"/>
        </w:trPr>
        <w:tc>
          <w:tcPr>
            <w:tcW w:w="7508" w:type="dxa"/>
            <w:vAlign w:val="center"/>
          </w:tcPr>
          <w:p w14:paraId="771DCF36"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1.6. Inversión por Programa Presupuestario SEIDUR 2017</w:t>
            </w:r>
          </w:p>
        </w:tc>
        <w:tc>
          <w:tcPr>
            <w:tcW w:w="992" w:type="dxa"/>
            <w:vAlign w:val="center"/>
          </w:tcPr>
          <w:p w14:paraId="4DA34486"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24</w:t>
            </w:r>
          </w:p>
        </w:tc>
      </w:tr>
      <w:tr w:rsidR="00B1754D" w:rsidRPr="003832EF" w14:paraId="7F848759" w14:textId="77777777" w:rsidTr="00E4576B">
        <w:trPr>
          <w:trHeight w:val="246"/>
          <w:jc w:val="center"/>
        </w:trPr>
        <w:tc>
          <w:tcPr>
            <w:tcW w:w="7508" w:type="dxa"/>
            <w:vAlign w:val="center"/>
          </w:tcPr>
          <w:p w14:paraId="16DD76D0"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2.1. Presupuesto Programa Infraestructura no Habitacional, SEIDUR, 2017</w:t>
            </w:r>
          </w:p>
        </w:tc>
        <w:tc>
          <w:tcPr>
            <w:tcW w:w="992" w:type="dxa"/>
            <w:vAlign w:val="center"/>
          </w:tcPr>
          <w:p w14:paraId="4923DA8F"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25</w:t>
            </w:r>
          </w:p>
        </w:tc>
      </w:tr>
      <w:tr w:rsidR="00B1754D" w:rsidRPr="003832EF" w14:paraId="015F011F" w14:textId="77777777" w:rsidTr="00E4576B">
        <w:trPr>
          <w:trHeight w:val="246"/>
          <w:jc w:val="center"/>
        </w:trPr>
        <w:tc>
          <w:tcPr>
            <w:tcW w:w="7508" w:type="dxa"/>
            <w:vAlign w:val="center"/>
          </w:tcPr>
          <w:p w14:paraId="1A4954A6"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2.2. Presupuesto Programa Infraestructura no Habitacional, por origen, SEIDUR, 2017</w:t>
            </w:r>
          </w:p>
        </w:tc>
        <w:tc>
          <w:tcPr>
            <w:tcW w:w="992" w:type="dxa"/>
            <w:vAlign w:val="center"/>
          </w:tcPr>
          <w:p w14:paraId="0A412CC4"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26</w:t>
            </w:r>
          </w:p>
        </w:tc>
      </w:tr>
      <w:tr w:rsidR="00B1754D" w:rsidRPr="003832EF" w14:paraId="0CF5CBCE" w14:textId="77777777" w:rsidTr="00E4576B">
        <w:trPr>
          <w:trHeight w:val="246"/>
          <w:jc w:val="center"/>
        </w:trPr>
        <w:tc>
          <w:tcPr>
            <w:tcW w:w="7508" w:type="dxa"/>
            <w:vAlign w:val="center"/>
          </w:tcPr>
          <w:p w14:paraId="34BAB24B"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2.3. Inversión realizada en el Programa Infraestructura no Habitacional, SEIDUR 2017</w:t>
            </w:r>
          </w:p>
        </w:tc>
        <w:tc>
          <w:tcPr>
            <w:tcW w:w="992" w:type="dxa"/>
            <w:vAlign w:val="center"/>
          </w:tcPr>
          <w:p w14:paraId="7956AB47"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27</w:t>
            </w:r>
          </w:p>
        </w:tc>
      </w:tr>
      <w:tr w:rsidR="00B1754D" w:rsidRPr="003832EF" w14:paraId="2C6EB13E" w14:textId="77777777" w:rsidTr="00E4576B">
        <w:trPr>
          <w:trHeight w:val="246"/>
          <w:jc w:val="center"/>
        </w:trPr>
        <w:tc>
          <w:tcPr>
            <w:tcW w:w="7508" w:type="dxa"/>
            <w:vAlign w:val="center"/>
          </w:tcPr>
          <w:p w14:paraId="4C98433A"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2.4. Inversión realizada en Infraestructura no Habitacional por Municipio, SEIDUR 2017</w:t>
            </w:r>
          </w:p>
        </w:tc>
        <w:tc>
          <w:tcPr>
            <w:tcW w:w="992" w:type="dxa"/>
            <w:vAlign w:val="center"/>
          </w:tcPr>
          <w:p w14:paraId="0857D40D"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28</w:t>
            </w:r>
          </w:p>
        </w:tc>
      </w:tr>
      <w:tr w:rsidR="00B1754D" w:rsidRPr="003832EF" w14:paraId="0B5CD9A9" w14:textId="77777777" w:rsidTr="00E4576B">
        <w:trPr>
          <w:trHeight w:val="246"/>
          <w:jc w:val="center"/>
        </w:trPr>
        <w:tc>
          <w:tcPr>
            <w:tcW w:w="7508" w:type="dxa"/>
            <w:vAlign w:val="center"/>
          </w:tcPr>
          <w:p w14:paraId="2D926C0B"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2.5 Valoración CONEVAL al Programa presupuestario Infraestructura no Habitacional. 2017</w:t>
            </w:r>
          </w:p>
        </w:tc>
        <w:tc>
          <w:tcPr>
            <w:tcW w:w="992" w:type="dxa"/>
            <w:vAlign w:val="center"/>
          </w:tcPr>
          <w:p w14:paraId="6547B7A3"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31</w:t>
            </w:r>
          </w:p>
        </w:tc>
      </w:tr>
      <w:tr w:rsidR="00B1754D" w:rsidRPr="003832EF" w14:paraId="2F08A5BF" w14:textId="77777777" w:rsidTr="00E4576B">
        <w:trPr>
          <w:trHeight w:val="246"/>
          <w:jc w:val="center"/>
        </w:trPr>
        <w:tc>
          <w:tcPr>
            <w:tcW w:w="7508" w:type="dxa"/>
            <w:vAlign w:val="center"/>
          </w:tcPr>
          <w:p w14:paraId="0416DC06"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2.6. Valoración de la Infraestructura en el estado de Colima</w:t>
            </w:r>
          </w:p>
        </w:tc>
        <w:tc>
          <w:tcPr>
            <w:tcW w:w="992" w:type="dxa"/>
            <w:vAlign w:val="center"/>
          </w:tcPr>
          <w:p w14:paraId="7C038B6C"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34</w:t>
            </w:r>
          </w:p>
        </w:tc>
      </w:tr>
      <w:tr w:rsidR="00B1754D" w:rsidRPr="003832EF" w14:paraId="7FA2364E" w14:textId="77777777" w:rsidTr="00E4576B">
        <w:trPr>
          <w:trHeight w:val="246"/>
          <w:jc w:val="center"/>
        </w:trPr>
        <w:tc>
          <w:tcPr>
            <w:tcW w:w="7508" w:type="dxa"/>
            <w:vAlign w:val="center"/>
          </w:tcPr>
          <w:p w14:paraId="79CB5F6F"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2.7  Vinculación del objetivo de Fin y Propósito del programa Infraestructura no Habitacional, con objetivos de política pública estatal.</w:t>
            </w:r>
          </w:p>
        </w:tc>
        <w:tc>
          <w:tcPr>
            <w:tcW w:w="992" w:type="dxa"/>
            <w:vAlign w:val="center"/>
          </w:tcPr>
          <w:p w14:paraId="0A19175E"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36</w:t>
            </w:r>
          </w:p>
        </w:tc>
      </w:tr>
      <w:tr w:rsidR="00B1754D" w:rsidRPr="003832EF" w14:paraId="3B34A252" w14:textId="77777777" w:rsidTr="00E4576B">
        <w:trPr>
          <w:trHeight w:val="246"/>
          <w:jc w:val="center"/>
        </w:trPr>
        <w:tc>
          <w:tcPr>
            <w:tcW w:w="7508" w:type="dxa"/>
            <w:vAlign w:val="center"/>
          </w:tcPr>
          <w:p w14:paraId="0D0A4148"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2.8. Vinculación del programa Infraestructura no Habitacional, con objetivos de política pública estatal, según el tipo de obra.</w:t>
            </w:r>
          </w:p>
        </w:tc>
        <w:tc>
          <w:tcPr>
            <w:tcW w:w="992" w:type="dxa"/>
            <w:vAlign w:val="center"/>
          </w:tcPr>
          <w:p w14:paraId="5D770CD8"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37</w:t>
            </w:r>
          </w:p>
        </w:tc>
      </w:tr>
      <w:tr w:rsidR="00B1754D" w:rsidRPr="003832EF" w14:paraId="6BED6F0F" w14:textId="77777777" w:rsidTr="00E4576B">
        <w:trPr>
          <w:trHeight w:val="246"/>
          <w:jc w:val="center"/>
        </w:trPr>
        <w:tc>
          <w:tcPr>
            <w:tcW w:w="7508" w:type="dxa"/>
            <w:vAlign w:val="center"/>
          </w:tcPr>
          <w:p w14:paraId="6D43F42F"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2.9 Vinculación del objetivo de Fin y Propósito del programa Infraestructura no Habitacional, con objetivos de política pública nacional.</w:t>
            </w:r>
          </w:p>
        </w:tc>
        <w:tc>
          <w:tcPr>
            <w:tcW w:w="992" w:type="dxa"/>
            <w:vAlign w:val="center"/>
          </w:tcPr>
          <w:p w14:paraId="62FBAB74"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38</w:t>
            </w:r>
          </w:p>
        </w:tc>
      </w:tr>
      <w:tr w:rsidR="00B1754D" w:rsidRPr="003832EF" w14:paraId="15AED097" w14:textId="77777777" w:rsidTr="00E4576B">
        <w:trPr>
          <w:trHeight w:val="246"/>
          <w:jc w:val="center"/>
        </w:trPr>
        <w:tc>
          <w:tcPr>
            <w:tcW w:w="7508" w:type="dxa"/>
            <w:vAlign w:val="center"/>
          </w:tcPr>
          <w:p w14:paraId="0ECA7E33"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2.10 Vinculación del objetivo de Propósito del programa Infraestructura no Habitacional con el Programa sectorial desarrollo urbano ordenamiento territorial 2016 2021.</w:t>
            </w:r>
          </w:p>
        </w:tc>
        <w:tc>
          <w:tcPr>
            <w:tcW w:w="992" w:type="dxa"/>
            <w:vAlign w:val="center"/>
          </w:tcPr>
          <w:p w14:paraId="095825CD"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38</w:t>
            </w:r>
          </w:p>
        </w:tc>
      </w:tr>
      <w:tr w:rsidR="00B1754D" w:rsidRPr="003832EF" w14:paraId="3F4EB2E4" w14:textId="77777777" w:rsidTr="00E4576B">
        <w:trPr>
          <w:trHeight w:val="246"/>
          <w:jc w:val="center"/>
        </w:trPr>
        <w:tc>
          <w:tcPr>
            <w:tcW w:w="7508" w:type="dxa"/>
            <w:vAlign w:val="center"/>
          </w:tcPr>
          <w:p w14:paraId="6E84DD49"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2.11 Vinculación del objetivo de Propósito del programa Infraestructura no Habitacional con los Objetivos de Desarrollo del Milenio de la ONU, 2015.</w:t>
            </w:r>
          </w:p>
        </w:tc>
        <w:tc>
          <w:tcPr>
            <w:tcW w:w="992" w:type="dxa"/>
            <w:vAlign w:val="center"/>
          </w:tcPr>
          <w:p w14:paraId="7A2A2EB4"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39</w:t>
            </w:r>
          </w:p>
        </w:tc>
      </w:tr>
      <w:tr w:rsidR="00B1754D" w:rsidRPr="003832EF" w14:paraId="65919C61" w14:textId="77777777" w:rsidTr="00E4576B">
        <w:trPr>
          <w:trHeight w:val="246"/>
          <w:jc w:val="center"/>
        </w:trPr>
        <w:tc>
          <w:tcPr>
            <w:tcW w:w="7508" w:type="dxa"/>
            <w:vAlign w:val="center"/>
          </w:tcPr>
          <w:p w14:paraId="4931A646"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2.12. Indicadores a nivel Actividad</w:t>
            </w:r>
          </w:p>
        </w:tc>
        <w:tc>
          <w:tcPr>
            <w:tcW w:w="992" w:type="dxa"/>
            <w:vAlign w:val="center"/>
          </w:tcPr>
          <w:p w14:paraId="10C4B648"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56</w:t>
            </w:r>
          </w:p>
        </w:tc>
      </w:tr>
      <w:tr w:rsidR="00B1754D" w:rsidRPr="003832EF" w14:paraId="131CF7CC" w14:textId="77777777" w:rsidTr="00E4576B">
        <w:trPr>
          <w:trHeight w:val="246"/>
          <w:jc w:val="center"/>
        </w:trPr>
        <w:tc>
          <w:tcPr>
            <w:tcW w:w="7508" w:type="dxa"/>
            <w:vAlign w:val="center"/>
          </w:tcPr>
          <w:p w14:paraId="1E29263C"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2.13. Registros Asistentes Unidad Deportiva Morelos 2017</w:t>
            </w:r>
          </w:p>
        </w:tc>
        <w:tc>
          <w:tcPr>
            <w:tcW w:w="992" w:type="dxa"/>
            <w:vAlign w:val="center"/>
          </w:tcPr>
          <w:p w14:paraId="2BAC7BFA"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67</w:t>
            </w:r>
          </w:p>
        </w:tc>
      </w:tr>
      <w:tr w:rsidR="00B1754D" w:rsidRPr="003832EF" w14:paraId="27785C9D" w14:textId="77777777" w:rsidTr="00E4576B">
        <w:trPr>
          <w:trHeight w:val="246"/>
          <w:jc w:val="center"/>
        </w:trPr>
        <w:tc>
          <w:tcPr>
            <w:tcW w:w="7508" w:type="dxa"/>
            <w:vAlign w:val="center"/>
          </w:tcPr>
          <w:p w14:paraId="595AF5A5"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2.14. Descripción de Actividades – Proceso de Obra</w:t>
            </w:r>
          </w:p>
        </w:tc>
        <w:tc>
          <w:tcPr>
            <w:tcW w:w="992" w:type="dxa"/>
            <w:vAlign w:val="center"/>
          </w:tcPr>
          <w:p w14:paraId="118E9F0C"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68</w:t>
            </w:r>
          </w:p>
        </w:tc>
      </w:tr>
      <w:tr w:rsidR="00B1754D" w:rsidRPr="003832EF" w14:paraId="1CAB7F89" w14:textId="77777777" w:rsidTr="00E4576B">
        <w:trPr>
          <w:trHeight w:val="246"/>
          <w:jc w:val="center"/>
        </w:trPr>
        <w:tc>
          <w:tcPr>
            <w:tcW w:w="7508" w:type="dxa"/>
            <w:vAlign w:val="center"/>
          </w:tcPr>
          <w:p w14:paraId="4F85B0ED"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2.15. Presupuesto Programa Infraestructura no Habitacional, por origen, SEIDUR, 2017</w:t>
            </w:r>
          </w:p>
        </w:tc>
        <w:tc>
          <w:tcPr>
            <w:tcW w:w="992" w:type="dxa"/>
            <w:vAlign w:val="center"/>
          </w:tcPr>
          <w:p w14:paraId="56E14F49"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82</w:t>
            </w:r>
          </w:p>
        </w:tc>
      </w:tr>
      <w:tr w:rsidR="00B1754D" w:rsidRPr="003832EF" w14:paraId="61EFA46D" w14:textId="77777777" w:rsidTr="00E4576B">
        <w:trPr>
          <w:trHeight w:val="246"/>
          <w:jc w:val="center"/>
        </w:trPr>
        <w:tc>
          <w:tcPr>
            <w:tcW w:w="7508" w:type="dxa"/>
            <w:vAlign w:val="center"/>
          </w:tcPr>
          <w:p w14:paraId="7A486057"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Cuadro 2.16 Clasificación de los gastos del, SEIDUR, 2017.</w:t>
            </w:r>
          </w:p>
        </w:tc>
        <w:tc>
          <w:tcPr>
            <w:tcW w:w="992" w:type="dxa"/>
            <w:vAlign w:val="center"/>
          </w:tcPr>
          <w:p w14:paraId="45A4E4F0"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82</w:t>
            </w:r>
          </w:p>
        </w:tc>
      </w:tr>
      <w:tr w:rsidR="00B1754D" w:rsidRPr="003832EF" w14:paraId="372B6B1E" w14:textId="77777777" w:rsidTr="00E4576B">
        <w:trPr>
          <w:trHeight w:val="246"/>
          <w:jc w:val="center"/>
        </w:trPr>
        <w:tc>
          <w:tcPr>
            <w:tcW w:w="7508" w:type="dxa"/>
            <w:vAlign w:val="center"/>
          </w:tcPr>
          <w:p w14:paraId="4183D040"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lastRenderedPageBreak/>
              <w:t>Cuadro 2.17. Percepción de la población en Infraestructura</w:t>
            </w:r>
          </w:p>
        </w:tc>
        <w:tc>
          <w:tcPr>
            <w:tcW w:w="992" w:type="dxa"/>
            <w:vAlign w:val="center"/>
          </w:tcPr>
          <w:p w14:paraId="78D8FB3E"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87</w:t>
            </w:r>
          </w:p>
        </w:tc>
      </w:tr>
    </w:tbl>
    <w:p w14:paraId="17B91F77" w14:textId="77777777" w:rsidR="00B1754D" w:rsidRDefault="00B1754D" w:rsidP="00B1754D">
      <w:pPr>
        <w:pStyle w:val="Sinespaciado"/>
      </w:pP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992"/>
      </w:tblGrid>
      <w:tr w:rsidR="00B1754D" w:rsidRPr="003832EF" w14:paraId="6A4CD4B1" w14:textId="77777777" w:rsidTr="00E4576B">
        <w:trPr>
          <w:jc w:val="center"/>
        </w:trPr>
        <w:tc>
          <w:tcPr>
            <w:tcW w:w="8547" w:type="dxa"/>
            <w:gridSpan w:val="2"/>
          </w:tcPr>
          <w:p w14:paraId="33F8C93C" w14:textId="77777777" w:rsidR="00B1754D" w:rsidRPr="003832EF" w:rsidRDefault="00B1754D" w:rsidP="00E4576B">
            <w:pPr>
              <w:spacing w:after="80"/>
              <w:jc w:val="center"/>
              <w:rPr>
                <w:rFonts w:ascii="Century Gothic" w:eastAsiaTheme="minorEastAsia" w:hAnsi="Century Gothic"/>
                <w:b/>
              </w:rPr>
            </w:pPr>
            <w:r w:rsidRPr="003832EF">
              <w:rPr>
                <w:rFonts w:ascii="Century Gothic" w:eastAsiaTheme="minorEastAsia" w:hAnsi="Century Gothic"/>
                <w:b/>
                <w:color w:val="0E4E7A"/>
                <w:sz w:val="28"/>
              </w:rPr>
              <w:t>Índice de figuras</w:t>
            </w:r>
          </w:p>
        </w:tc>
      </w:tr>
      <w:tr w:rsidR="00B1754D" w:rsidRPr="003832EF" w14:paraId="16CCAD4B" w14:textId="77777777" w:rsidTr="00E4576B">
        <w:trPr>
          <w:jc w:val="center"/>
        </w:trPr>
        <w:tc>
          <w:tcPr>
            <w:tcW w:w="7555" w:type="dxa"/>
            <w:vAlign w:val="center"/>
          </w:tcPr>
          <w:p w14:paraId="20887899" w14:textId="77777777" w:rsidR="00B1754D" w:rsidRPr="003832EF" w:rsidRDefault="00B1754D" w:rsidP="00E4576B">
            <w:pPr>
              <w:spacing w:after="80"/>
              <w:rPr>
                <w:rFonts w:ascii="Century Gothic" w:eastAsiaTheme="minorEastAsia" w:hAnsi="Century Gothic"/>
                <w:lang w:val="es-MX"/>
              </w:rPr>
            </w:pPr>
            <w:r w:rsidRPr="003832EF">
              <w:rPr>
                <w:rFonts w:ascii="Century Gothic" w:eastAsiaTheme="minorEastAsia" w:hAnsi="Century Gothic"/>
                <w:lang w:val="es-MX"/>
              </w:rPr>
              <w:t>Figura 1.1. Antecedentes del RAMO 33</w:t>
            </w:r>
          </w:p>
        </w:tc>
        <w:tc>
          <w:tcPr>
            <w:tcW w:w="992" w:type="dxa"/>
            <w:vAlign w:val="center"/>
          </w:tcPr>
          <w:p w14:paraId="2E874772"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17</w:t>
            </w:r>
          </w:p>
        </w:tc>
      </w:tr>
      <w:tr w:rsidR="00B1754D" w:rsidRPr="003832EF" w14:paraId="0EB073CB" w14:textId="77777777" w:rsidTr="00E4576B">
        <w:trPr>
          <w:jc w:val="center"/>
        </w:trPr>
        <w:tc>
          <w:tcPr>
            <w:tcW w:w="7555" w:type="dxa"/>
            <w:vAlign w:val="center"/>
          </w:tcPr>
          <w:p w14:paraId="4520D7A9"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lang w:val="es-MX"/>
              </w:rPr>
              <w:t>Figura 2.1. Esquema tipos de población para infraestructura deportiva</w:t>
            </w:r>
          </w:p>
        </w:tc>
        <w:tc>
          <w:tcPr>
            <w:tcW w:w="992" w:type="dxa"/>
            <w:vAlign w:val="center"/>
          </w:tcPr>
          <w:p w14:paraId="17FE37D4"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42</w:t>
            </w:r>
          </w:p>
        </w:tc>
      </w:tr>
      <w:tr w:rsidR="00B1754D" w:rsidRPr="003832EF" w14:paraId="1FE52DE0" w14:textId="77777777" w:rsidTr="00E4576B">
        <w:trPr>
          <w:jc w:val="center"/>
        </w:trPr>
        <w:tc>
          <w:tcPr>
            <w:tcW w:w="7555" w:type="dxa"/>
            <w:vAlign w:val="center"/>
          </w:tcPr>
          <w:p w14:paraId="2256F9EE"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lang w:val="es-MX"/>
              </w:rPr>
              <w:t>Figura 2.2. Secuencia para la elaboración de la MIR</w:t>
            </w:r>
          </w:p>
        </w:tc>
        <w:tc>
          <w:tcPr>
            <w:tcW w:w="992" w:type="dxa"/>
            <w:vAlign w:val="center"/>
          </w:tcPr>
          <w:p w14:paraId="7DBEE85D"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44</w:t>
            </w:r>
          </w:p>
        </w:tc>
      </w:tr>
      <w:tr w:rsidR="00B1754D" w:rsidRPr="003832EF" w14:paraId="4DADB02B" w14:textId="77777777" w:rsidTr="00E4576B">
        <w:trPr>
          <w:jc w:val="center"/>
        </w:trPr>
        <w:tc>
          <w:tcPr>
            <w:tcW w:w="7555" w:type="dxa"/>
            <w:vAlign w:val="center"/>
          </w:tcPr>
          <w:p w14:paraId="361DA80B"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Figura 2.3. Identificación del Problema</w:t>
            </w:r>
          </w:p>
        </w:tc>
        <w:tc>
          <w:tcPr>
            <w:tcW w:w="992" w:type="dxa"/>
            <w:vAlign w:val="center"/>
          </w:tcPr>
          <w:p w14:paraId="2AC47448"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45</w:t>
            </w:r>
          </w:p>
        </w:tc>
      </w:tr>
      <w:tr w:rsidR="00B1754D" w:rsidRPr="003832EF" w14:paraId="5132BB1A" w14:textId="77777777" w:rsidTr="00E4576B">
        <w:trPr>
          <w:jc w:val="center"/>
        </w:trPr>
        <w:tc>
          <w:tcPr>
            <w:tcW w:w="7555" w:type="dxa"/>
            <w:vAlign w:val="center"/>
          </w:tcPr>
          <w:p w14:paraId="1B4C3C70"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Figura 2.4. Análisis para incorporar un riesgo como supuesto a la MIR</w:t>
            </w:r>
          </w:p>
        </w:tc>
        <w:tc>
          <w:tcPr>
            <w:tcW w:w="992" w:type="dxa"/>
            <w:vAlign w:val="center"/>
          </w:tcPr>
          <w:p w14:paraId="56B74DDB"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47</w:t>
            </w:r>
          </w:p>
        </w:tc>
      </w:tr>
      <w:tr w:rsidR="00B1754D" w:rsidRPr="003832EF" w14:paraId="2BFF0F08" w14:textId="77777777" w:rsidTr="00E4576B">
        <w:trPr>
          <w:jc w:val="center"/>
        </w:trPr>
        <w:tc>
          <w:tcPr>
            <w:tcW w:w="7555" w:type="dxa"/>
            <w:vAlign w:val="center"/>
          </w:tcPr>
          <w:p w14:paraId="2240A78B"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Figura 2.5. Identificación de la relación causal</w:t>
            </w:r>
          </w:p>
        </w:tc>
        <w:tc>
          <w:tcPr>
            <w:tcW w:w="992" w:type="dxa"/>
            <w:vAlign w:val="center"/>
          </w:tcPr>
          <w:p w14:paraId="256843D5"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48</w:t>
            </w:r>
          </w:p>
        </w:tc>
      </w:tr>
      <w:tr w:rsidR="00B1754D" w:rsidRPr="003832EF" w14:paraId="1DE56516" w14:textId="77777777" w:rsidTr="00E4576B">
        <w:trPr>
          <w:jc w:val="center"/>
        </w:trPr>
        <w:tc>
          <w:tcPr>
            <w:tcW w:w="7555" w:type="dxa"/>
            <w:vAlign w:val="center"/>
          </w:tcPr>
          <w:p w14:paraId="72F078C6"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Figura 2.6. Relación causal entre las Actividades y el Componentes</w:t>
            </w:r>
          </w:p>
        </w:tc>
        <w:tc>
          <w:tcPr>
            <w:tcW w:w="992" w:type="dxa"/>
            <w:vAlign w:val="center"/>
          </w:tcPr>
          <w:p w14:paraId="0E564017"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49</w:t>
            </w:r>
          </w:p>
        </w:tc>
      </w:tr>
      <w:tr w:rsidR="00B1754D" w:rsidRPr="003832EF" w14:paraId="6CCA7EBB" w14:textId="77777777" w:rsidTr="00E4576B">
        <w:trPr>
          <w:jc w:val="center"/>
        </w:trPr>
        <w:tc>
          <w:tcPr>
            <w:tcW w:w="7555" w:type="dxa"/>
            <w:vAlign w:val="center"/>
          </w:tcPr>
          <w:p w14:paraId="0463AF59"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Figura 2.7 Sintaxis recomendado para las Actividades</w:t>
            </w:r>
          </w:p>
        </w:tc>
        <w:tc>
          <w:tcPr>
            <w:tcW w:w="992" w:type="dxa"/>
            <w:vAlign w:val="center"/>
          </w:tcPr>
          <w:p w14:paraId="7F4A9F34"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50</w:t>
            </w:r>
          </w:p>
        </w:tc>
      </w:tr>
      <w:tr w:rsidR="00B1754D" w:rsidRPr="003832EF" w14:paraId="2B603C28" w14:textId="77777777" w:rsidTr="00E4576B">
        <w:trPr>
          <w:jc w:val="center"/>
        </w:trPr>
        <w:tc>
          <w:tcPr>
            <w:tcW w:w="7555" w:type="dxa"/>
            <w:vAlign w:val="center"/>
          </w:tcPr>
          <w:p w14:paraId="2F6CBB0E"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Figura 2.8. Relación causal entre Componentes - Propósito -Fin</w:t>
            </w:r>
          </w:p>
        </w:tc>
        <w:tc>
          <w:tcPr>
            <w:tcW w:w="992" w:type="dxa"/>
            <w:vAlign w:val="center"/>
          </w:tcPr>
          <w:p w14:paraId="7950C9F2"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50</w:t>
            </w:r>
          </w:p>
        </w:tc>
      </w:tr>
      <w:tr w:rsidR="00B1754D" w:rsidRPr="003832EF" w14:paraId="35E2B9E4" w14:textId="77777777" w:rsidTr="00E4576B">
        <w:trPr>
          <w:jc w:val="center"/>
        </w:trPr>
        <w:tc>
          <w:tcPr>
            <w:tcW w:w="7555" w:type="dxa"/>
            <w:vAlign w:val="center"/>
          </w:tcPr>
          <w:p w14:paraId="25F08C18"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Figura 2.9 Sintaxis recomendada para la elaboración de la MIR</w:t>
            </w:r>
          </w:p>
        </w:tc>
        <w:tc>
          <w:tcPr>
            <w:tcW w:w="992" w:type="dxa"/>
            <w:vAlign w:val="center"/>
          </w:tcPr>
          <w:p w14:paraId="183B4C17"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51</w:t>
            </w:r>
          </w:p>
        </w:tc>
      </w:tr>
      <w:tr w:rsidR="00B1754D" w:rsidRPr="003832EF" w14:paraId="6BFF3744" w14:textId="77777777" w:rsidTr="00E4576B">
        <w:trPr>
          <w:jc w:val="center"/>
        </w:trPr>
        <w:tc>
          <w:tcPr>
            <w:tcW w:w="7555" w:type="dxa"/>
            <w:vAlign w:val="center"/>
          </w:tcPr>
          <w:p w14:paraId="560227C2"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Figura 2.10 Análisis de la lógica horizontal del objetivo del Fin</w:t>
            </w:r>
          </w:p>
        </w:tc>
        <w:tc>
          <w:tcPr>
            <w:tcW w:w="992" w:type="dxa"/>
            <w:vAlign w:val="center"/>
          </w:tcPr>
          <w:p w14:paraId="2BBC25B4"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53</w:t>
            </w:r>
          </w:p>
        </w:tc>
      </w:tr>
      <w:tr w:rsidR="00B1754D" w:rsidRPr="003832EF" w14:paraId="2589558C" w14:textId="77777777" w:rsidTr="00E4576B">
        <w:trPr>
          <w:jc w:val="center"/>
        </w:trPr>
        <w:tc>
          <w:tcPr>
            <w:tcW w:w="7555" w:type="dxa"/>
            <w:vAlign w:val="center"/>
          </w:tcPr>
          <w:p w14:paraId="38F8137B"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Figura 2.11 Análisis de la lógica horizontal del objetivo del Propósito</w:t>
            </w:r>
          </w:p>
        </w:tc>
        <w:tc>
          <w:tcPr>
            <w:tcW w:w="992" w:type="dxa"/>
            <w:vAlign w:val="center"/>
          </w:tcPr>
          <w:p w14:paraId="20101F31"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54</w:t>
            </w:r>
          </w:p>
        </w:tc>
      </w:tr>
      <w:tr w:rsidR="00B1754D" w:rsidRPr="003832EF" w14:paraId="6F729EA7" w14:textId="77777777" w:rsidTr="00E4576B">
        <w:trPr>
          <w:jc w:val="center"/>
        </w:trPr>
        <w:tc>
          <w:tcPr>
            <w:tcW w:w="7555" w:type="dxa"/>
            <w:vAlign w:val="center"/>
          </w:tcPr>
          <w:p w14:paraId="20A39EEC" w14:textId="77777777" w:rsidR="00B1754D" w:rsidRPr="003832EF" w:rsidRDefault="00B1754D" w:rsidP="00E4576B">
            <w:pPr>
              <w:spacing w:after="80"/>
              <w:rPr>
                <w:rFonts w:ascii="Century Gothic" w:eastAsiaTheme="minorEastAsia" w:hAnsi="Century Gothic"/>
              </w:rPr>
            </w:pPr>
            <w:r w:rsidRPr="003832EF">
              <w:rPr>
                <w:rFonts w:ascii="Century Gothic" w:eastAsiaTheme="minorEastAsia" w:hAnsi="Century Gothic"/>
              </w:rPr>
              <w:t>Figura 2.12 Análisis de la lógica horizontal del objetivo del Componente</w:t>
            </w:r>
          </w:p>
        </w:tc>
        <w:tc>
          <w:tcPr>
            <w:tcW w:w="992" w:type="dxa"/>
            <w:vAlign w:val="center"/>
          </w:tcPr>
          <w:p w14:paraId="40148D04"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55</w:t>
            </w:r>
          </w:p>
        </w:tc>
      </w:tr>
      <w:tr w:rsidR="00B1754D" w:rsidRPr="00FD476C" w14:paraId="47952C29" w14:textId="77777777" w:rsidTr="00E4576B">
        <w:trPr>
          <w:jc w:val="center"/>
        </w:trPr>
        <w:tc>
          <w:tcPr>
            <w:tcW w:w="7555" w:type="dxa"/>
            <w:vAlign w:val="center"/>
          </w:tcPr>
          <w:p w14:paraId="1B3D6275" w14:textId="77777777" w:rsidR="00B1754D" w:rsidRPr="003832EF" w:rsidRDefault="00B1754D" w:rsidP="00E4576B">
            <w:pPr>
              <w:spacing w:after="80"/>
              <w:jc w:val="left"/>
              <w:rPr>
                <w:rFonts w:ascii="Century Gothic" w:eastAsiaTheme="minorEastAsia" w:hAnsi="Century Gothic"/>
              </w:rPr>
            </w:pPr>
            <w:r w:rsidRPr="003832EF">
              <w:rPr>
                <w:rFonts w:ascii="Century Gothic" w:eastAsiaTheme="minorEastAsia" w:hAnsi="Century Gothic"/>
              </w:rPr>
              <w:t>Figura 2.13. Clasificación de los Indicadores dela MIR</w:t>
            </w:r>
          </w:p>
        </w:tc>
        <w:tc>
          <w:tcPr>
            <w:tcW w:w="992" w:type="dxa"/>
            <w:vAlign w:val="center"/>
          </w:tcPr>
          <w:p w14:paraId="1CF6EAAA"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58</w:t>
            </w:r>
          </w:p>
        </w:tc>
      </w:tr>
      <w:tr w:rsidR="00B1754D" w:rsidRPr="00FD476C" w14:paraId="00392F76" w14:textId="77777777" w:rsidTr="00E4576B">
        <w:trPr>
          <w:jc w:val="center"/>
        </w:trPr>
        <w:tc>
          <w:tcPr>
            <w:tcW w:w="7555" w:type="dxa"/>
          </w:tcPr>
          <w:p w14:paraId="40CC07C5" w14:textId="77777777" w:rsidR="00B1754D" w:rsidRPr="00FD476C" w:rsidRDefault="00B1754D" w:rsidP="00E4576B">
            <w:pPr>
              <w:jc w:val="left"/>
              <w:rPr>
                <w:rFonts w:ascii="Century Gothic" w:eastAsiaTheme="minorEastAsia" w:hAnsi="Century Gothic"/>
              </w:rPr>
            </w:pPr>
            <w:r w:rsidRPr="00FD476C">
              <w:rPr>
                <w:rFonts w:ascii="Century Gothic" w:eastAsiaTheme="minorEastAsia" w:hAnsi="Century Gothic"/>
              </w:rPr>
              <w:t>Figura</w:t>
            </w:r>
            <w:r>
              <w:rPr>
                <w:rFonts w:ascii="Century Gothic" w:eastAsiaTheme="minorEastAsia" w:hAnsi="Century Gothic"/>
              </w:rPr>
              <w:t xml:space="preserve"> 2.14.</w:t>
            </w:r>
            <w:r w:rsidRPr="00FD476C">
              <w:rPr>
                <w:rFonts w:ascii="Century Gothic" w:eastAsiaTheme="minorEastAsia" w:hAnsi="Century Gothic"/>
              </w:rPr>
              <w:t xml:space="preserve"> Diagrama: Plan de Calidad para proyectos ejecutivos</w:t>
            </w:r>
          </w:p>
        </w:tc>
        <w:tc>
          <w:tcPr>
            <w:tcW w:w="992" w:type="dxa"/>
            <w:vAlign w:val="center"/>
          </w:tcPr>
          <w:p w14:paraId="6E52F977"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70</w:t>
            </w:r>
          </w:p>
        </w:tc>
      </w:tr>
      <w:tr w:rsidR="00B1754D" w:rsidRPr="00FD476C" w14:paraId="71E5170C" w14:textId="77777777" w:rsidTr="00E4576B">
        <w:trPr>
          <w:jc w:val="center"/>
        </w:trPr>
        <w:tc>
          <w:tcPr>
            <w:tcW w:w="7555" w:type="dxa"/>
          </w:tcPr>
          <w:p w14:paraId="2CDE84A1" w14:textId="77777777" w:rsidR="00B1754D" w:rsidRPr="00FD476C" w:rsidRDefault="00B1754D" w:rsidP="00E4576B">
            <w:pPr>
              <w:spacing w:after="120"/>
              <w:jc w:val="left"/>
              <w:rPr>
                <w:rFonts w:ascii="Century Gothic" w:eastAsiaTheme="minorEastAsia" w:hAnsi="Century Gothic"/>
              </w:rPr>
            </w:pPr>
            <w:r>
              <w:rPr>
                <w:rFonts w:ascii="Century Gothic" w:eastAsiaTheme="minorEastAsia" w:hAnsi="Century Gothic"/>
              </w:rPr>
              <w:t>Figura 2.15</w:t>
            </w:r>
            <w:r w:rsidRPr="00FD476C">
              <w:rPr>
                <w:rFonts w:ascii="Century Gothic" w:eastAsiaTheme="minorEastAsia" w:hAnsi="Century Gothic"/>
              </w:rPr>
              <w:t>. Diagrama del Plan de la Calidad para la Contratación</w:t>
            </w:r>
          </w:p>
        </w:tc>
        <w:tc>
          <w:tcPr>
            <w:tcW w:w="992" w:type="dxa"/>
            <w:vAlign w:val="center"/>
          </w:tcPr>
          <w:p w14:paraId="6F92E842"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72</w:t>
            </w:r>
          </w:p>
        </w:tc>
      </w:tr>
      <w:tr w:rsidR="00B1754D" w:rsidRPr="00FD476C" w14:paraId="784DF927" w14:textId="77777777" w:rsidTr="00E4576B">
        <w:trPr>
          <w:jc w:val="center"/>
        </w:trPr>
        <w:tc>
          <w:tcPr>
            <w:tcW w:w="7555" w:type="dxa"/>
          </w:tcPr>
          <w:p w14:paraId="7CB216ED" w14:textId="77777777" w:rsidR="00B1754D" w:rsidRPr="00FD476C" w:rsidRDefault="00B1754D" w:rsidP="00E4576B">
            <w:pPr>
              <w:jc w:val="left"/>
              <w:rPr>
                <w:rFonts w:ascii="Century Gothic" w:eastAsiaTheme="minorEastAsia" w:hAnsi="Century Gothic"/>
              </w:rPr>
            </w:pPr>
            <w:r>
              <w:rPr>
                <w:rFonts w:ascii="Century Gothic" w:eastAsiaTheme="minorEastAsia" w:hAnsi="Century Gothic"/>
              </w:rPr>
              <w:t>Figura 2.16</w:t>
            </w:r>
            <w:r w:rsidRPr="00FD476C">
              <w:rPr>
                <w:rFonts w:ascii="Century Gothic" w:eastAsiaTheme="minorEastAsia" w:hAnsi="Century Gothic"/>
              </w:rPr>
              <w:t>. Diagrama: Procedimiento de ejecución de obra contratada</w:t>
            </w:r>
          </w:p>
        </w:tc>
        <w:tc>
          <w:tcPr>
            <w:tcW w:w="992" w:type="dxa"/>
            <w:vAlign w:val="center"/>
          </w:tcPr>
          <w:p w14:paraId="57266DC5"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74</w:t>
            </w:r>
          </w:p>
        </w:tc>
      </w:tr>
      <w:tr w:rsidR="00B1754D" w:rsidRPr="00FD476C" w14:paraId="587777A8" w14:textId="77777777" w:rsidTr="00E4576B">
        <w:trPr>
          <w:jc w:val="center"/>
        </w:trPr>
        <w:tc>
          <w:tcPr>
            <w:tcW w:w="7555" w:type="dxa"/>
          </w:tcPr>
          <w:p w14:paraId="625C3E28" w14:textId="77777777" w:rsidR="00B1754D" w:rsidRPr="00FD476C" w:rsidRDefault="00B1754D" w:rsidP="00E4576B">
            <w:pPr>
              <w:spacing w:after="120"/>
              <w:jc w:val="left"/>
              <w:rPr>
                <w:rFonts w:ascii="Century Gothic" w:eastAsiaTheme="minorEastAsia" w:hAnsi="Century Gothic"/>
              </w:rPr>
            </w:pPr>
            <w:r>
              <w:rPr>
                <w:rFonts w:ascii="Century Gothic" w:eastAsiaTheme="minorEastAsia" w:hAnsi="Century Gothic"/>
              </w:rPr>
              <w:t>Figura 2.17</w:t>
            </w:r>
            <w:r w:rsidRPr="00FD476C">
              <w:rPr>
                <w:rFonts w:ascii="Century Gothic" w:eastAsiaTheme="minorEastAsia" w:hAnsi="Century Gothic"/>
              </w:rPr>
              <w:t>. Diagrama: Plan de la Calidad para la ejecución de la obra</w:t>
            </w:r>
          </w:p>
        </w:tc>
        <w:tc>
          <w:tcPr>
            <w:tcW w:w="992" w:type="dxa"/>
            <w:vAlign w:val="center"/>
          </w:tcPr>
          <w:p w14:paraId="07C98171" w14:textId="77777777" w:rsidR="00B1754D" w:rsidRPr="003832EF" w:rsidRDefault="00B1754D" w:rsidP="00E4576B">
            <w:pPr>
              <w:spacing w:after="80"/>
              <w:jc w:val="center"/>
              <w:rPr>
                <w:rFonts w:ascii="Century Gothic" w:eastAsiaTheme="minorEastAsia" w:hAnsi="Century Gothic"/>
              </w:rPr>
            </w:pPr>
            <w:r>
              <w:rPr>
                <w:rFonts w:ascii="Century Gothic" w:eastAsiaTheme="minorEastAsia" w:hAnsi="Century Gothic"/>
              </w:rPr>
              <w:t>77</w:t>
            </w:r>
          </w:p>
        </w:tc>
      </w:tr>
    </w:tbl>
    <w:p w14:paraId="7A365D4A" w14:textId="77777777" w:rsidR="003832EF" w:rsidRPr="00FD476C" w:rsidRDefault="003832EF" w:rsidP="00FD476C">
      <w:pPr>
        <w:pStyle w:val="Sinespaciado"/>
        <w:rPr>
          <w:rFonts w:ascii="Century Gothic" w:eastAsiaTheme="minorEastAsia" w:hAnsi="Century Gothic"/>
          <w:lang w:val="es-ES"/>
        </w:rPr>
      </w:pPr>
    </w:p>
    <w:p w14:paraId="12A5EA5A" w14:textId="77777777" w:rsidR="003832EF" w:rsidRDefault="003832EF" w:rsidP="003A2465">
      <w:pPr>
        <w:pStyle w:val="Sinespaciado"/>
      </w:pPr>
    </w:p>
    <w:p w14:paraId="021C4BF3" w14:textId="77777777" w:rsidR="00822BC1" w:rsidRDefault="00822BC1">
      <w:pPr>
        <w:rPr>
          <w:rFonts w:ascii="Century Gothic" w:eastAsiaTheme="majorEastAsia" w:hAnsi="Century Gothic" w:cstheme="majorBidi"/>
          <w:b/>
          <w:color w:val="365F91" w:themeColor="accent1" w:themeShade="BF"/>
          <w:sz w:val="32"/>
          <w:szCs w:val="32"/>
        </w:rPr>
      </w:pPr>
      <w:r>
        <w:rPr>
          <w:rFonts w:ascii="Century Gothic" w:hAnsi="Century Gothic"/>
          <w:b/>
        </w:rPr>
        <w:br w:type="page"/>
      </w:r>
    </w:p>
    <w:p w14:paraId="129A672C" w14:textId="77777777" w:rsidR="006B0050" w:rsidRPr="00783BD2" w:rsidRDefault="008F433B" w:rsidP="008F433B">
      <w:pPr>
        <w:jc w:val="both"/>
        <w:rPr>
          <w:rFonts w:ascii="Century Gothic" w:hAnsi="Century Gothic"/>
          <w:b/>
          <w:color w:val="0E4E7A"/>
          <w:sz w:val="32"/>
          <w:szCs w:val="32"/>
        </w:rPr>
      </w:pPr>
      <w:r w:rsidRPr="008F433B">
        <w:rPr>
          <w:rFonts w:ascii="Century Gothic" w:hAnsi="Century Gothic"/>
          <w:b/>
          <w:color w:val="0E4E7A"/>
          <w:sz w:val="32"/>
          <w:szCs w:val="32"/>
        </w:rPr>
        <w:lastRenderedPageBreak/>
        <w:t>Evaluación de Consistencia y Resultados, al “Fondo para el Fortalecimiento de las Entidades Federativas (FAFEF).” a través del programa presupuestario: Infraestructura no Habitacional, para el ejercicio fiscal 2017</w:t>
      </w:r>
      <w:r>
        <w:rPr>
          <w:rFonts w:ascii="Century Gothic" w:hAnsi="Century Gothic"/>
          <w:b/>
          <w:color w:val="0E4E7A"/>
          <w:sz w:val="32"/>
          <w:szCs w:val="32"/>
        </w:rPr>
        <w:t>.</w:t>
      </w:r>
    </w:p>
    <w:p w14:paraId="4874B7D0" w14:textId="77777777" w:rsidR="002917EC" w:rsidRPr="008F433B" w:rsidRDefault="002917EC" w:rsidP="008F433B">
      <w:pPr>
        <w:pStyle w:val="Ttulo1"/>
        <w:spacing w:before="0" w:after="240"/>
        <w:rPr>
          <w:rFonts w:ascii="Century Gothic" w:hAnsi="Century Gothic"/>
          <w:b/>
          <w:color w:val="0E4E7A"/>
        </w:rPr>
      </w:pPr>
      <w:bookmarkStart w:id="1" w:name="_Toc505364418"/>
      <w:bookmarkStart w:id="2" w:name="_Toc511859761"/>
      <w:r w:rsidRPr="008F433B">
        <w:rPr>
          <w:rFonts w:ascii="Century Gothic" w:hAnsi="Century Gothic"/>
          <w:b/>
          <w:color w:val="0E4E7A"/>
        </w:rPr>
        <w:t>Introducción</w:t>
      </w:r>
      <w:bookmarkEnd w:id="1"/>
      <w:bookmarkEnd w:id="2"/>
    </w:p>
    <w:p w14:paraId="40BC7337" w14:textId="77777777" w:rsidR="008F433B" w:rsidRDefault="002C4E9A" w:rsidP="008F433B">
      <w:pPr>
        <w:spacing w:after="240"/>
        <w:jc w:val="both"/>
        <w:rPr>
          <w:rFonts w:ascii="Century Gothic" w:eastAsia="Calibri" w:hAnsi="Century Gothic" w:cs="Times New Roman"/>
          <w:sz w:val="24"/>
        </w:rPr>
      </w:pPr>
      <w:r>
        <w:rPr>
          <w:rFonts w:ascii="Century Gothic" w:eastAsia="Calibri" w:hAnsi="Century Gothic" w:cs="Times New Roman"/>
          <w:sz w:val="24"/>
        </w:rPr>
        <w:t>El sistema actual de Evaluación de Desempeño en México tiene como antecedente un marco legal que se ha ido transformando a lo largo varios años de acuerdo con diferentes esquemas presupuestarios; para operacionalizar este enfoque, existe un marco normativo que se desprende de la Constitución Política de los Estados Unidos Mexicanos; la cual</w:t>
      </w:r>
      <w:r w:rsidR="008F433B">
        <w:rPr>
          <w:rFonts w:ascii="Century Gothic" w:eastAsia="Calibri" w:hAnsi="Century Gothic" w:cs="Times New Roman"/>
          <w:sz w:val="24"/>
        </w:rPr>
        <w:t>, en su artículo 134, expone:</w:t>
      </w:r>
    </w:p>
    <w:p w14:paraId="189CD7DB" w14:textId="77777777" w:rsidR="002C4E9A" w:rsidRDefault="002C4E9A" w:rsidP="008F433B">
      <w:pPr>
        <w:spacing w:after="240"/>
        <w:ind w:left="284" w:right="333"/>
        <w:jc w:val="both"/>
        <w:rPr>
          <w:rFonts w:ascii="Century Gothic" w:hAnsi="Century Gothic" w:cs="Century Gothic"/>
          <w:color w:val="000000"/>
          <w:sz w:val="24"/>
          <w:szCs w:val="24"/>
        </w:rPr>
      </w:pPr>
      <w:r w:rsidRPr="00A96920">
        <w:rPr>
          <w:rFonts w:ascii="Century Gothic" w:eastAsia="Calibri" w:hAnsi="Century Gothic" w:cs="Times New Roman"/>
          <w:sz w:val="24"/>
        </w:rPr>
        <w:t xml:space="preserve">Los recursos económicos de que dispongan la Federación, las entidades federativas, los Municipios y las demarcaciones territoriales de la Ciudad de México, se administrarán con </w:t>
      </w:r>
      <w:r w:rsidRPr="00A96920">
        <w:rPr>
          <w:rFonts w:ascii="Century Gothic" w:eastAsia="Calibri" w:hAnsi="Century Gothic" w:cs="Times New Roman"/>
          <w:b/>
          <w:sz w:val="24"/>
        </w:rPr>
        <w:t>eficiencia, eficacia, economía, transparencia y honradez</w:t>
      </w:r>
      <w:r w:rsidRPr="00A96920">
        <w:rPr>
          <w:rFonts w:ascii="Century Gothic" w:eastAsia="Calibri" w:hAnsi="Century Gothic" w:cs="Times New Roman"/>
          <w:sz w:val="24"/>
        </w:rPr>
        <w:t>; para cumplir con los objetivos a los que están predestinados</w:t>
      </w:r>
      <w:r>
        <w:rPr>
          <w:rFonts w:ascii="Century Gothic" w:eastAsia="Calibri" w:hAnsi="Century Gothic" w:cs="Times New Roman"/>
          <w:sz w:val="24"/>
        </w:rPr>
        <w:t xml:space="preserve"> (DOF 29-01-2016)</w:t>
      </w:r>
      <w:r>
        <w:rPr>
          <w:rFonts w:ascii="Century Gothic" w:hAnsi="Century Gothic" w:cs="Century Gothic"/>
          <w:color w:val="000000"/>
          <w:sz w:val="24"/>
          <w:szCs w:val="24"/>
        </w:rPr>
        <w:t>.</w:t>
      </w:r>
    </w:p>
    <w:p w14:paraId="54119BFD" w14:textId="77777777" w:rsidR="008F433B" w:rsidRPr="008F433B" w:rsidRDefault="008F433B" w:rsidP="008F433B">
      <w:pPr>
        <w:spacing w:after="240"/>
        <w:jc w:val="both"/>
        <w:rPr>
          <w:rFonts w:ascii="Century Gothic" w:hAnsi="Century Gothic" w:cs="Century Gothic"/>
          <w:color w:val="000000"/>
          <w:sz w:val="24"/>
          <w:szCs w:val="24"/>
        </w:rPr>
      </w:pPr>
      <w:r w:rsidRPr="008F433B">
        <w:rPr>
          <w:rFonts w:ascii="Century Gothic" w:hAnsi="Century Gothic" w:cs="Century Gothic"/>
          <w:color w:val="000000"/>
          <w:sz w:val="24"/>
          <w:szCs w:val="24"/>
        </w:rPr>
        <w:t>Derivado de este artículo se plantea el problema de cómo determinar que se cumplan las características de este mandato constitucional, es decir, cómo y bajo qué parámetros se miden.</w:t>
      </w:r>
    </w:p>
    <w:p w14:paraId="429A11ED" w14:textId="77777777" w:rsidR="008F433B" w:rsidRPr="008F433B" w:rsidRDefault="008F433B" w:rsidP="008F433B">
      <w:pPr>
        <w:spacing w:after="240"/>
        <w:jc w:val="both"/>
        <w:rPr>
          <w:rFonts w:ascii="Century Gothic" w:hAnsi="Century Gothic" w:cs="Century Gothic"/>
          <w:color w:val="000000"/>
          <w:sz w:val="24"/>
          <w:szCs w:val="24"/>
        </w:rPr>
      </w:pPr>
      <w:r w:rsidRPr="008F433B">
        <w:rPr>
          <w:rFonts w:ascii="Century Gothic" w:hAnsi="Century Gothic" w:cs="Century Gothic"/>
          <w:color w:val="000000"/>
          <w:sz w:val="24"/>
          <w:szCs w:val="24"/>
        </w:rPr>
        <w:t xml:space="preserve">Es así como en la Ley de Coordinación Fiscal (LCF), artículo 49, se señala que el control, evaluación y fiscalización del manejo de los recursos federales será de la siguiente manera: </w:t>
      </w:r>
    </w:p>
    <w:p w14:paraId="2BAE82D9" w14:textId="77777777" w:rsidR="008F433B" w:rsidRDefault="008F433B" w:rsidP="008F433B">
      <w:pPr>
        <w:spacing w:after="240"/>
        <w:ind w:left="284" w:right="333"/>
        <w:jc w:val="both"/>
        <w:rPr>
          <w:rFonts w:ascii="Century Gothic" w:hAnsi="Century Gothic" w:cs="Century Gothic"/>
          <w:color w:val="000000"/>
          <w:sz w:val="24"/>
          <w:szCs w:val="24"/>
        </w:rPr>
      </w:pPr>
      <w:r w:rsidRPr="008F433B">
        <w:rPr>
          <w:rFonts w:ascii="Century Gothic" w:hAnsi="Century Gothic" w:cs="Century Gothic"/>
          <w:color w:val="000000"/>
          <w:sz w:val="24"/>
          <w:szCs w:val="24"/>
        </w:rPr>
        <w:t xml:space="preserve">V. El ejercicio de los recursos a que se refiere el presente capítulo deberá sujetarse a </w:t>
      </w:r>
      <w:r w:rsidRPr="008F433B">
        <w:rPr>
          <w:rFonts w:ascii="Century Gothic" w:hAnsi="Century Gothic" w:cs="Century Gothic"/>
          <w:b/>
          <w:color w:val="000000"/>
          <w:sz w:val="24"/>
          <w:szCs w:val="24"/>
        </w:rPr>
        <w:t>la evaluación del desempeño a que se refiere el artículo 110 de la Ley Federal de Presupuesto y Responsabilidad Hacendaria</w:t>
      </w:r>
      <w:r w:rsidRPr="008F433B">
        <w:rPr>
          <w:rFonts w:ascii="Century Gothic" w:hAnsi="Century Gothic" w:cs="Century Gothic"/>
          <w:color w:val="000000"/>
          <w:sz w:val="24"/>
          <w:szCs w:val="24"/>
        </w:rPr>
        <w:t>. Los resultados del ejercicio de dichos recursos deberán ser evaluados, con base en indicadores, a fin de verificar el cumplimiento de los objetivos a los que se encuentran destinados los Fondos de Aportaciones Federales conforme a la presente Ley, incluyendo, en su caso, el resultado cuando concurran recursos de la entidades federativas, municipios o demarcaciones territoriales de la Ciudad de México (DOF 18-07-2016).</w:t>
      </w:r>
    </w:p>
    <w:p w14:paraId="60DE78D3" w14:textId="77777777" w:rsidR="002C4E9A" w:rsidRDefault="002C4E9A" w:rsidP="002C4E9A">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lastRenderedPageBreak/>
        <w:t xml:space="preserve">Asimismo, la Ley Federal de Presupuesto y Responsabilidad Hacendaria (LFPRH), en su Artículo </w:t>
      </w:r>
      <w:r w:rsidR="007A1BAF">
        <w:rPr>
          <w:rFonts w:ascii="Century Gothic" w:hAnsi="Century Gothic" w:cs="Century Gothic"/>
          <w:color w:val="000000"/>
          <w:sz w:val="24"/>
          <w:szCs w:val="24"/>
        </w:rPr>
        <w:t>27 menciona</w:t>
      </w:r>
      <w:r>
        <w:rPr>
          <w:rFonts w:ascii="Century Gothic" w:hAnsi="Century Gothic" w:cs="Century Gothic"/>
          <w:color w:val="000000"/>
          <w:sz w:val="24"/>
          <w:szCs w:val="24"/>
        </w:rPr>
        <w:t xml:space="preserve">: </w:t>
      </w:r>
    </w:p>
    <w:p w14:paraId="51CE271E" w14:textId="77777777" w:rsidR="002C4E9A" w:rsidRDefault="002C4E9A" w:rsidP="002C4E9A">
      <w:pPr>
        <w:spacing w:after="240"/>
        <w:ind w:left="284" w:right="333"/>
        <w:jc w:val="both"/>
        <w:rPr>
          <w:rFonts w:ascii="Century Gothic" w:hAnsi="Century Gothic"/>
          <w:sz w:val="24"/>
          <w:szCs w:val="24"/>
        </w:rPr>
      </w:pPr>
      <w:r w:rsidRPr="00794349">
        <w:rPr>
          <w:rFonts w:ascii="Century Gothic" w:hAnsi="Century Gothic" w:cs="Century Gothic"/>
          <w:color w:val="000000"/>
          <w:sz w:val="24"/>
          <w:szCs w:val="24"/>
        </w:rPr>
        <w:t xml:space="preserve">La estructura programática facilitará la vinculación de la programación de los ejecutores con el Pan Nacional de Desarrollo y los programas, y deberá </w:t>
      </w:r>
      <w:r w:rsidRPr="00794349">
        <w:rPr>
          <w:rFonts w:ascii="Century Gothic" w:hAnsi="Century Gothic" w:cs="Century Gothic"/>
          <w:b/>
          <w:color w:val="000000"/>
          <w:sz w:val="24"/>
          <w:szCs w:val="24"/>
        </w:rPr>
        <w:t>incluir indicadores del desempeño</w:t>
      </w:r>
      <w:r w:rsidRPr="00794349">
        <w:rPr>
          <w:rFonts w:ascii="Century Gothic" w:hAnsi="Century Gothic" w:cs="Century Gothic"/>
          <w:color w:val="000000"/>
          <w:sz w:val="24"/>
          <w:szCs w:val="24"/>
        </w:rPr>
        <w:t xml:space="preserve"> con sus correspondientes metas anuales”, </w:t>
      </w:r>
      <w:r w:rsidRPr="00794349">
        <w:rPr>
          <w:rFonts w:ascii="Century Gothic" w:hAnsi="Century Gothic" w:cs="Century Gothic"/>
          <w:b/>
          <w:color w:val="000000"/>
          <w:sz w:val="24"/>
          <w:szCs w:val="24"/>
        </w:rPr>
        <w:t>que permitan la evaluación de programas</w:t>
      </w:r>
      <w:r w:rsidR="008F433B">
        <w:rPr>
          <w:rFonts w:ascii="Century Gothic" w:hAnsi="Century Gothic" w:cs="Century Gothic"/>
          <w:color w:val="000000"/>
          <w:sz w:val="24"/>
          <w:szCs w:val="24"/>
        </w:rPr>
        <w:t xml:space="preserve"> y proyectos; </w:t>
      </w:r>
      <w:r w:rsidRPr="00794349">
        <w:rPr>
          <w:rFonts w:ascii="Century Gothic" w:hAnsi="Century Gothic" w:cs="Century Gothic"/>
          <w:color w:val="000000"/>
          <w:sz w:val="24"/>
          <w:szCs w:val="24"/>
        </w:rPr>
        <w:t xml:space="preserve">estos indicadores </w:t>
      </w:r>
      <w:r w:rsidRPr="00794349">
        <w:rPr>
          <w:rFonts w:ascii="Century Gothic" w:hAnsi="Century Gothic" w:cs="Century Gothic"/>
          <w:b/>
          <w:color w:val="000000"/>
          <w:sz w:val="24"/>
          <w:szCs w:val="24"/>
        </w:rPr>
        <w:t>serán la base para el funcionamiento del Sistema de Evaluación del Desempeño</w:t>
      </w:r>
      <w:r w:rsidRPr="00794349">
        <w:rPr>
          <w:rFonts w:ascii="Century Gothic" w:hAnsi="Century Gothic" w:cs="Century Gothic"/>
          <w:color w:val="000000"/>
          <w:sz w:val="24"/>
          <w:szCs w:val="24"/>
        </w:rPr>
        <w:t>,</w:t>
      </w:r>
      <w:r w:rsidRPr="005C260B">
        <w:rPr>
          <w:rFonts w:ascii="Century Gothic" w:eastAsia="Calibri" w:hAnsi="Century Gothic" w:cs="Times New Roman"/>
          <w:sz w:val="24"/>
        </w:rPr>
        <w:t xml:space="preserve"> </w:t>
      </w:r>
      <w:r>
        <w:rPr>
          <w:rFonts w:ascii="Century Gothic" w:eastAsia="Calibri" w:hAnsi="Century Gothic" w:cs="Times New Roman"/>
          <w:sz w:val="24"/>
        </w:rPr>
        <w:t>(DOF 30-12-2015)</w:t>
      </w:r>
      <w:r>
        <w:rPr>
          <w:rFonts w:ascii="Century Gothic" w:hAnsi="Century Gothic" w:cs="Century Gothic"/>
          <w:color w:val="000000"/>
          <w:sz w:val="24"/>
          <w:szCs w:val="24"/>
        </w:rPr>
        <w:t>.</w:t>
      </w:r>
    </w:p>
    <w:p w14:paraId="6CBF9C63" w14:textId="77777777" w:rsidR="008F433B" w:rsidRDefault="002C4E9A" w:rsidP="002C4E9A">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También, la LF</w:t>
      </w:r>
      <w:r w:rsidR="008F433B">
        <w:rPr>
          <w:rFonts w:ascii="Century Gothic" w:hAnsi="Century Gothic" w:cs="Century Gothic"/>
          <w:color w:val="000000"/>
          <w:sz w:val="24"/>
          <w:szCs w:val="24"/>
        </w:rPr>
        <w:t xml:space="preserve">PRH en el Artículo 110 señala: </w:t>
      </w:r>
    </w:p>
    <w:p w14:paraId="0DDF70CA" w14:textId="77777777" w:rsidR="002C4E9A" w:rsidRDefault="002C4E9A" w:rsidP="008F433B">
      <w:pPr>
        <w:spacing w:after="240"/>
        <w:ind w:left="284" w:right="333"/>
        <w:jc w:val="both"/>
        <w:rPr>
          <w:rFonts w:ascii="Century Gothic" w:hAnsi="Century Gothic" w:cs="Century Gothic"/>
          <w:color w:val="000000"/>
          <w:sz w:val="24"/>
          <w:szCs w:val="24"/>
        </w:rPr>
      </w:pPr>
      <w:r w:rsidRPr="00794349">
        <w:rPr>
          <w:rFonts w:ascii="Century Gothic" w:hAnsi="Century Gothic" w:cs="Century Gothic"/>
          <w:color w:val="000000"/>
          <w:sz w:val="24"/>
          <w:szCs w:val="24"/>
        </w:rPr>
        <w:t xml:space="preserve">La </w:t>
      </w:r>
      <w:r w:rsidRPr="00794349">
        <w:rPr>
          <w:rFonts w:ascii="Century Gothic" w:hAnsi="Century Gothic" w:cs="Century Gothic"/>
          <w:b/>
          <w:color w:val="000000"/>
          <w:sz w:val="24"/>
          <w:szCs w:val="24"/>
        </w:rPr>
        <w:t>evaluación del desempeño</w:t>
      </w:r>
      <w:r w:rsidRPr="00794349">
        <w:rPr>
          <w:rFonts w:ascii="Century Gothic" w:hAnsi="Century Gothic" w:cs="Century Gothic"/>
          <w:color w:val="000000"/>
          <w:sz w:val="24"/>
          <w:szCs w:val="24"/>
        </w:rPr>
        <w:t xml:space="preserve"> se realizará a través de la verificación del grado de cumplimiento de objetivos y metas, </w:t>
      </w:r>
      <w:r w:rsidRPr="00794349">
        <w:rPr>
          <w:rFonts w:ascii="Century Gothic" w:hAnsi="Century Gothic" w:cs="Century Gothic"/>
          <w:b/>
          <w:color w:val="000000"/>
          <w:sz w:val="24"/>
          <w:szCs w:val="24"/>
        </w:rPr>
        <w:t>con base en indicadores estratégicos y de gestión que permitan conocer los resultados de la aplicación de los recursos</w:t>
      </w:r>
      <w:r w:rsidRPr="00794349">
        <w:rPr>
          <w:rFonts w:ascii="Century Gothic" w:hAnsi="Century Gothic" w:cs="Century Gothic"/>
          <w:color w:val="000000"/>
          <w:sz w:val="24"/>
          <w:szCs w:val="24"/>
        </w:rPr>
        <w:t xml:space="preserve"> públicos federales</w:t>
      </w:r>
      <w:r>
        <w:rPr>
          <w:rFonts w:ascii="Century Gothic" w:hAnsi="Century Gothic" w:cs="Century Gothic"/>
          <w:color w:val="000000"/>
          <w:sz w:val="24"/>
          <w:szCs w:val="24"/>
        </w:rPr>
        <w:t>”  y en su artículo 111 especifica que: “</w:t>
      </w:r>
      <w:r w:rsidR="009A745F">
        <w:rPr>
          <w:rFonts w:ascii="Century Gothic" w:hAnsi="Century Gothic" w:cs="Century Gothic"/>
          <w:color w:val="000000"/>
          <w:sz w:val="24"/>
          <w:szCs w:val="24"/>
        </w:rPr>
        <w:t>[…] verificará periódicamente […</w:t>
      </w:r>
      <w:r w:rsidR="00095D09">
        <w:rPr>
          <w:rFonts w:ascii="Century Gothic" w:hAnsi="Century Gothic" w:cs="Century Gothic"/>
          <w:color w:val="000000"/>
          <w:sz w:val="24"/>
          <w:szCs w:val="24"/>
        </w:rPr>
        <w:t>] los resultados de recaudación y de ejecuci</w:t>
      </w:r>
      <w:r w:rsidR="00266854">
        <w:rPr>
          <w:rFonts w:ascii="Century Gothic" w:hAnsi="Century Gothic" w:cs="Century Gothic"/>
          <w:color w:val="000000"/>
          <w:sz w:val="24"/>
          <w:szCs w:val="24"/>
        </w:rPr>
        <w:t>ón de los</w:t>
      </w:r>
      <w:r w:rsidR="00095D09">
        <w:rPr>
          <w:rFonts w:ascii="Century Gothic" w:hAnsi="Century Gothic" w:cs="Century Gothic"/>
          <w:color w:val="000000"/>
          <w:sz w:val="24"/>
          <w:szCs w:val="24"/>
        </w:rPr>
        <w:t xml:space="preserve"> programas y presupuestos de las dependencias y entidades con base en el sistema de evaluación del desempeño </w:t>
      </w:r>
      <w:r w:rsidR="006C1A5C">
        <w:rPr>
          <w:rFonts w:ascii="Century Gothic" w:hAnsi="Century Gothic" w:cs="Century Gothic"/>
          <w:color w:val="000000"/>
          <w:sz w:val="24"/>
          <w:szCs w:val="24"/>
        </w:rPr>
        <w:t xml:space="preserve">para identificar la eficiencia, economía, eficacia, y calidad de la Administración Pública federal y el impacto social del ejercicio del gasto público. </w:t>
      </w:r>
      <w:r w:rsidR="00AD7FE3">
        <w:rPr>
          <w:rFonts w:ascii="Century Gothic" w:hAnsi="Century Gothic" w:cs="Century Gothic"/>
          <w:color w:val="000000"/>
          <w:sz w:val="24"/>
          <w:szCs w:val="24"/>
        </w:rPr>
        <w:t>[…]</w:t>
      </w:r>
      <w:r w:rsidRPr="00AD17C7">
        <w:rPr>
          <w:rFonts w:ascii="Century Gothic" w:hAnsi="Century Gothic" w:cs="Century Gothic"/>
          <w:b/>
          <w:color w:val="000000"/>
          <w:sz w:val="24"/>
          <w:szCs w:val="24"/>
        </w:rPr>
        <w:t>El sistema de evaluación del desempeño […]</w:t>
      </w:r>
      <w:r w:rsidR="00135486" w:rsidRPr="00AD17C7">
        <w:rPr>
          <w:rFonts w:ascii="Century Gothic" w:hAnsi="Century Gothic" w:cs="Century Gothic"/>
          <w:b/>
          <w:color w:val="000000"/>
          <w:sz w:val="24"/>
          <w:szCs w:val="24"/>
        </w:rPr>
        <w:t xml:space="preserve"> </w:t>
      </w:r>
      <w:r w:rsidR="00D97642" w:rsidRPr="00AD17C7">
        <w:rPr>
          <w:rFonts w:ascii="Century Gothic" w:hAnsi="Century Gothic" w:cs="Century Gothic"/>
          <w:b/>
          <w:color w:val="000000"/>
          <w:sz w:val="24"/>
          <w:szCs w:val="24"/>
        </w:rPr>
        <w:t>será obligatorio para los ejecutores de gasto</w:t>
      </w:r>
      <w:r w:rsidR="00D97642">
        <w:rPr>
          <w:rFonts w:ascii="Century Gothic" w:hAnsi="Century Gothic" w:cs="Century Gothic"/>
          <w:color w:val="000000"/>
          <w:sz w:val="24"/>
          <w:szCs w:val="24"/>
        </w:rPr>
        <w:t xml:space="preserve">. Dicho sistema incorporará indicadores </w:t>
      </w:r>
      <w:r w:rsidR="00715E3D">
        <w:rPr>
          <w:rFonts w:ascii="Century Gothic" w:hAnsi="Century Gothic" w:cs="Century Gothic"/>
          <w:color w:val="000000"/>
          <w:sz w:val="24"/>
          <w:szCs w:val="24"/>
        </w:rPr>
        <w:t>para evaluar los resultados</w:t>
      </w:r>
      <w:r w:rsidRPr="00794349">
        <w:rPr>
          <w:rFonts w:ascii="Century Gothic" w:hAnsi="Century Gothic" w:cs="Century Gothic"/>
          <w:color w:val="000000"/>
          <w:sz w:val="24"/>
          <w:szCs w:val="24"/>
        </w:rPr>
        <w:t xml:space="preserve"> </w:t>
      </w:r>
      <w:r w:rsidR="00AD17C7">
        <w:rPr>
          <w:rFonts w:ascii="Century Gothic" w:hAnsi="Century Gothic" w:cs="Century Gothic"/>
          <w:color w:val="000000"/>
          <w:sz w:val="24"/>
          <w:szCs w:val="24"/>
        </w:rPr>
        <w:t>los resultados</w:t>
      </w:r>
      <w:r>
        <w:rPr>
          <w:rFonts w:ascii="Century Gothic" w:hAnsi="Century Gothic" w:cs="Century Gothic"/>
          <w:color w:val="000000"/>
          <w:sz w:val="24"/>
          <w:szCs w:val="24"/>
        </w:rPr>
        <w:t xml:space="preserve"> </w:t>
      </w:r>
      <w:r>
        <w:rPr>
          <w:rFonts w:ascii="Century Gothic" w:eastAsia="Calibri" w:hAnsi="Century Gothic" w:cs="Times New Roman"/>
          <w:sz w:val="24"/>
        </w:rPr>
        <w:t>(DOF 30-12-2015)</w:t>
      </w:r>
      <w:r>
        <w:rPr>
          <w:rFonts w:ascii="Century Gothic" w:hAnsi="Century Gothic" w:cs="Century Gothic"/>
          <w:color w:val="000000"/>
          <w:sz w:val="24"/>
          <w:szCs w:val="24"/>
        </w:rPr>
        <w:t xml:space="preserve">. </w:t>
      </w:r>
    </w:p>
    <w:p w14:paraId="4FF69B5F" w14:textId="77777777" w:rsidR="008F433B" w:rsidRDefault="008F433B" w:rsidP="002C4E9A">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De igual forma en e</w:t>
      </w:r>
      <w:r w:rsidR="002C4E9A">
        <w:rPr>
          <w:rFonts w:ascii="Century Gothic" w:hAnsi="Century Gothic" w:cs="Century Gothic"/>
          <w:color w:val="000000"/>
          <w:sz w:val="24"/>
          <w:szCs w:val="24"/>
        </w:rPr>
        <w:t>l artículo 85 de la LFPRH refiere que los recursos transferidos por la federación que ejerzan las entidades federativas, los municipios, o cualquier ente público de carácter local</w:t>
      </w:r>
      <w:r w:rsidR="00353DD9">
        <w:rPr>
          <w:rFonts w:ascii="Century Gothic" w:hAnsi="Century Gothic" w:cs="Century Gothic"/>
          <w:color w:val="000000"/>
          <w:sz w:val="24"/>
          <w:szCs w:val="24"/>
        </w:rPr>
        <w:t>:</w:t>
      </w:r>
      <w:r w:rsidR="002C4E9A">
        <w:rPr>
          <w:rFonts w:ascii="Century Gothic" w:hAnsi="Century Gothic" w:cs="Century Gothic"/>
          <w:color w:val="000000"/>
          <w:sz w:val="24"/>
          <w:szCs w:val="24"/>
        </w:rPr>
        <w:t xml:space="preserve"> </w:t>
      </w:r>
    </w:p>
    <w:p w14:paraId="42B368DF" w14:textId="77777777" w:rsidR="002C4E9A" w:rsidRDefault="008F433B" w:rsidP="008F433B">
      <w:pPr>
        <w:spacing w:after="240"/>
        <w:ind w:left="284" w:right="333"/>
        <w:jc w:val="both"/>
        <w:rPr>
          <w:rFonts w:ascii="Century Gothic" w:hAnsi="Century Gothic" w:cs="Century Gothic"/>
          <w:color w:val="000000"/>
          <w:sz w:val="24"/>
          <w:szCs w:val="24"/>
        </w:rPr>
      </w:pPr>
      <w:r>
        <w:rPr>
          <w:rFonts w:ascii="Century Gothic" w:hAnsi="Century Gothic" w:cs="Century Gothic"/>
          <w:b/>
          <w:color w:val="000000"/>
          <w:sz w:val="24"/>
          <w:szCs w:val="24"/>
        </w:rPr>
        <w:t>S</w:t>
      </w:r>
      <w:r w:rsidR="002C4E9A" w:rsidRPr="00794349">
        <w:rPr>
          <w:rFonts w:ascii="Century Gothic" w:hAnsi="Century Gothic" w:cs="Century Gothic"/>
          <w:b/>
          <w:color w:val="000000"/>
          <w:sz w:val="24"/>
          <w:szCs w:val="24"/>
        </w:rPr>
        <w:t>erán evaluados</w:t>
      </w:r>
      <w:r w:rsidR="002C4E9A" w:rsidRPr="00794349">
        <w:rPr>
          <w:rFonts w:ascii="Century Gothic" w:hAnsi="Century Gothic" w:cs="Century Gothic"/>
          <w:color w:val="000000"/>
          <w:sz w:val="24"/>
          <w:szCs w:val="24"/>
        </w:rPr>
        <w:t xml:space="preserve"> conforme a las bases establecidas en el </w:t>
      </w:r>
      <w:r w:rsidR="002C4E9A" w:rsidRPr="00794349">
        <w:rPr>
          <w:rFonts w:ascii="Century Gothic" w:hAnsi="Century Gothic" w:cs="Century Gothic"/>
          <w:b/>
          <w:color w:val="000000"/>
          <w:sz w:val="24"/>
          <w:szCs w:val="24"/>
        </w:rPr>
        <w:t>artículo 110 de esta ley</w:t>
      </w:r>
      <w:r w:rsidR="002C4E9A" w:rsidRPr="00794349">
        <w:rPr>
          <w:rFonts w:ascii="Century Gothic" w:hAnsi="Century Gothic" w:cs="Century Gothic"/>
          <w:color w:val="000000"/>
          <w:sz w:val="24"/>
          <w:szCs w:val="24"/>
        </w:rPr>
        <w:t xml:space="preserve">, </w:t>
      </w:r>
      <w:r w:rsidR="002C4E9A" w:rsidRPr="00794349">
        <w:rPr>
          <w:rFonts w:ascii="Century Gothic" w:hAnsi="Century Gothic" w:cs="Century Gothic"/>
          <w:b/>
          <w:color w:val="000000"/>
          <w:sz w:val="24"/>
          <w:szCs w:val="24"/>
        </w:rPr>
        <w:t>con base en indicadores estratégicos y de gestión</w:t>
      </w:r>
      <w:r w:rsidR="002C4E9A" w:rsidRPr="00794349">
        <w:rPr>
          <w:rFonts w:ascii="Century Gothic" w:hAnsi="Century Gothic" w:cs="Century Gothic"/>
          <w:color w:val="000000"/>
          <w:sz w:val="24"/>
          <w:szCs w:val="24"/>
        </w:rPr>
        <w:t xml:space="preserve"> por instancias técnicas independientes de las instituciones que ejerzan dichos recursos observando los requisitos de información correspondientes</w:t>
      </w:r>
      <w:r w:rsidR="002C4E9A">
        <w:rPr>
          <w:rFonts w:ascii="Century Gothic" w:hAnsi="Century Gothic" w:cs="Century Gothic"/>
          <w:color w:val="000000"/>
          <w:sz w:val="24"/>
          <w:szCs w:val="24"/>
        </w:rPr>
        <w:t xml:space="preserve">” </w:t>
      </w:r>
      <w:r w:rsidR="002C4E9A">
        <w:rPr>
          <w:rFonts w:ascii="Century Gothic" w:eastAsia="Calibri" w:hAnsi="Century Gothic" w:cs="Times New Roman"/>
          <w:sz w:val="24"/>
        </w:rPr>
        <w:t>(DOF 30-12-2015)</w:t>
      </w:r>
      <w:r w:rsidR="002C4E9A">
        <w:rPr>
          <w:rFonts w:ascii="Century Gothic" w:hAnsi="Century Gothic" w:cs="Century Gothic"/>
          <w:color w:val="000000"/>
          <w:sz w:val="24"/>
          <w:szCs w:val="24"/>
        </w:rPr>
        <w:t>.</w:t>
      </w:r>
    </w:p>
    <w:p w14:paraId="77CB1949" w14:textId="77777777" w:rsidR="00353DD9" w:rsidRPr="00353DD9" w:rsidRDefault="00353DD9" w:rsidP="00353DD9">
      <w:pPr>
        <w:spacing w:after="240"/>
        <w:jc w:val="both"/>
        <w:rPr>
          <w:rFonts w:ascii="Century Gothic" w:eastAsia="Calibri" w:hAnsi="Century Gothic" w:cs="Times New Roman"/>
          <w:sz w:val="24"/>
        </w:rPr>
      </w:pPr>
      <w:r w:rsidRPr="00353DD9">
        <w:rPr>
          <w:rFonts w:ascii="Century Gothic" w:eastAsia="Calibri" w:hAnsi="Century Gothic" w:cs="Times New Roman"/>
          <w:sz w:val="24"/>
        </w:rPr>
        <w:t xml:space="preserve">A este conjunto de normas se anexa la Ley General de Contabilidad Gubernamental (LGCG), donde se señala la obligatoriedad de cumplir con la ley para todos los niveles de gobierno, lo que da origen a la armonización </w:t>
      </w:r>
      <w:r w:rsidRPr="00353DD9">
        <w:rPr>
          <w:rFonts w:ascii="Century Gothic" w:eastAsia="Calibri" w:hAnsi="Century Gothic" w:cs="Times New Roman"/>
          <w:sz w:val="24"/>
        </w:rPr>
        <w:lastRenderedPageBreak/>
        <w:t xml:space="preserve">contable y al ente que la regula, el Consejo Nacional de Armonización Contable (CONAC). En esta ley se menciona la integración de la cuenta pública en las entidades federativas, en sus fracciones III y IV del artículo 53 señalan que: La cuenta pública de las entidades federativas contendrá como mínimo: </w:t>
      </w:r>
    </w:p>
    <w:p w14:paraId="45960366" w14:textId="77777777" w:rsidR="00353DD9" w:rsidRPr="00353DD9" w:rsidRDefault="00353DD9" w:rsidP="00353DD9">
      <w:pPr>
        <w:spacing w:after="240"/>
        <w:ind w:left="284" w:right="333"/>
        <w:jc w:val="both"/>
        <w:rPr>
          <w:rFonts w:ascii="Century Gothic" w:eastAsia="Calibri" w:hAnsi="Century Gothic" w:cs="Times New Roman"/>
          <w:sz w:val="24"/>
        </w:rPr>
      </w:pPr>
      <w:r w:rsidRPr="00353DD9">
        <w:rPr>
          <w:rFonts w:ascii="Century Gothic" w:eastAsia="Calibri" w:hAnsi="Century Gothic" w:cs="Times New Roman"/>
          <w:sz w:val="24"/>
        </w:rPr>
        <w:t xml:space="preserve">III. Información programática, de acuerdo con la clasificación establecida en la fracción III del artículo 46 de esta ley, el cual indica que, la información programática deberá tener la desagregación siguiente: a) Gasto por categoría programática; b) Programas y proyectos de inversión; c) </w:t>
      </w:r>
      <w:r w:rsidRPr="00353DD9">
        <w:rPr>
          <w:rFonts w:ascii="Century Gothic" w:eastAsia="Calibri" w:hAnsi="Century Gothic" w:cs="Times New Roman"/>
          <w:b/>
          <w:sz w:val="24"/>
        </w:rPr>
        <w:t>Indicadores de resultados</w:t>
      </w:r>
      <w:r w:rsidRPr="00353DD9">
        <w:rPr>
          <w:rFonts w:ascii="Century Gothic" w:eastAsia="Calibri" w:hAnsi="Century Gothic" w:cs="Times New Roman"/>
          <w:sz w:val="24"/>
        </w:rPr>
        <w:t xml:space="preserve">; y </w:t>
      </w:r>
    </w:p>
    <w:p w14:paraId="270D3FE4" w14:textId="77777777" w:rsidR="00353DD9" w:rsidRPr="00353DD9" w:rsidRDefault="00353DD9" w:rsidP="00353DD9">
      <w:pPr>
        <w:spacing w:after="240"/>
        <w:ind w:left="284" w:right="333"/>
        <w:jc w:val="both"/>
        <w:rPr>
          <w:rFonts w:ascii="Century Gothic" w:eastAsia="Calibri" w:hAnsi="Century Gothic" w:cs="Times New Roman"/>
          <w:sz w:val="24"/>
        </w:rPr>
      </w:pPr>
      <w:r w:rsidRPr="00353DD9">
        <w:rPr>
          <w:rFonts w:ascii="Century Gothic" w:eastAsia="Calibri" w:hAnsi="Century Gothic" w:cs="Times New Roman"/>
          <w:sz w:val="24"/>
        </w:rPr>
        <w:t>IV. Análisis cualitativo de los indicadores de la postura fiscal, estableciendo su vínculo con los objetivos y prioridades definidas en la materia, en el programa económico anual. (DOF 18-07-2016).</w:t>
      </w:r>
    </w:p>
    <w:p w14:paraId="4258CD84" w14:textId="77777777" w:rsidR="00353DD9" w:rsidRDefault="00353DD9" w:rsidP="00353DD9">
      <w:pPr>
        <w:spacing w:after="240"/>
        <w:jc w:val="both"/>
        <w:rPr>
          <w:rFonts w:ascii="Century Gothic" w:eastAsia="Calibri" w:hAnsi="Century Gothic" w:cs="Times New Roman"/>
          <w:sz w:val="24"/>
        </w:rPr>
      </w:pPr>
      <w:r w:rsidRPr="00353DD9">
        <w:rPr>
          <w:rFonts w:ascii="Century Gothic" w:eastAsia="Calibri" w:hAnsi="Century Gothic" w:cs="Times New Roman"/>
          <w:sz w:val="24"/>
        </w:rPr>
        <w:t>De no cumplir con la normatividad anteriormente descrita en materia de uso y destino de los recursos, existen sanciones administrativas para los servidores públicos, expuestas en los artículos 85 y 86 de esta misma ley.</w:t>
      </w:r>
    </w:p>
    <w:p w14:paraId="63D129ED" w14:textId="77777777" w:rsidR="00353DD9" w:rsidRPr="00353DD9" w:rsidRDefault="00353DD9" w:rsidP="00353DD9">
      <w:pPr>
        <w:spacing w:after="240"/>
        <w:jc w:val="both"/>
        <w:rPr>
          <w:rFonts w:ascii="Century Gothic" w:hAnsi="Century Gothic" w:cs="Century Gothic"/>
          <w:color w:val="000000"/>
          <w:sz w:val="24"/>
          <w:szCs w:val="24"/>
        </w:rPr>
      </w:pPr>
      <w:r w:rsidRPr="00353DD9">
        <w:rPr>
          <w:rFonts w:ascii="Century Gothic" w:hAnsi="Century Gothic" w:cs="Century Gothic"/>
          <w:color w:val="000000"/>
          <w:sz w:val="24"/>
          <w:szCs w:val="24"/>
        </w:rPr>
        <w:t>Por su parte, en el ámbito estatal, en el artículo 17, la Ley de Fiscalización Superior del Estado de Colima, señala las atribuciones del Órgano Superior, donde en el inciso a), fracción IV, hace referencia a la ev</w:t>
      </w:r>
      <w:r w:rsidR="00ED32B4">
        <w:rPr>
          <w:rFonts w:ascii="Century Gothic" w:hAnsi="Century Gothic" w:cs="Century Gothic"/>
          <w:color w:val="000000"/>
          <w:sz w:val="24"/>
          <w:szCs w:val="24"/>
        </w:rPr>
        <w:t xml:space="preserve">aluación semestral y anual del </w:t>
      </w:r>
      <w:r w:rsidRPr="00353DD9">
        <w:rPr>
          <w:rFonts w:ascii="Century Gothic" w:hAnsi="Century Gothic" w:cs="Century Gothic"/>
          <w:color w:val="000000"/>
          <w:sz w:val="24"/>
          <w:szCs w:val="24"/>
        </w:rPr>
        <w:t>cumplimiento de los objetivos y metas de los programas estatales y municipales,  conforme a los indicadores estratégicos y de gestión establecidos en los presupuestos de egresos […]. Lo anterior con independencia de las atribuciones similares que tengan otras instancias, tanto internas, como externas.</w:t>
      </w:r>
    </w:p>
    <w:p w14:paraId="6A42554B" w14:textId="77777777" w:rsidR="00353DD9" w:rsidRPr="00353DD9" w:rsidRDefault="00353DD9" w:rsidP="00353DD9">
      <w:pPr>
        <w:spacing w:after="240"/>
        <w:jc w:val="both"/>
        <w:rPr>
          <w:rFonts w:ascii="Century Gothic" w:hAnsi="Century Gothic" w:cs="Century Gothic"/>
          <w:color w:val="000000"/>
          <w:sz w:val="24"/>
          <w:szCs w:val="24"/>
        </w:rPr>
      </w:pPr>
      <w:r w:rsidRPr="00353DD9">
        <w:rPr>
          <w:rFonts w:ascii="Century Gothic" w:hAnsi="Century Gothic" w:cs="Century Gothic"/>
          <w:color w:val="000000"/>
          <w:sz w:val="24"/>
          <w:szCs w:val="24"/>
        </w:rPr>
        <w:t>De igual forma, en el inciso d) en materia de evaluación, se señala la atribución en el numeral I de efectuar la evaluación de los recursos económicos federales, estatales y municipales a que se refiere el artículo 134 constitucional y que esta evaluación podrá ser realizada por el propio Órgano o a través de personas físicas o morales especializadas  y con experiencia probada en la materia que corresponda evaluar, que sean contratadas al efecto y cumplan con los requisitos de independencia, imparcialidad y transparencia.</w:t>
      </w:r>
    </w:p>
    <w:p w14:paraId="0DCF032E" w14:textId="77777777" w:rsidR="00353DD9" w:rsidRPr="00353DD9" w:rsidRDefault="00353DD9" w:rsidP="00353DD9">
      <w:pPr>
        <w:spacing w:after="240"/>
        <w:jc w:val="both"/>
        <w:rPr>
          <w:rFonts w:ascii="Century Gothic" w:hAnsi="Century Gothic" w:cs="Century Gothic"/>
          <w:color w:val="000000"/>
          <w:sz w:val="24"/>
          <w:szCs w:val="24"/>
        </w:rPr>
      </w:pPr>
      <w:r w:rsidRPr="00353DD9">
        <w:rPr>
          <w:rFonts w:ascii="Century Gothic" w:hAnsi="Century Gothic" w:cs="Century Gothic"/>
          <w:color w:val="000000"/>
          <w:sz w:val="24"/>
          <w:szCs w:val="24"/>
        </w:rPr>
        <w:t xml:space="preserve">Es así que en el año 2013, Tecnología Social para el Desarrollo (TECSO), colabora con el Órgano Superior de Auditoría y Fiscalización </w:t>
      </w:r>
      <w:r w:rsidRPr="00353DD9">
        <w:rPr>
          <w:rFonts w:ascii="Century Gothic" w:hAnsi="Century Gothic" w:cs="Century Gothic"/>
          <w:color w:val="000000"/>
          <w:sz w:val="24"/>
          <w:szCs w:val="24"/>
        </w:rPr>
        <w:lastRenderedPageBreak/>
        <w:t xml:space="preserve">Gubernamental del Estado, para el Desarrollo del Sistema de Evaluación al Desempeño de Recursos Federalizados. Así mismo, en el año 2014, se realiza un análisis de Consistencia del “Fondo de Aportaciones para los Servicios de Salud (FASSA)”, del “Fondo de Aportaciones para la Educación Básica (FAEB)” y de 12 servicios municipales. </w:t>
      </w:r>
    </w:p>
    <w:p w14:paraId="59B9A286" w14:textId="77777777" w:rsidR="00FA07A1" w:rsidRPr="00FA07A1" w:rsidRDefault="00353DD9" w:rsidP="00353DD9">
      <w:pPr>
        <w:spacing w:after="240"/>
        <w:jc w:val="both"/>
        <w:rPr>
          <w:rFonts w:ascii="Century Gothic" w:hAnsi="Century Gothic" w:cs="Century Gothic"/>
          <w:color w:val="000000"/>
          <w:sz w:val="24"/>
          <w:szCs w:val="24"/>
        </w:rPr>
      </w:pPr>
      <w:r w:rsidRPr="00353DD9">
        <w:rPr>
          <w:rFonts w:ascii="Century Gothic" w:hAnsi="Century Gothic" w:cs="Century Gothic"/>
          <w:color w:val="000000"/>
          <w:sz w:val="24"/>
          <w:szCs w:val="24"/>
        </w:rPr>
        <w:t>Como resultado de estas intervenciones realizadas por el OSAFIG, en el 2015 el Estado se encontraba con un valor del Índice General de Avance en el Presupuesto basado en Resultados y el Sistema de Evaluación de</w:t>
      </w:r>
      <w:r w:rsidR="00ED32B4">
        <w:rPr>
          <w:rFonts w:ascii="Century Gothic" w:hAnsi="Century Gothic" w:cs="Century Gothic"/>
          <w:color w:val="000000"/>
          <w:sz w:val="24"/>
          <w:szCs w:val="24"/>
        </w:rPr>
        <w:t>l Desempeño (PbR y SED) de 81.3</w:t>
      </w:r>
      <w:r w:rsidRPr="00353DD9">
        <w:rPr>
          <w:rFonts w:ascii="Century Gothic" w:hAnsi="Century Gothic" w:cs="Century Gothic"/>
          <w:color w:val="000000"/>
          <w:sz w:val="24"/>
          <w:szCs w:val="24"/>
        </w:rPr>
        <w:t>, por encima de la media nacional (76.8). Mientras que para 2016, debido al cambio de ponderación, el Índice cae a un valor de 59, siendo las categorías de planeación (35.8) y evaluación (45.8) las de menor avance. Para el 2017, la cifra del Índice desciende nuevamente a un valor de 22.4, afectada principalmente por los valores de cero en las categorías de programación y seguimiento, aunadas al valor de 20.3 en el concepto de evaluación, lo que permite identificar las principales áreas de oportunidad en la Gestión por Resultados del estado de Colima.</w:t>
      </w:r>
    </w:p>
    <w:p w14:paraId="419CCBF7" w14:textId="77777777" w:rsidR="002C4E9A" w:rsidRDefault="00FA07A1" w:rsidP="002C4E9A">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Por otra parte,</w:t>
      </w:r>
      <w:r w:rsidR="002C4E9A">
        <w:rPr>
          <w:rFonts w:ascii="Century Gothic" w:hAnsi="Century Gothic" w:cs="Century Gothic"/>
          <w:color w:val="000000"/>
          <w:sz w:val="24"/>
          <w:szCs w:val="24"/>
        </w:rPr>
        <w:t xml:space="preserve"> el CONAC en cumplimiento a la LGCG emite la NORMA para establecer el formato para la difusión de los resultados de las evaluaciones de los recursos federales ministrados a las entidades federativas, en el numeral 11, refiere que para garantizar la evaluación orientada a resultados y retroalimentar el SED, </w:t>
      </w:r>
      <w:r w:rsidR="002C4E9A">
        <w:rPr>
          <w:rFonts w:ascii="Century Gothic" w:hAnsi="Century Gothic" w:cs="Century Gothic"/>
          <w:b/>
          <w:color w:val="000000"/>
          <w:sz w:val="24"/>
          <w:szCs w:val="24"/>
        </w:rPr>
        <w:t xml:space="preserve">los entes públicos podrán aplicar los tipos de evaluación determinados en el numeral Décimo Sexto de los Lineamientos de Evaluación </w:t>
      </w:r>
      <w:r w:rsidR="002C4E9A">
        <w:rPr>
          <w:rFonts w:ascii="Century Gothic" w:hAnsi="Century Gothic" w:cs="Century Gothic"/>
          <w:color w:val="000000"/>
          <w:sz w:val="24"/>
          <w:szCs w:val="24"/>
        </w:rPr>
        <w:t>de la APF, los cuales son los siguientes:</w:t>
      </w:r>
    </w:p>
    <w:p w14:paraId="3749A20A" w14:textId="77777777" w:rsidR="002C4E9A" w:rsidRPr="0092482D" w:rsidRDefault="002C4E9A" w:rsidP="00FD0970">
      <w:pPr>
        <w:pStyle w:val="Prrafodelista"/>
        <w:numPr>
          <w:ilvl w:val="0"/>
          <w:numId w:val="2"/>
        </w:numPr>
        <w:spacing w:after="120"/>
        <w:contextualSpacing w:val="0"/>
        <w:jc w:val="both"/>
        <w:rPr>
          <w:rFonts w:ascii="Century Gothic" w:hAnsi="Century Gothic" w:cs="Century Gothic"/>
          <w:b/>
          <w:color w:val="000000"/>
          <w:sz w:val="24"/>
          <w:szCs w:val="24"/>
        </w:rPr>
      </w:pPr>
      <w:r w:rsidRPr="0092482D">
        <w:rPr>
          <w:rFonts w:ascii="Century Gothic" w:hAnsi="Century Gothic" w:cs="Century Gothic"/>
          <w:b/>
          <w:color w:val="000000"/>
          <w:sz w:val="24"/>
          <w:szCs w:val="24"/>
        </w:rPr>
        <w:t>Evaluación de Consistencia y Resultados</w:t>
      </w:r>
    </w:p>
    <w:p w14:paraId="1EDA3546" w14:textId="77777777" w:rsidR="002C4E9A" w:rsidRDefault="002C4E9A" w:rsidP="00FD0970">
      <w:pPr>
        <w:pStyle w:val="Prrafodelista"/>
        <w:numPr>
          <w:ilvl w:val="0"/>
          <w:numId w:val="2"/>
        </w:numPr>
        <w:spacing w:after="120"/>
        <w:contextualSpacing w:val="0"/>
        <w:jc w:val="both"/>
        <w:rPr>
          <w:rFonts w:ascii="Century Gothic" w:hAnsi="Century Gothic" w:cs="Century Gothic"/>
          <w:color w:val="000000"/>
          <w:sz w:val="24"/>
          <w:szCs w:val="24"/>
        </w:rPr>
      </w:pPr>
      <w:r>
        <w:rPr>
          <w:rFonts w:ascii="Century Gothic" w:hAnsi="Century Gothic" w:cs="Century Gothic"/>
          <w:color w:val="000000"/>
          <w:sz w:val="24"/>
          <w:szCs w:val="24"/>
        </w:rPr>
        <w:t>Evaluación de Indicadores</w:t>
      </w:r>
    </w:p>
    <w:p w14:paraId="343A7787" w14:textId="77777777" w:rsidR="002C4E9A" w:rsidRDefault="002C4E9A" w:rsidP="00FD0970">
      <w:pPr>
        <w:pStyle w:val="Prrafodelista"/>
        <w:numPr>
          <w:ilvl w:val="0"/>
          <w:numId w:val="2"/>
        </w:numPr>
        <w:spacing w:after="120"/>
        <w:contextualSpacing w:val="0"/>
        <w:jc w:val="both"/>
        <w:rPr>
          <w:rFonts w:ascii="Century Gothic" w:hAnsi="Century Gothic" w:cs="Century Gothic"/>
          <w:color w:val="000000"/>
          <w:sz w:val="24"/>
          <w:szCs w:val="24"/>
        </w:rPr>
      </w:pPr>
      <w:r>
        <w:rPr>
          <w:rFonts w:ascii="Century Gothic" w:hAnsi="Century Gothic" w:cs="Century Gothic"/>
          <w:color w:val="000000"/>
          <w:sz w:val="24"/>
          <w:szCs w:val="24"/>
        </w:rPr>
        <w:t>Evaluación de Procesos</w:t>
      </w:r>
    </w:p>
    <w:p w14:paraId="42083941" w14:textId="77777777" w:rsidR="002C4E9A" w:rsidRDefault="002C4E9A" w:rsidP="00FD0970">
      <w:pPr>
        <w:pStyle w:val="Prrafodelista"/>
        <w:numPr>
          <w:ilvl w:val="0"/>
          <w:numId w:val="2"/>
        </w:numPr>
        <w:spacing w:after="120"/>
        <w:contextualSpacing w:val="0"/>
        <w:jc w:val="both"/>
        <w:rPr>
          <w:rFonts w:ascii="Century Gothic" w:hAnsi="Century Gothic" w:cs="Century Gothic"/>
          <w:color w:val="000000"/>
          <w:sz w:val="24"/>
          <w:szCs w:val="24"/>
        </w:rPr>
      </w:pPr>
      <w:r>
        <w:rPr>
          <w:rFonts w:ascii="Century Gothic" w:hAnsi="Century Gothic" w:cs="Century Gothic"/>
          <w:color w:val="000000"/>
          <w:sz w:val="24"/>
          <w:szCs w:val="24"/>
        </w:rPr>
        <w:t>Evaluación de Impacto</w:t>
      </w:r>
    </w:p>
    <w:p w14:paraId="508949D4" w14:textId="77777777" w:rsidR="002C4E9A" w:rsidRDefault="002C4E9A" w:rsidP="00FD0970">
      <w:pPr>
        <w:pStyle w:val="Prrafodelista"/>
        <w:numPr>
          <w:ilvl w:val="0"/>
          <w:numId w:val="2"/>
        </w:numPr>
        <w:spacing w:after="240"/>
        <w:contextualSpacing w:val="0"/>
        <w:jc w:val="both"/>
        <w:rPr>
          <w:rFonts w:ascii="Century Gothic" w:hAnsi="Century Gothic" w:cs="Century Gothic"/>
          <w:color w:val="000000"/>
          <w:sz w:val="24"/>
          <w:szCs w:val="24"/>
        </w:rPr>
      </w:pPr>
      <w:r>
        <w:rPr>
          <w:rFonts w:ascii="Century Gothic" w:hAnsi="Century Gothic" w:cs="Century Gothic"/>
          <w:color w:val="000000"/>
          <w:sz w:val="24"/>
          <w:szCs w:val="24"/>
        </w:rPr>
        <w:t>Evaluación Específica</w:t>
      </w:r>
    </w:p>
    <w:p w14:paraId="3DE23457" w14:textId="77777777" w:rsidR="0092482D" w:rsidRDefault="0092482D" w:rsidP="0092482D">
      <w:pPr>
        <w:spacing w:after="240"/>
        <w:jc w:val="both"/>
        <w:rPr>
          <w:rFonts w:ascii="Century Gothic" w:hAnsi="Century Gothic"/>
          <w:sz w:val="24"/>
          <w:szCs w:val="24"/>
        </w:rPr>
      </w:pPr>
      <w:r w:rsidRPr="0092482D">
        <w:rPr>
          <w:rFonts w:ascii="Century Gothic" w:hAnsi="Century Gothic"/>
          <w:sz w:val="24"/>
          <w:szCs w:val="24"/>
        </w:rPr>
        <w:t xml:space="preserve">Bajo este contexto legal, el Estado de Colima a través de la Secretaría de Planeación y Finanzas, estableció en el Programa Anual de Evaluación </w:t>
      </w:r>
      <w:r w:rsidR="007B66A4" w:rsidRPr="00ED32B4">
        <w:rPr>
          <w:rFonts w:ascii="Century Gothic" w:hAnsi="Century Gothic"/>
          <w:sz w:val="24"/>
          <w:szCs w:val="24"/>
        </w:rPr>
        <w:t>2017</w:t>
      </w:r>
      <w:r w:rsidRPr="0092482D">
        <w:rPr>
          <w:rFonts w:ascii="Century Gothic" w:hAnsi="Century Gothic"/>
          <w:sz w:val="24"/>
          <w:szCs w:val="24"/>
        </w:rPr>
        <w:t xml:space="preserve"> evaluación de Consistencia y Resultados, al Fondo </w:t>
      </w:r>
      <w:r w:rsidRPr="007B66A4">
        <w:rPr>
          <w:rFonts w:ascii="Century Gothic" w:hAnsi="Century Gothic"/>
          <w:sz w:val="24"/>
          <w:szCs w:val="24"/>
        </w:rPr>
        <w:t>“</w:t>
      </w:r>
      <w:r w:rsidR="007B66A4">
        <w:rPr>
          <w:rFonts w:ascii="Century Gothic" w:hAnsi="Century Gothic"/>
          <w:sz w:val="24"/>
          <w:szCs w:val="24"/>
        </w:rPr>
        <w:t>Fondo para el Fortalecimiento de l</w:t>
      </w:r>
      <w:r w:rsidR="007B66A4" w:rsidRPr="007B66A4">
        <w:rPr>
          <w:rFonts w:ascii="Century Gothic" w:hAnsi="Century Gothic"/>
          <w:sz w:val="24"/>
          <w:szCs w:val="24"/>
        </w:rPr>
        <w:t>as Entidades Federativas</w:t>
      </w:r>
      <w:r w:rsidR="007B66A4">
        <w:rPr>
          <w:rFonts w:ascii="Century Gothic" w:hAnsi="Century Gothic"/>
          <w:sz w:val="24"/>
          <w:szCs w:val="24"/>
        </w:rPr>
        <w:t xml:space="preserve"> (FAFEF).</w:t>
      </w:r>
      <w:r w:rsidR="007A1BAF" w:rsidRPr="007B66A4">
        <w:rPr>
          <w:rFonts w:ascii="Century Gothic" w:hAnsi="Century Gothic"/>
          <w:sz w:val="24"/>
          <w:szCs w:val="24"/>
        </w:rPr>
        <w:t xml:space="preserve">” </w:t>
      </w:r>
      <w:r w:rsidR="007A1BAF" w:rsidRPr="0092482D">
        <w:rPr>
          <w:rFonts w:ascii="Century Gothic" w:hAnsi="Century Gothic"/>
          <w:sz w:val="24"/>
          <w:szCs w:val="24"/>
        </w:rPr>
        <w:t>a</w:t>
      </w:r>
      <w:r w:rsidR="007B66A4">
        <w:rPr>
          <w:rFonts w:ascii="Century Gothic" w:hAnsi="Century Gothic"/>
          <w:sz w:val="24"/>
          <w:szCs w:val="24"/>
        </w:rPr>
        <w:t xml:space="preserve"> través del programa </w:t>
      </w:r>
      <w:r w:rsidRPr="0092482D">
        <w:rPr>
          <w:rFonts w:ascii="Century Gothic" w:hAnsi="Century Gothic"/>
          <w:sz w:val="24"/>
          <w:szCs w:val="24"/>
        </w:rPr>
        <w:t>presupuestario</w:t>
      </w:r>
      <w:r w:rsidR="007B66A4">
        <w:rPr>
          <w:rFonts w:ascii="Century Gothic" w:hAnsi="Century Gothic"/>
          <w:sz w:val="24"/>
          <w:szCs w:val="24"/>
        </w:rPr>
        <w:t>: “</w:t>
      </w:r>
      <w:r w:rsidR="007B66A4" w:rsidRPr="007B66A4">
        <w:rPr>
          <w:rFonts w:ascii="Century Gothic" w:hAnsi="Century Gothic"/>
          <w:sz w:val="24"/>
          <w:szCs w:val="24"/>
        </w:rPr>
        <w:t>Programa Normal de Obra PNG</w:t>
      </w:r>
      <w:r w:rsidRPr="007B66A4">
        <w:rPr>
          <w:rFonts w:ascii="Century Gothic" w:hAnsi="Century Gothic"/>
          <w:sz w:val="24"/>
          <w:szCs w:val="24"/>
        </w:rPr>
        <w:t>”,</w:t>
      </w:r>
      <w:r w:rsidRPr="0092482D">
        <w:rPr>
          <w:rFonts w:ascii="Century Gothic" w:hAnsi="Century Gothic"/>
          <w:sz w:val="24"/>
          <w:szCs w:val="24"/>
        </w:rPr>
        <w:t xml:space="preserve"> para el ejercicio fiscal </w:t>
      </w:r>
      <w:r w:rsidR="007B66A4" w:rsidRPr="00ED32B4">
        <w:rPr>
          <w:rFonts w:ascii="Century Gothic" w:hAnsi="Century Gothic"/>
          <w:sz w:val="24"/>
          <w:szCs w:val="24"/>
        </w:rPr>
        <w:t>2017.</w:t>
      </w:r>
    </w:p>
    <w:p w14:paraId="29FEBDC8" w14:textId="77777777" w:rsidR="007B66A4" w:rsidRPr="006F7DED" w:rsidRDefault="007B66A4" w:rsidP="006F7DED">
      <w:pPr>
        <w:spacing w:after="240"/>
        <w:jc w:val="both"/>
        <w:rPr>
          <w:rFonts w:ascii="Century Gothic" w:hAnsi="Century Gothic"/>
          <w:b/>
          <w:sz w:val="24"/>
          <w:szCs w:val="24"/>
        </w:rPr>
      </w:pPr>
      <w:r w:rsidRPr="00711A92">
        <w:rPr>
          <w:rFonts w:ascii="Century Gothic" w:hAnsi="Century Gothic"/>
          <w:sz w:val="24"/>
          <w:szCs w:val="24"/>
        </w:rPr>
        <w:lastRenderedPageBreak/>
        <w:t>Originalmente en el PAE, el</w:t>
      </w:r>
      <w:r w:rsidRPr="007B66A4">
        <w:rPr>
          <w:rFonts w:ascii="Century Gothic" w:hAnsi="Century Gothic"/>
          <w:sz w:val="24"/>
          <w:szCs w:val="24"/>
        </w:rPr>
        <w:t xml:space="preserve"> programa a evaluar se denominó “Programa Normal de Obra PNG”, sin embargo en el trabajo y reuniones realizadas con las dependencias se constató que este está a nivel actividad dentro de la Matriz de Ind</w:t>
      </w:r>
      <w:r w:rsidR="006F7DED">
        <w:rPr>
          <w:rFonts w:ascii="Century Gothic" w:hAnsi="Century Gothic"/>
          <w:sz w:val="24"/>
          <w:szCs w:val="24"/>
        </w:rPr>
        <w:t>icadores de Resultados (MIR) de cinco</w:t>
      </w:r>
      <w:r w:rsidRPr="007B66A4">
        <w:rPr>
          <w:rFonts w:ascii="Century Gothic" w:hAnsi="Century Gothic"/>
          <w:sz w:val="24"/>
          <w:szCs w:val="24"/>
        </w:rPr>
        <w:t xml:space="preserve"> programa</w:t>
      </w:r>
      <w:r w:rsidR="006F7DED">
        <w:rPr>
          <w:rFonts w:ascii="Century Gothic" w:hAnsi="Century Gothic"/>
          <w:sz w:val="24"/>
          <w:szCs w:val="24"/>
        </w:rPr>
        <w:t>s, “</w:t>
      </w:r>
      <w:r w:rsidR="006F7DED" w:rsidRPr="006F7DED">
        <w:rPr>
          <w:rFonts w:ascii="Century Gothic" w:hAnsi="Century Gothic"/>
          <w:sz w:val="24"/>
          <w:szCs w:val="24"/>
        </w:rPr>
        <w:t>Pla</w:t>
      </w:r>
      <w:r w:rsidR="006F7DED">
        <w:rPr>
          <w:rFonts w:ascii="Century Gothic" w:hAnsi="Century Gothic"/>
          <w:sz w:val="24"/>
          <w:szCs w:val="24"/>
        </w:rPr>
        <w:t>neación y Conducción de la Política d</w:t>
      </w:r>
      <w:r w:rsidR="006F7DED" w:rsidRPr="006F7DED">
        <w:rPr>
          <w:rFonts w:ascii="Century Gothic" w:hAnsi="Century Gothic"/>
          <w:sz w:val="24"/>
          <w:szCs w:val="24"/>
        </w:rPr>
        <w:t>e Infraestructura Estatal</w:t>
      </w:r>
      <w:r w:rsidR="006F7DED">
        <w:rPr>
          <w:rFonts w:ascii="Century Gothic" w:hAnsi="Century Gothic"/>
          <w:sz w:val="24"/>
          <w:szCs w:val="24"/>
        </w:rPr>
        <w:t xml:space="preserve">; </w:t>
      </w:r>
      <w:r w:rsidR="006F7DED" w:rsidRPr="006F7DED">
        <w:rPr>
          <w:rFonts w:ascii="Century Gothic" w:hAnsi="Century Gothic"/>
          <w:sz w:val="24"/>
          <w:szCs w:val="24"/>
        </w:rPr>
        <w:t>Infraestructura Carretera</w:t>
      </w:r>
      <w:r w:rsidR="006F7DED">
        <w:rPr>
          <w:rFonts w:ascii="Century Gothic" w:hAnsi="Century Gothic"/>
          <w:sz w:val="24"/>
          <w:szCs w:val="24"/>
        </w:rPr>
        <w:t>; Deporte y</w:t>
      </w:r>
      <w:r w:rsidR="006F7DED" w:rsidRPr="006F7DED">
        <w:rPr>
          <w:rFonts w:ascii="Century Gothic" w:hAnsi="Century Gothic"/>
          <w:sz w:val="24"/>
          <w:szCs w:val="24"/>
        </w:rPr>
        <w:t xml:space="preserve"> Recreación</w:t>
      </w:r>
      <w:r w:rsidR="006F7DED">
        <w:rPr>
          <w:rFonts w:ascii="Century Gothic" w:hAnsi="Century Gothic"/>
          <w:sz w:val="24"/>
          <w:szCs w:val="24"/>
        </w:rPr>
        <w:t xml:space="preserve">; </w:t>
      </w:r>
      <w:r w:rsidR="006F7DED" w:rsidRPr="006F7DED">
        <w:rPr>
          <w:rFonts w:ascii="Century Gothic" w:hAnsi="Century Gothic"/>
          <w:sz w:val="24"/>
          <w:szCs w:val="24"/>
        </w:rPr>
        <w:t>Infraestructura Desarrollo Económico</w:t>
      </w:r>
      <w:r w:rsidR="006F7DED">
        <w:rPr>
          <w:rFonts w:ascii="Century Gothic" w:hAnsi="Century Gothic"/>
          <w:sz w:val="24"/>
          <w:szCs w:val="24"/>
        </w:rPr>
        <w:t xml:space="preserve">; e </w:t>
      </w:r>
      <w:r w:rsidR="006F7DED" w:rsidRPr="006F7DED">
        <w:rPr>
          <w:rFonts w:ascii="Century Gothic" w:hAnsi="Century Gothic"/>
          <w:b/>
          <w:sz w:val="24"/>
          <w:szCs w:val="24"/>
        </w:rPr>
        <w:t>Infraestructura no Habitacional</w:t>
      </w:r>
      <w:r w:rsidR="006F7DED">
        <w:rPr>
          <w:rFonts w:ascii="Century Gothic" w:hAnsi="Century Gothic"/>
          <w:sz w:val="24"/>
          <w:szCs w:val="24"/>
        </w:rPr>
        <w:t xml:space="preserve">”, identificándose este último programa para ser evaluado. </w:t>
      </w:r>
      <w:r w:rsidRPr="007B66A4">
        <w:rPr>
          <w:rFonts w:ascii="Century Gothic" w:hAnsi="Century Gothic"/>
          <w:sz w:val="24"/>
          <w:szCs w:val="24"/>
        </w:rPr>
        <w:t xml:space="preserve">Así la </w:t>
      </w:r>
      <w:r w:rsidR="006F7DED" w:rsidRPr="0092482D">
        <w:rPr>
          <w:rFonts w:ascii="Century Gothic" w:hAnsi="Century Gothic"/>
          <w:sz w:val="24"/>
          <w:szCs w:val="24"/>
        </w:rPr>
        <w:t xml:space="preserve">evaluación </w:t>
      </w:r>
      <w:r w:rsidR="006F7DED">
        <w:rPr>
          <w:rFonts w:ascii="Century Gothic" w:hAnsi="Century Gothic"/>
          <w:sz w:val="24"/>
          <w:szCs w:val="24"/>
        </w:rPr>
        <w:t xml:space="preserve">se denominará </w:t>
      </w:r>
      <w:r w:rsidR="006F7DED" w:rsidRPr="006F7DED">
        <w:rPr>
          <w:rFonts w:ascii="Century Gothic" w:hAnsi="Century Gothic"/>
          <w:b/>
          <w:sz w:val="24"/>
          <w:szCs w:val="24"/>
        </w:rPr>
        <w:t>“Evaluación de Consistencia y Resultados, al Fondo “Fondo para el Fortalecimiento de las Entidades Federativas (FAFEF).” a través del programa presupuestario:</w:t>
      </w:r>
      <w:r w:rsidR="006F7DED">
        <w:rPr>
          <w:rFonts w:ascii="Century Gothic" w:hAnsi="Century Gothic"/>
          <w:b/>
          <w:sz w:val="24"/>
          <w:szCs w:val="24"/>
        </w:rPr>
        <w:t xml:space="preserve"> </w:t>
      </w:r>
      <w:r w:rsidR="006F7DED" w:rsidRPr="006F7DED">
        <w:rPr>
          <w:rFonts w:ascii="Century Gothic" w:hAnsi="Century Gothic"/>
          <w:b/>
          <w:sz w:val="24"/>
          <w:szCs w:val="24"/>
        </w:rPr>
        <w:t>Infraestructura no Habitacional</w:t>
      </w:r>
      <w:r w:rsidR="006F7DED">
        <w:rPr>
          <w:rFonts w:ascii="Century Gothic" w:hAnsi="Century Gothic"/>
          <w:b/>
          <w:sz w:val="24"/>
          <w:szCs w:val="24"/>
        </w:rPr>
        <w:t xml:space="preserve">, </w:t>
      </w:r>
      <w:r w:rsidR="006F7DED">
        <w:rPr>
          <w:rFonts w:ascii="Century Gothic" w:hAnsi="Century Gothic"/>
          <w:sz w:val="24"/>
          <w:szCs w:val="24"/>
        </w:rPr>
        <w:t>para el ejercicio fiscal 2017</w:t>
      </w:r>
      <w:r w:rsidRPr="006F7DED">
        <w:rPr>
          <w:rFonts w:ascii="Century Gothic" w:hAnsi="Century Gothic"/>
          <w:b/>
          <w:sz w:val="24"/>
          <w:szCs w:val="24"/>
        </w:rPr>
        <w:t>.</w:t>
      </w:r>
    </w:p>
    <w:p w14:paraId="2CC362C5" w14:textId="77777777" w:rsidR="00AE7C8B" w:rsidRPr="00AE7C8B" w:rsidRDefault="00DB2B56" w:rsidP="00D363BF">
      <w:pPr>
        <w:jc w:val="both"/>
        <w:rPr>
          <w:rFonts w:ascii="Century Gothic" w:hAnsi="Century Gothic" w:cs="Arial"/>
          <w:color w:val="000000"/>
          <w:sz w:val="24"/>
          <w:szCs w:val="24"/>
        </w:rPr>
      </w:pPr>
      <w:r>
        <w:rPr>
          <w:rFonts w:ascii="Century Gothic" w:hAnsi="Century Gothic" w:cs="Arial"/>
          <w:color w:val="000000"/>
          <w:sz w:val="24"/>
          <w:szCs w:val="24"/>
        </w:rPr>
        <w:t>E</w:t>
      </w:r>
      <w:r w:rsidR="00AE7C8B" w:rsidRPr="00AE7C8B">
        <w:rPr>
          <w:rFonts w:ascii="Century Gothic" w:hAnsi="Century Gothic" w:cs="Arial"/>
          <w:color w:val="000000"/>
          <w:sz w:val="24"/>
          <w:szCs w:val="24"/>
        </w:rPr>
        <w:t>l tipo de evaluación seleccionada para este programa fue la de</w:t>
      </w:r>
      <w:r w:rsidR="00AE7C8B" w:rsidRPr="00AE7C8B">
        <w:rPr>
          <w:rFonts w:ascii="Century Gothic" w:hAnsi="Century Gothic" w:cs="Arial"/>
          <w:b/>
          <w:color w:val="000000"/>
          <w:sz w:val="24"/>
          <w:szCs w:val="24"/>
        </w:rPr>
        <w:t xml:space="preserve"> Consistencia y Resultados </w:t>
      </w:r>
      <w:r w:rsidR="00AE7C8B" w:rsidRPr="00AE7C8B">
        <w:rPr>
          <w:rFonts w:ascii="Century Gothic" w:hAnsi="Century Gothic" w:cs="Arial"/>
          <w:color w:val="000000"/>
          <w:sz w:val="24"/>
          <w:szCs w:val="24"/>
        </w:rPr>
        <w:t>señalada en el inciso “A” numeral I del artículo décimo sexto de los Lineamientos generales para la evaluación de los Programas Federales de la Administración Pública</w:t>
      </w:r>
      <w:r w:rsidR="00AE7C8B" w:rsidRPr="00AE7C8B">
        <w:rPr>
          <w:rFonts w:ascii="Century Gothic" w:hAnsi="Century Gothic" w:cs="Arial"/>
          <w:color w:val="000000"/>
          <w:sz w:val="24"/>
          <w:szCs w:val="24"/>
          <w:vertAlign w:val="superscript"/>
        </w:rPr>
        <w:footnoteReference w:id="1"/>
      </w:r>
      <w:r w:rsidR="00AE7C8B" w:rsidRPr="00AE7C8B">
        <w:rPr>
          <w:rFonts w:ascii="Century Gothic" w:hAnsi="Century Gothic" w:cs="Arial"/>
          <w:color w:val="000000"/>
          <w:sz w:val="24"/>
          <w:szCs w:val="24"/>
        </w:rPr>
        <w:t xml:space="preserve"> cuyos Términos de Referencia (TdR´s) son previstos en el artículo décimo octavo de dichos lineamientos</w:t>
      </w:r>
      <w:r w:rsidR="00AE7C8B" w:rsidRPr="00AE7C8B">
        <w:rPr>
          <w:rFonts w:ascii="Century Gothic" w:hAnsi="Century Gothic" w:cs="Arial"/>
          <w:color w:val="000000"/>
          <w:sz w:val="24"/>
          <w:szCs w:val="24"/>
          <w:vertAlign w:val="superscript"/>
        </w:rPr>
        <w:footnoteReference w:id="2"/>
      </w:r>
      <w:r w:rsidR="00AE7C8B" w:rsidRPr="00AE7C8B">
        <w:rPr>
          <w:rFonts w:ascii="Century Gothic" w:hAnsi="Century Gothic" w:cs="Arial"/>
          <w:color w:val="000000"/>
          <w:sz w:val="24"/>
          <w:szCs w:val="24"/>
        </w:rPr>
        <w:t xml:space="preserve"> que consideran 6 rubros a evaluar:</w:t>
      </w:r>
    </w:p>
    <w:p w14:paraId="5EB0F37C" w14:textId="77777777" w:rsidR="00AE7C8B" w:rsidRPr="00AE7C8B" w:rsidRDefault="00AE7C8B" w:rsidP="00D363BF">
      <w:pPr>
        <w:numPr>
          <w:ilvl w:val="0"/>
          <w:numId w:val="1"/>
        </w:numPr>
        <w:spacing w:after="0"/>
        <w:ind w:left="567" w:hanging="357"/>
        <w:jc w:val="both"/>
        <w:rPr>
          <w:rFonts w:ascii="Century Gothic" w:hAnsi="Century Gothic" w:cs="Arial"/>
          <w:color w:val="000000"/>
          <w:sz w:val="24"/>
          <w:szCs w:val="24"/>
        </w:rPr>
      </w:pPr>
      <w:r w:rsidRPr="00AE7C8B">
        <w:rPr>
          <w:rFonts w:ascii="Century Gothic" w:hAnsi="Century Gothic" w:cs="Arial"/>
          <w:color w:val="000000"/>
          <w:sz w:val="24"/>
          <w:szCs w:val="24"/>
        </w:rPr>
        <w:t>Diseño,</w:t>
      </w:r>
    </w:p>
    <w:p w14:paraId="4579C6AB" w14:textId="77777777" w:rsidR="00AE7C8B" w:rsidRPr="00AE7C8B" w:rsidRDefault="00AE7C8B" w:rsidP="00D363BF">
      <w:pPr>
        <w:numPr>
          <w:ilvl w:val="0"/>
          <w:numId w:val="1"/>
        </w:numPr>
        <w:spacing w:after="0"/>
        <w:ind w:left="567" w:hanging="357"/>
        <w:jc w:val="both"/>
        <w:rPr>
          <w:rFonts w:ascii="Century Gothic" w:hAnsi="Century Gothic" w:cs="Arial"/>
          <w:color w:val="000000"/>
          <w:sz w:val="24"/>
          <w:szCs w:val="24"/>
        </w:rPr>
      </w:pPr>
      <w:r w:rsidRPr="00AE7C8B">
        <w:rPr>
          <w:rFonts w:ascii="Century Gothic" w:hAnsi="Century Gothic" w:cs="Arial"/>
          <w:color w:val="000000"/>
          <w:sz w:val="24"/>
          <w:szCs w:val="24"/>
        </w:rPr>
        <w:t xml:space="preserve">Planeación </w:t>
      </w:r>
      <w:r w:rsidR="00DC53A8">
        <w:rPr>
          <w:rFonts w:ascii="Century Gothic" w:hAnsi="Century Gothic" w:cs="Arial"/>
          <w:color w:val="000000"/>
          <w:sz w:val="24"/>
          <w:szCs w:val="24"/>
        </w:rPr>
        <w:t>y orientación a resultados</w:t>
      </w:r>
      <w:r w:rsidRPr="00AE7C8B">
        <w:rPr>
          <w:rFonts w:ascii="Century Gothic" w:hAnsi="Century Gothic" w:cs="Arial"/>
          <w:color w:val="000000"/>
          <w:sz w:val="24"/>
          <w:szCs w:val="24"/>
        </w:rPr>
        <w:t>,</w:t>
      </w:r>
    </w:p>
    <w:p w14:paraId="6BC77A2A" w14:textId="77777777" w:rsidR="00AE7C8B" w:rsidRPr="00AE7C8B" w:rsidRDefault="00AE7C8B" w:rsidP="00D363BF">
      <w:pPr>
        <w:numPr>
          <w:ilvl w:val="0"/>
          <w:numId w:val="1"/>
        </w:numPr>
        <w:spacing w:after="0"/>
        <w:ind w:left="567" w:hanging="357"/>
        <w:jc w:val="both"/>
        <w:rPr>
          <w:rFonts w:ascii="Century Gothic" w:hAnsi="Century Gothic" w:cs="Arial"/>
          <w:color w:val="000000"/>
          <w:sz w:val="24"/>
          <w:szCs w:val="24"/>
        </w:rPr>
      </w:pPr>
      <w:r w:rsidRPr="00AE7C8B">
        <w:rPr>
          <w:rFonts w:ascii="Century Gothic" w:hAnsi="Century Gothic" w:cs="Arial"/>
          <w:color w:val="000000"/>
          <w:sz w:val="24"/>
          <w:szCs w:val="24"/>
        </w:rPr>
        <w:t>Cobertura y focalización,</w:t>
      </w:r>
    </w:p>
    <w:p w14:paraId="5EA69A9C" w14:textId="77777777" w:rsidR="00AE7C8B" w:rsidRPr="00AE7C8B" w:rsidRDefault="00AE7C8B" w:rsidP="00D363BF">
      <w:pPr>
        <w:numPr>
          <w:ilvl w:val="0"/>
          <w:numId w:val="1"/>
        </w:numPr>
        <w:spacing w:after="0"/>
        <w:ind w:left="567" w:hanging="357"/>
        <w:jc w:val="both"/>
        <w:rPr>
          <w:rFonts w:ascii="Century Gothic" w:hAnsi="Century Gothic" w:cs="Arial"/>
          <w:color w:val="000000"/>
          <w:sz w:val="24"/>
          <w:szCs w:val="24"/>
        </w:rPr>
      </w:pPr>
      <w:r w:rsidRPr="00AE7C8B">
        <w:rPr>
          <w:rFonts w:ascii="Century Gothic" w:hAnsi="Century Gothic" w:cs="Arial"/>
          <w:color w:val="000000"/>
          <w:sz w:val="24"/>
          <w:szCs w:val="24"/>
        </w:rPr>
        <w:t>Operación,</w:t>
      </w:r>
    </w:p>
    <w:p w14:paraId="38864E87" w14:textId="77777777" w:rsidR="00AE7C8B" w:rsidRPr="00AE7C8B" w:rsidRDefault="00AE7C8B" w:rsidP="00D363BF">
      <w:pPr>
        <w:numPr>
          <w:ilvl w:val="0"/>
          <w:numId w:val="1"/>
        </w:numPr>
        <w:spacing w:after="0"/>
        <w:ind w:left="567" w:hanging="357"/>
        <w:jc w:val="both"/>
        <w:rPr>
          <w:rFonts w:ascii="Century Gothic" w:hAnsi="Century Gothic" w:cs="Arial"/>
          <w:color w:val="000000"/>
          <w:sz w:val="24"/>
          <w:szCs w:val="24"/>
        </w:rPr>
      </w:pPr>
      <w:r w:rsidRPr="00AE7C8B">
        <w:rPr>
          <w:rFonts w:ascii="Century Gothic" w:hAnsi="Century Gothic" w:cs="Arial"/>
          <w:color w:val="000000"/>
          <w:sz w:val="24"/>
          <w:szCs w:val="24"/>
        </w:rPr>
        <w:t xml:space="preserve">Percepción de la población </w:t>
      </w:r>
      <w:r w:rsidR="00DC53A8">
        <w:rPr>
          <w:rFonts w:ascii="Century Gothic" w:hAnsi="Century Gothic" w:cs="Arial"/>
          <w:color w:val="000000"/>
          <w:sz w:val="24"/>
          <w:szCs w:val="24"/>
        </w:rPr>
        <w:t>Atendida</w:t>
      </w:r>
      <w:r w:rsidRPr="00AE7C8B">
        <w:rPr>
          <w:rFonts w:ascii="Century Gothic" w:hAnsi="Century Gothic" w:cs="Arial"/>
          <w:color w:val="000000"/>
          <w:sz w:val="24"/>
          <w:szCs w:val="24"/>
        </w:rPr>
        <w:t xml:space="preserve"> y,</w:t>
      </w:r>
    </w:p>
    <w:p w14:paraId="137F748D" w14:textId="77777777" w:rsidR="00AE7C8B" w:rsidRPr="00AE7C8B" w:rsidRDefault="00DC53A8" w:rsidP="00D363BF">
      <w:pPr>
        <w:numPr>
          <w:ilvl w:val="0"/>
          <w:numId w:val="1"/>
        </w:numPr>
        <w:spacing w:after="0"/>
        <w:ind w:left="567" w:hanging="357"/>
        <w:jc w:val="both"/>
        <w:rPr>
          <w:rFonts w:ascii="Century Gothic" w:hAnsi="Century Gothic" w:cs="Arial"/>
          <w:color w:val="000000"/>
          <w:sz w:val="24"/>
          <w:szCs w:val="24"/>
        </w:rPr>
      </w:pPr>
      <w:r>
        <w:rPr>
          <w:rFonts w:ascii="Century Gothic" w:hAnsi="Century Gothic" w:cs="Arial"/>
          <w:color w:val="000000"/>
          <w:sz w:val="24"/>
          <w:szCs w:val="24"/>
        </w:rPr>
        <w:t xml:space="preserve">Medición de </w:t>
      </w:r>
      <w:r w:rsidR="00AE7C8B" w:rsidRPr="00AE7C8B">
        <w:rPr>
          <w:rFonts w:ascii="Century Gothic" w:hAnsi="Century Gothic" w:cs="Arial"/>
          <w:color w:val="000000"/>
          <w:sz w:val="24"/>
          <w:szCs w:val="24"/>
        </w:rPr>
        <w:t>Resultados.</w:t>
      </w:r>
    </w:p>
    <w:p w14:paraId="1BA70118" w14:textId="77777777" w:rsidR="006B0050" w:rsidRDefault="006B0050" w:rsidP="006B0050">
      <w:pPr>
        <w:spacing w:after="240"/>
        <w:jc w:val="both"/>
        <w:rPr>
          <w:rFonts w:ascii="Century Gothic" w:hAnsi="Century Gothic" w:cs="Arial"/>
          <w:color w:val="000000"/>
          <w:sz w:val="4"/>
          <w:szCs w:val="24"/>
        </w:rPr>
      </w:pPr>
    </w:p>
    <w:p w14:paraId="70E1AE36" w14:textId="77777777" w:rsidR="006B0050" w:rsidRDefault="006B0050" w:rsidP="006B0050">
      <w:pPr>
        <w:spacing w:after="240"/>
        <w:jc w:val="both"/>
        <w:rPr>
          <w:rFonts w:ascii="Century Gothic" w:hAnsi="Century Gothic"/>
          <w:sz w:val="24"/>
          <w:szCs w:val="24"/>
        </w:rPr>
      </w:pPr>
      <w:r w:rsidRPr="00471CE6">
        <w:rPr>
          <w:rFonts w:ascii="Century Gothic" w:hAnsi="Century Gothic"/>
          <w:sz w:val="24"/>
          <w:szCs w:val="24"/>
        </w:rPr>
        <w:t>Está evaluación constará</w:t>
      </w:r>
      <w:r>
        <w:rPr>
          <w:rFonts w:ascii="Century Gothic" w:hAnsi="Century Gothic"/>
          <w:sz w:val="24"/>
          <w:szCs w:val="24"/>
        </w:rPr>
        <w:t xml:space="preserve"> de dos apartados específicos; e</w:t>
      </w:r>
      <w:r w:rsidRPr="00471CE6">
        <w:rPr>
          <w:rFonts w:ascii="Century Gothic" w:hAnsi="Century Gothic"/>
          <w:sz w:val="24"/>
          <w:szCs w:val="24"/>
        </w:rPr>
        <w:t xml:space="preserve">l análisis del </w:t>
      </w:r>
      <w:r w:rsidR="00ED32B4" w:rsidRPr="006F7DED">
        <w:rPr>
          <w:rFonts w:ascii="Century Gothic" w:hAnsi="Century Gothic"/>
          <w:b/>
          <w:sz w:val="24"/>
          <w:szCs w:val="24"/>
        </w:rPr>
        <w:t>Fondo para el Fortalecimiento de las Entidades Federativas (FAFEF)</w:t>
      </w:r>
      <w:r>
        <w:rPr>
          <w:rFonts w:ascii="Century Gothic" w:hAnsi="Century Gothic"/>
          <w:sz w:val="24"/>
          <w:szCs w:val="24"/>
        </w:rPr>
        <w:t xml:space="preserve">, el cual tiene por </w:t>
      </w:r>
      <w:r w:rsidRPr="00ED32B4">
        <w:rPr>
          <w:rFonts w:ascii="Century Gothic" w:hAnsi="Century Gothic"/>
          <w:sz w:val="24"/>
          <w:szCs w:val="24"/>
        </w:rPr>
        <w:t xml:space="preserve">objetivo evaluar la pertinencia del uso de los recursos </w:t>
      </w:r>
      <w:r w:rsidR="007A1BAF" w:rsidRPr="00ED32B4">
        <w:rPr>
          <w:rFonts w:ascii="Century Gothic" w:hAnsi="Century Gothic"/>
          <w:sz w:val="24"/>
          <w:szCs w:val="24"/>
        </w:rPr>
        <w:t>y</w:t>
      </w:r>
      <w:r w:rsidRPr="00ED32B4">
        <w:rPr>
          <w:rFonts w:ascii="Century Gothic" w:hAnsi="Century Gothic"/>
          <w:sz w:val="24"/>
          <w:szCs w:val="24"/>
        </w:rPr>
        <w:t xml:space="preserve"> la evaluación de Consistencia y Resultados del programa </w:t>
      </w:r>
      <w:r w:rsidR="00ED32B4" w:rsidRPr="00ED32B4">
        <w:rPr>
          <w:rFonts w:ascii="Century Gothic" w:hAnsi="Century Gothic"/>
          <w:sz w:val="24"/>
          <w:szCs w:val="24"/>
        </w:rPr>
        <w:t>“</w:t>
      </w:r>
      <w:r w:rsidR="00ED32B4" w:rsidRPr="00ED32B4">
        <w:rPr>
          <w:rFonts w:ascii="Century Gothic" w:hAnsi="Century Gothic"/>
          <w:b/>
          <w:sz w:val="24"/>
          <w:szCs w:val="24"/>
        </w:rPr>
        <w:t>Infraestructura no Habitacional</w:t>
      </w:r>
      <w:r w:rsidR="00C72FD7" w:rsidRPr="00ED32B4">
        <w:rPr>
          <w:rFonts w:ascii="Century Gothic" w:hAnsi="Century Gothic"/>
          <w:sz w:val="24"/>
          <w:szCs w:val="24"/>
        </w:rPr>
        <w:t xml:space="preserve">”, </w:t>
      </w:r>
      <w:r w:rsidR="00ED32B4" w:rsidRPr="00ED32B4">
        <w:rPr>
          <w:rFonts w:ascii="Century Gothic" w:hAnsi="Century Gothic"/>
          <w:sz w:val="24"/>
          <w:szCs w:val="24"/>
        </w:rPr>
        <w:t xml:space="preserve">para el ejercicio fiscal 2017, </w:t>
      </w:r>
      <w:r w:rsidRPr="00ED32B4">
        <w:rPr>
          <w:rFonts w:ascii="Century Gothic" w:hAnsi="Century Gothic"/>
          <w:sz w:val="24"/>
          <w:szCs w:val="24"/>
        </w:rPr>
        <w:t xml:space="preserve">la cual </w:t>
      </w:r>
      <w:r w:rsidR="0092482D" w:rsidRPr="00ED32B4">
        <w:rPr>
          <w:rFonts w:ascii="Century Gothic" w:hAnsi="Century Gothic"/>
          <w:sz w:val="24"/>
          <w:szCs w:val="24"/>
        </w:rPr>
        <w:t>contempla</w:t>
      </w:r>
      <w:r w:rsidRPr="00ED32B4">
        <w:rPr>
          <w:rFonts w:ascii="Century Gothic" w:hAnsi="Century Gothic"/>
          <w:sz w:val="24"/>
          <w:szCs w:val="24"/>
        </w:rPr>
        <w:t xml:space="preserve"> los siguientes objetivos:</w:t>
      </w:r>
    </w:p>
    <w:p w14:paraId="1CE54C2C" w14:textId="77777777" w:rsidR="00C72FD7" w:rsidRPr="00ED32B4" w:rsidRDefault="00C72FD7" w:rsidP="00C72FD7">
      <w:pPr>
        <w:spacing w:after="240"/>
        <w:jc w:val="both"/>
        <w:rPr>
          <w:rFonts w:ascii="Century Gothic" w:hAnsi="Century Gothic"/>
          <w:b/>
          <w:sz w:val="24"/>
          <w:szCs w:val="24"/>
        </w:rPr>
      </w:pPr>
      <w:r w:rsidRPr="00ED32B4">
        <w:rPr>
          <w:rFonts w:ascii="Century Gothic" w:hAnsi="Century Gothic"/>
          <w:b/>
          <w:sz w:val="24"/>
          <w:szCs w:val="24"/>
        </w:rPr>
        <w:t>Objetivo General:</w:t>
      </w:r>
    </w:p>
    <w:p w14:paraId="23A805E2" w14:textId="77777777" w:rsidR="00C72FD7" w:rsidRDefault="00C72FD7" w:rsidP="00C72FD7">
      <w:pPr>
        <w:spacing w:after="240"/>
        <w:jc w:val="both"/>
        <w:rPr>
          <w:rFonts w:ascii="Century Gothic" w:hAnsi="Century Gothic"/>
          <w:sz w:val="24"/>
          <w:szCs w:val="24"/>
        </w:rPr>
      </w:pPr>
      <w:r w:rsidRPr="00C72FD7">
        <w:rPr>
          <w:rFonts w:ascii="Century Gothic" w:hAnsi="Century Gothic"/>
          <w:sz w:val="24"/>
          <w:szCs w:val="24"/>
        </w:rPr>
        <w:lastRenderedPageBreak/>
        <w:t xml:space="preserve">Evaluar la consistencia y orientación a resultados del Programa </w:t>
      </w:r>
      <w:r w:rsidR="00ED32B4" w:rsidRPr="00ED32B4">
        <w:rPr>
          <w:rFonts w:ascii="Century Gothic" w:hAnsi="Century Gothic"/>
          <w:sz w:val="24"/>
          <w:szCs w:val="24"/>
        </w:rPr>
        <w:t>“</w:t>
      </w:r>
      <w:r w:rsidR="00ED32B4" w:rsidRPr="00ED32B4">
        <w:rPr>
          <w:rFonts w:ascii="Century Gothic" w:hAnsi="Century Gothic"/>
          <w:b/>
          <w:sz w:val="24"/>
          <w:szCs w:val="24"/>
        </w:rPr>
        <w:t>Infraestructura no Habitacional</w:t>
      </w:r>
      <w:r w:rsidRPr="00ED32B4">
        <w:rPr>
          <w:rFonts w:ascii="Century Gothic" w:hAnsi="Century Gothic"/>
          <w:sz w:val="24"/>
          <w:szCs w:val="24"/>
        </w:rPr>
        <w:t>” con la</w:t>
      </w:r>
      <w:r w:rsidRPr="00C72FD7">
        <w:rPr>
          <w:rFonts w:ascii="Century Gothic" w:hAnsi="Century Gothic"/>
          <w:sz w:val="24"/>
          <w:szCs w:val="24"/>
        </w:rPr>
        <w:t xml:space="preserve"> finalidad de proveer información que retroalimente su diseño, gestión y resultados.</w:t>
      </w:r>
    </w:p>
    <w:p w14:paraId="7FF67707" w14:textId="77777777" w:rsidR="00C72FD7" w:rsidRPr="009207C6" w:rsidRDefault="00C72FD7" w:rsidP="00C72FD7">
      <w:pPr>
        <w:spacing w:after="240"/>
        <w:jc w:val="both"/>
        <w:rPr>
          <w:rFonts w:ascii="Century Gothic" w:hAnsi="Century Gothic"/>
          <w:b/>
          <w:sz w:val="24"/>
          <w:szCs w:val="24"/>
        </w:rPr>
      </w:pPr>
      <w:r w:rsidRPr="009207C6">
        <w:rPr>
          <w:rFonts w:ascii="Century Gothic" w:hAnsi="Century Gothic"/>
          <w:b/>
          <w:sz w:val="24"/>
          <w:szCs w:val="24"/>
        </w:rPr>
        <w:t>Objetivos Específicos:</w:t>
      </w:r>
    </w:p>
    <w:p w14:paraId="2D415622" w14:textId="77777777" w:rsidR="00C72FD7" w:rsidRPr="00C72FD7" w:rsidRDefault="00C72FD7" w:rsidP="00FD0970">
      <w:pPr>
        <w:pStyle w:val="Prrafodelista"/>
        <w:numPr>
          <w:ilvl w:val="0"/>
          <w:numId w:val="3"/>
        </w:numPr>
        <w:spacing w:after="240"/>
        <w:ind w:left="714" w:hanging="357"/>
        <w:contextualSpacing w:val="0"/>
        <w:jc w:val="both"/>
        <w:rPr>
          <w:rFonts w:ascii="Century Gothic" w:hAnsi="Century Gothic"/>
          <w:sz w:val="24"/>
          <w:szCs w:val="24"/>
        </w:rPr>
      </w:pPr>
      <w:r w:rsidRPr="00C72FD7">
        <w:rPr>
          <w:rFonts w:ascii="Century Gothic" w:hAnsi="Century Gothic"/>
          <w:sz w:val="24"/>
          <w:szCs w:val="24"/>
        </w:rPr>
        <w:t>Analizar la lógica y congruencia en el diseño del programa, su vinculación con la planeación sectorial y nacional, la consistencia entre el diseño y la normatividad aplicable, así como las posibles complementariedades y/o coincidencias con otros programas federales;</w:t>
      </w:r>
    </w:p>
    <w:p w14:paraId="3E92234E" w14:textId="77777777" w:rsidR="00C72FD7" w:rsidRPr="00C72FD7" w:rsidRDefault="00C72FD7" w:rsidP="00FD0970">
      <w:pPr>
        <w:pStyle w:val="Prrafodelista"/>
        <w:numPr>
          <w:ilvl w:val="0"/>
          <w:numId w:val="3"/>
        </w:numPr>
        <w:spacing w:after="120"/>
        <w:ind w:left="714" w:hanging="357"/>
        <w:contextualSpacing w:val="0"/>
        <w:jc w:val="both"/>
        <w:rPr>
          <w:rFonts w:ascii="Century Gothic" w:hAnsi="Century Gothic"/>
          <w:sz w:val="24"/>
          <w:szCs w:val="24"/>
        </w:rPr>
      </w:pPr>
      <w:r w:rsidRPr="00C72FD7">
        <w:rPr>
          <w:rFonts w:ascii="Century Gothic" w:hAnsi="Century Gothic"/>
          <w:sz w:val="24"/>
          <w:szCs w:val="24"/>
        </w:rPr>
        <w:t>Identificar si el programa cuenta con instrumentos de planeación y orientación hacia resultados;</w:t>
      </w:r>
    </w:p>
    <w:p w14:paraId="07612FB8" w14:textId="77777777" w:rsidR="00C72FD7" w:rsidRPr="00C72FD7" w:rsidRDefault="00C72FD7" w:rsidP="00FD0970">
      <w:pPr>
        <w:pStyle w:val="Prrafodelista"/>
        <w:numPr>
          <w:ilvl w:val="0"/>
          <w:numId w:val="3"/>
        </w:numPr>
        <w:spacing w:after="120"/>
        <w:ind w:left="714" w:hanging="357"/>
        <w:contextualSpacing w:val="0"/>
        <w:jc w:val="both"/>
        <w:rPr>
          <w:rFonts w:ascii="Century Gothic" w:hAnsi="Century Gothic"/>
          <w:sz w:val="24"/>
          <w:szCs w:val="24"/>
        </w:rPr>
      </w:pPr>
      <w:r w:rsidRPr="00C72FD7">
        <w:rPr>
          <w:rFonts w:ascii="Century Gothic" w:hAnsi="Century Gothic"/>
          <w:sz w:val="24"/>
          <w:szCs w:val="24"/>
        </w:rPr>
        <w:t>Examinar si el programa ha definido una estrategia de cobertura de mediano y de largo plazo y los avances presentados en el ejercicio fiscal evaluado;</w:t>
      </w:r>
    </w:p>
    <w:p w14:paraId="36706B27" w14:textId="77777777" w:rsidR="00C72FD7" w:rsidRPr="00C72FD7" w:rsidRDefault="00C72FD7" w:rsidP="00FD0970">
      <w:pPr>
        <w:pStyle w:val="Prrafodelista"/>
        <w:numPr>
          <w:ilvl w:val="0"/>
          <w:numId w:val="3"/>
        </w:numPr>
        <w:spacing w:after="120"/>
        <w:ind w:left="714" w:hanging="357"/>
        <w:contextualSpacing w:val="0"/>
        <w:jc w:val="both"/>
        <w:rPr>
          <w:rFonts w:ascii="Century Gothic" w:hAnsi="Century Gothic"/>
          <w:sz w:val="24"/>
          <w:szCs w:val="24"/>
        </w:rPr>
      </w:pPr>
      <w:r w:rsidRPr="00C72FD7">
        <w:rPr>
          <w:rFonts w:ascii="Century Gothic" w:hAnsi="Century Gothic"/>
          <w:sz w:val="24"/>
          <w:szCs w:val="24"/>
        </w:rPr>
        <w:t>Analizar los principales procesos establecidos en las Reglas de Operación del Programa (ROP) o en la normatividad aplicable; así como los sistemas de información con los que cuenta el programa y sus mecanismos de rendición de cuentas;</w:t>
      </w:r>
    </w:p>
    <w:p w14:paraId="11CB91AF" w14:textId="77777777" w:rsidR="00C72FD7" w:rsidRPr="00C72FD7" w:rsidRDefault="00C72FD7" w:rsidP="00FD0970">
      <w:pPr>
        <w:pStyle w:val="Prrafodelista"/>
        <w:numPr>
          <w:ilvl w:val="0"/>
          <w:numId w:val="3"/>
        </w:numPr>
        <w:spacing w:after="120"/>
        <w:ind w:left="714" w:hanging="357"/>
        <w:contextualSpacing w:val="0"/>
        <w:jc w:val="both"/>
        <w:rPr>
          <w:rFonts w:ascii="Century Gothic" w:hAnsi="Century Gothic"/>
          <w:sz w:val="24"/>
          <w:szCs w:val="24"/>
        </w:rPr>
      </w:pPr>
      <w:r w:rsidRPr="00C72FD7">
        <w:rPr>
          <w:rFonts w:ascii="Century Gothic" w:hAnsi="Century Gothic"/>
          <w:sz w:val="24"/>
          <w:szCs w:val="24"/>
        </w:rPr>
        <w:t>Identificar si el programa cuenta con instrumentos que le permitan recabar información para medir el grado de satisfacción de los beneficiarios del programa y sus resultados, y</w:t>
      </w:r>
    </w:p>
    <w:p w14:paraId="49A0AA3C" w14:textId="77777777" w:rsidR="00DC53A8" w:rsidRPr="0092482D" w:rsidRDefault="00C72FD7" w:rsidP="00FD0970">
      <w:pPr>
        <w:pStyle w:val="Prrafodelista"/>
        <w:numPr>
          <w:ilvl w:val="0"/>
          <w:numId w:val="3"/>
        </w:numPr>
        <w:jc w:val="both"/>
        <w:rPr>
          <w:rFonts w:ascii="Century Gothic" w:hAnsi="Century Gothic"/>
          <w:sz w:val="24"/>
          <w:szCs w:val="24"/>
        </w:rPr>
      </w:pPr>
      <w:r w:rsidRPr="00C72FD7">
        <w:rPr>
          <w:rFonts w:ascii="Century Gothic" w:hAnsi="Century Gothic"/>
          <w:sz w:val="24"/>
          <w:szCs w:val="24"/>
        </w:rPr>
        <w:t>Examinar los resultados del programa respecto a la atención del problema para el que fue creado.</w:t>
      </w:r>
    </w:p>
    <w:p w14:paraId="33AF9A76" w14:textId="77777777" w:rsidR="00BC4700" w:rsidRDefault="00BC4700" w:rsidP="00134C71">
      <w:pPr>
        <w:spacing w:after="240"/>
        <w:jc w:val="both"/>
        <w:rPr>
          <w:rFonts w:ascii="Century Gothic" w:hAnsi="Century Gothic" w:cs="Arial"/>
          <w:bCs/>
          <w:sz w:val="24"/>
          <w:szCs w:val="24"/>
        </w:rPr>
      </w:pPr>
      <w:r>
        <w:rPr>
          <w:rFonts w:ascii="Century Gothic" w:hAnsi="Century Gothic"/>
          <w:sz w:val="24"/>
          <w:szCs w:val="24"/>
        </w:rPr>
        <w:t xml:space="preserve">La presente documento se divide en principalmente en </w:t>
      </w:r>
      <w:r>
        <w:rPr>
          <w:rFonts w:ascii="Century Gothic" w:hAnsi="Century Gothic"/>
          <w:b/>
          <w:sz w:val="24"/>
          <w:szCs w:val="24"/>
        </w:rPr>
        <w:t>cinco</w:t>
      </w:r>
      <w:r w:rsidRPr="00BC4700">
        <w:rPr>
          <w:rFonts w:ascii="Century Gothic" w:hAnsi="Century Gothic"/>
          <w:b/>
          <w:sz w:val="24"/>
          <w:szCs w:val="24"/>
        </w:rPr>
        <w:t xml:space="preserve"> </w:t>
      </w:r>
      <w:r w:rsidR="00C1368E">
        <w:rPr>
          <w:rFonts w:ascii="Century Gothic" w:hAnsi="Century Gothic"/>
          <w:b/>
          <w:sz w:val="24"/>
          <w:szCs w:val="24"/>
        </w:rPr>
        <w:t>capítulos</w:t>
      </w:r>
      <w:r>
        <w:rPr>
          <w:rFonts w:ascii="Century Gothic" w:hAnsi="Century Gothic"/>
          <w:sz w:val="24"/>
          <w:szCs w:val="24"/>
        </w:rPr>
        <w:t>, en el primero “</w:t>
      </w:r>
      <w:r w:rsidRPr="00A9067B">
        <w:rPr>
          <w:rFonts w:ascii="Century Gothic" w:hAnsi="Century Gothic"/>
          <w:b/>
          <w:sz w:val="24"/>
          <w:szCs w:val="24"/>
        </w:rPr>
        <w:t>Análisis del contexto</w:t>
      </w:r>
      <w:r>
        <w:rPr>
          <w:rFonts w:ascii="Century Gothic" w:hAnsi="Century Gothic"/>
          <w:sz w:val="24"/>
          <w:szCs w:val="24"/>
        </w:rPr>
        <w:t xml:space="preserve">” se presenta un breve análisis de lo que fue la creación del Ramo 33 y en particular del </w:t>
      </w:r>
      <w:r w:rsidRPr="00A9067B">
        <w:rPr>
          <w:rFonts w:ascii="Century Gothic" w:hAnsi="Century Gothic"/>
          <w:sz w:val="24"/>
          <w:szCs w:val="24"/>
        </w:rPr>
        <w:t>Fondo para el Fortalecimiento de las Entidades Federativas (FAFEF)</w:t>
      </w:r>
      <w:r>
        <w:rPr>
          <w:rFonts w:ascii="Century Gothic" w:hAnsi="Century Gothic"/>
          <w:sz w:val="24"/>
          <w:szCs w:val="24"/>
        </w:rPr>
        <w:t xml:space="preserve"> como medio para fortalecer los presupuestos de los estados </w:t>
      </w:r>
      <w:r w:rsidRPr="005D2B67">
        <w:rPr>
          <w:rFonts w:ascii="Century Gothic" w:hAnsi="Century Gothic" w:cs="Arial"/>
          <w:bCs/>
          <w:sz w:val="24"/>
          <w:szCs w:val="24"/>
        </w:rPr>
        <w:t>y del</w:t>
      </w:r>
      <w:r>
        <w:rPr>
          <w:rFonts w:ascii="Century Gothic" w:hAnsi="Century Gothic" w:cs="Arial"/>
          <w:bCs/>
          <w:sz w:val="24"/>
          <w:szCs w:val="24"/>
        </w:rPr>
        <w:t xml:space="preserve"> </w:t>
      </w:r>
      <w:r w:rsidRPr="005D2B67">
        <w:rPr>
          <w:rFonts w:ascii="Century Gothic" w:hAnsi="Century Gothic" w:cs="Arial"/>
          <w:bCs/>
          <w:sz w:val="24"/>
          <w:szCs w:val="24"/>
        </w:rPr>
        <w:t>Distrito Federal y las regiones que conforman</w:t>
      </w:r>
      <w:r>
        <w:rPr>
          <w:rFonts w:ascii="Century Gothic" w:hAnsi="Century Gothic" w:cs="Arial"/>
          <w:bCs/>
          <w:sz w:val="24"/>
          <w:szCs w:val="24"/>
        </w:rPr>
        <w:t>.</w:t>
      </w:r>
    </w:p>
    <w:p w14:paraId="72C57276" w14:textId="77777777" w:rsidR="00BC4700" w:rsidRDefault="00BC4700" w:rsidP="00134C71">
      <w:pPr>
        <w:spacing w:after="240"/>
        <w:jc w:val="both"/>
        <w:rPr>
          <w:rFonts w:ascii="Century Gothic" w:hAnsi="Century Gothic" w:cs="Arial"/>
          <w:bCs/>
          <w:sz w:val="24"/>
          <w:szCs w:val="24"/>
        </w:rPr>
      </w:pPr>
      <w:r>
        <w:rPr>
          <w:rFonts w:ascii="Century Gothic" w:hAnsi="Century Gothic" w:cs="Arial"/>
          <w:bCs/>
          <w:sz w:val="24"/>
          <w:szCs w:val="24"/>
        </w:rPr>
        <w:t>También se incluye un análisis de la inversión en infraestructura no habitacional realizada con recursos del FAFEF por parte de la SEIDUR, estableciendo que cumpla con el marco normativo que regula su uso, (LCF, artículo 47).</w:t>
      </w:r>
    </w:p>
    <w:p w14:paraId="1BC511A7" w14:textId="77777777" w:rsidR="00BC4700" w:rsidRDefault="00BC4700" w:rsidP="00134C71">
      <w:pPr>
        <w:spacing w:after="240"/>
        <w:jc w:val="both"/>
        <w:rPr>
          <w:rFonts w:ascii="Century Gothic" w:hAnsi="Century Gothic" w:cs="Arial"/>
          <w:bCs/>
          <w:sz w:val="24"/>
          <w:szCs w:val="24"/>
        </w:rPr>
      </w:pPr>
      <w:r>
        <w:rPr>
          <w:rFonts w:ascii="Century Gothic" w:hAnsi="Century Gothic" w:cs="Arial"/>
          <w:bCs/>
          <w:sz w:val="24"/>
          <w:szCs w:val="24"/>
        </w:rPr>
        <w:lastRenderedPageBreak/>
        <w:t>En el segundo capítulo “</w:t>
      </w:r>
      <w:r w:rsidRPr="00A9067B">
        <w:rPr>
          <w:rFonts w:ascii="Century Gothic" w:hAnsi="Century Gothic" w:cs="Arial"/>
          <w:b/>
          <w:bCs/>
          <w:sz w:val="24"/>
          <w:szCs w:val="24"/>
        </w:rPr>
        <w:t>Análisis de la Consistencia y Resultados del programa Presupuestario “Infraestructura no Habitacional</w:t>
      </w:r>
      <w:r>
        <w:rPr>
          <w:rFonts w:ascii="Century Gothic" w:hAnsi="Century Gothic" w:cs="Arial"/>
          <w:bCs/>
          <w:sz w:val="24"/>
          <w:szCs w:val="24"/>
        </w:rPr>
        <w:t>”, se centra sólo en el análisis referente al programa esto bajo la metodología establecida por CONEVAL.</w:t>
      </w:r>
    </w:p>
    <w:p w14:paraId="72430603" w14:textId="77777777" w:rsidR="00BC4700" w:rsidRDefault="00BC4700" w:rsidP="00134C71">
      <w:pPr>
        <w:spacing w:after="240"/>
        <w:jc w:val="both"/>
        <w:rPr>
          <w:rFonts w:ascii="Century Gothic" w:hAnsi="Century Gothic"/>
          <w:sz w:val="24"/>
          <w:szCs w:val="24"/>
          <w:shd w:val="clear" w:color="auto" w:fill="BFBFBF" w:themeFill="background1" w:themeFillShade="BF"/>
        </w:rPr>
      </w:pPr>
      <w:r>
        <w:rPr>
          <w:rFonts w:ascii="Century Gothic" w:hAnsi="Century Gothic" w:cs="Arial"/>
          <w:bCs/>
          <w:sz w:val="24"/>
          <w:szCs w:val="24"/>
        </w:rPr>
        <w:t>En este apartado se analizan temas como el diseño del programa, su población objetivo, la planeación y orientación a resultados, así como la cobertura y percepción de la planeación</w:t>
      </w:r>
    </w:p>
    <w:p w14:paraId="104A92D6" w14:textId="77777777" w:rsidR="00BC4700" w:rsidRDefault="0092482D" w:rsidP="00134C71">
      <w:pPr>
        <w:spacing w:after="240"/>
        <w:jc w:val="both"/>
        <w:rPr>
          <w:rFonts w:ascii="Century Gothic" w:hAnsi="Century Gothic"/>
          <w:sz w:val="24"/>
          <w:szCs w:val="24"/>
        </w:rPr>
      </w:pPr>
      <w:r>
        <w:rPr>
          <w:rFonts w:ascii="Century Gothic" w:hAnsi="Century Gothic"/>
          <w:sz w:val="24"/>
          <w:szCs w:val="24"/>
        </w:rPr>
        <w:t xml:space="preserve">En el </w:t>
      </w:r>
      <w:r w:rsidR="00BC4700">
        <w:rPr>
          <w:rFonts w:ascii="Century Gothic" w:hAnsi="Century Gothic"/>
          <w:sz w:val="24"/>
          <w:szCs w:val="24"/>
        </w:rPr>
        <w:t>siguiente capítulo</w:t>
      </w:r>
      <w:r>
        <w:rPr>
          <w:rFonts w:ascii="Century Gothic" w:hAnsi="Century Gothic"/>
          <w:sz w:val="24"/>
          <w:szCs w:val="24"/>
        </w:rPr>
        <w:t xml:space="preserve"> </w:t>
      </w:r>
      <w:r>
        <w:rPr>
          <w:rFonts w:ascii="Century Gothic" w:hAnsi="Century Gothic"/>
          <w:b/>
          <w:sz w:val="24"/>
          <w:szCs w:val="24"/>
        </w:rPr>
        <w:t>“</w:t>
      </w:r>
      <w:r w:rsidRPr="00431224">
        <w:rPr>
          <w:rFonts w:ascii="Century Gothic" w:hAnsi="Century Gothic"/>
          <w:b/>
          <w:i/>
          <w:sz w:val="24"/>
          <w:szCs w:val="24"/>
        </w:rPr>
        <w:t>Análisis FODA y Recomendaciones</w:t>
      </w:r>
      <w:r>
        <w:rPr>
          <w:rFonts w:ascii="Century Gothic" w:hAnsi="Century Gothic"/>
          <w:sz w:val="24"/>
          <w:szCs w:val="24"/>
        </w:rPr>
        <w:t xml:space="preserve">”, </w:t>
      </w:r>
      <w:r w:rsidR="00BC4700">
        <w:rPr>
          <w:rFonts w:ascii="Century Gothic" w:hAnsi="Century Gothic"/>
          <w:sz w:val="24"/>
          <w:szCs w:val="24"/>
        </w:rPr>
        <w:t>se establecen</w:t>
      </w:r>
      <w:r>
        <w:rPr>
          <w:rFonts w:ascii="Century Gothic" w:hAnsi="Century Gothic"/>
          <w:sz w:val="24"/>
          <w:szCs w:val="24"/>
        </w:rPr>
        <w:t xml:space="preserve"> las fortalezas, oportunidades, debilidades y amenazas en la ejecución del programa y las principales </w:t>
      </w:r>
      <w:r>
        <w:rPr>
          <w:rFonts w:ascii="Century Gothic" w:hAnsi="Century Gothic"/>
          <w:i/>
          <w:sz w:val="24"/>
          <w:szCs w:val="24"/>
        </w:rPr>
        <w:t>Recomendaciones</w:t>
      </w:r>
      <w:r>
        <w:rPr>
          <w:rFonts w:ascii="Century Gothic" w:hAnsi="Century Gothic"/>
          <w:sz w:val="24"/>
          <w:szCs w:val="24"/>
        </w:rPr>
        <w:t xml:space="preserve"> derivadas</w:t>
      </w:r>
      <w:r w:rsidR="00BC4700">
        <w:rPr>
          <w:rFonts w:ascii="Century Gothic" w:hAnsi="Century Gothic"/>
          <w:sz w:val="24"/>
          <w:szCs w:val="24"/>
        </w:rPr>
        <w:t xml:space="preserve"> del resultado de la evaluación; y por último las principales “</w:t>
      </w:r>
      <w:r w:rsidR="00BC4700" w:rsidRPr="00431224">
        <w:rPr>
          <w:rFonts w:ascii="Century Gothic" w:hAnsi="Century Gothic"/>
          <w:b/>
          <w:i/>
          <w:sz w:val="24"/>
          <w:szCs w:val="24"/>
        </w:rPr>
        <w:t>Conclusiones</w:t>
      </w:r>
      <w:r w:rsidR="00BC4700">
        <w:rPr>
          <w:rFonts w:ascii="Century Gothic" w:hAnsi="Century Gothic"/>
          <w:b/>
          <w:i/>
          <w:sz w:val="24"/>
          <w:szCs w:val="24"/>
        </w:rPr>
        <w:t>”</w:t>
      </w:r>
      <w:r w:rsidR="00650353">
        <w:rPr>
          <w:rFonts w:ascii="Century Gothic" w:hAnsi="Century Gothic"/>
          <w:b/>
          <w:i/>
          <w:sz w:val="24"/>
          <w:szCs w:val="24"/>
        </w:rPr>
        <w:t>.</w:t>
      </w:r>
    </w:p>
    <w:p w14:paraId="17EFC508" w14:textId="77777777" w:rsidR="0024176E" w:rsidRDefault="0024176E" w:rsidP="00AF2903">
      <w:pPr>
        <w:jc w:val="both"/>
        <w:rPr>
          <w:rFonts w:ascii="Century Gothic" w:hAnsi="Century Gothic" w:cs="Arial"/>
          <w:b/>
          <w:color w:val="000000"/>
          <w:sz w:val="24"/>
          <w:szCs w:val="24"/>
        </w:rPr>
      </w:pPr>
    </w:p>
    <w:p w14:paraId="64667A9A" w14:textId="77777777" w:rsidR="00ED32B4" w:rsidRDefault="00ED32B4">
      <w:pPr>
        <w:rPr>
          <w:rFonts w:ascii="Century Gothic" w:hAnsi="Century Gothic" w:cs="Arial"/>
          <w:b/>
          <w:color w:val="000000"/>
          <w:sz w:val="24"/>
          <w:szCs w:val="24"/>
        </w:rPr>
      </w:pPr>
      <w:r>
        <w:rPr>
          <w:rFonts w:ascii="Century Gothic" w:hAnsi="Century Gothic" w:cs="Arial"/>
          <w:b/>
          <w:color w:val="000000"/>
          <w:sz w:val="24"/>
          <w:szCs w:val="24"/>
        </w:rPr>
        <w:br w:type="page"/>
      </w:r>
    </w:p>
    <w:p w14:paraId="4A7A56B6" w14:textId="77777777" w:rsidR="00AE7C8B" w:rsidRPr="00C72FD7" w:rsidRDefault="00AE7C8B" w:rsidP="00AF2903">
      <w:pPr>
        <w:jc w:val="both"/>
        <w:rPr>
          <w:rFonts w:ascii="Century Gothic" w:hAnsi="Century Gothic" w:cs="Arial"/>
          <w:b/>
          <w:color w:val="0E4E7A"/>
          <w:sz w:val="32"/>
          <w:szCs w:val="24"/>
        </w:rPr>
      </w:pPr>
      <w:r w:rsidRPr="00C72FD7">
        <w:rPr>
          <w:rFonts w:ascii="Century Gothic" w:hAnsi="Century Gothic" w:cs="Arial"/>
          <w:b/>
          <w:color w:val="0E4E7A"/>
          <w:sz w:val="32"/>
          <w:szCs w:val="24"/>
        </w:rPr>
        <w:lastRenderedPageBreak/>
        <w:t>Metodología y Técnicas utilizadas</w:t>
      </w:r>
    </w:p>
    <w:p w14:paraId="525D6C1E" w14:textId="77777777" w:rsidR="00CC79D9" w:rsidRDefault="00CC79D9" w:rsidP="009207C6">
      <w:pPr>
        <w:spacing w:after="240"/>
        <w:jc w:val="both"/>
        <w:rPr>
          <w:rFonts w:ascii="Century Gothic" w:hAnsi="Century Gothic" w:cs="Century Gothic"/>
          <w:sz w:val="24"/>
          <w:szCs w:val="24"/>
        </w:rPr>
      </w:pPr>
      <w:r>
        <w:rPr>
          <w:rFonts w:ascii="Century Gothic" w:hAnsi="Century Gothic"/>
          <w:sz w:val="24"/>
          <w:szCs w:val="24"/>
        </w:rPr>
        <w:t xml:space="preserve">La evaluación </w:t>
      </w:r>
      <w:r w:rsidR="002B348E">
        <w:rPr>
          <w:rFonts w:ascii="Century Gothic" w:hAnsi="Century Gothic" w:cs="Century Gothic"/>
          <w:sz w:val="24"/>
          <w:szCs w:val="24"/>
        </w:rPr>
        <w:t>se realizará</w:t>
      </w:r>
      <w:r>
        <w:rPr>
          <w:rFonts w:ascii="Century Gothic" w:hAnsi="Century Gothic" w:cs="Century Gothic"/>
          <w:sz w:val="24"/>
          <w:szCs w:val="24"/>
        </w:rPr>
        <w:t xml:space="preserve"> conforme a lo establec</w:t>
      </w:r>
      <w:r w:rsidR="002B348E">
        <w:rPr>
          <w:rFonts w:ascii="Century Gothic" w:hAnsi="Century Gothic" w:cs="Century Gothic"/>
          <w:sz w:val="24"/>
          <w:szCs w:val="24"/>
        </w:rPr>
        <w:t>ido en los</w:t>
      </w:r>
      <w:r>
        <w:rPr>
          <w:rFonts w:ascii="Century Gothic" w:hAnsi="Century Gothic" w:cs="Century Gothic"/>
          <w:i/>
          <w:sz w:val="24"/>
          <w:szCs w:val="24"/>
        </w:rPr>
        <w:t xml:space="preserve"> Lineamientos Generales para la Evaluación de los Programas Federales de la Administración Pública Federal, </w:t>
      </w:r>
      <w:r>
        <w:rPr>
          <w:rFonts w:ascii="Century Gothic" w:hAnsi="Century Gothic" w:cs="Century Gothic"/>
          <w:iCs/>
          <w:sz w:val="24"/>
          <w:szCs w:val="24"/>
        </w:rPr>
        <w:t xml:space="preserve">publicados </w:t>
      </w:r>
      <w:r>
        <w:rPr>
          <w:rFonts w:ascii="Century Gothic" w:hAnsi="Century Gothic" w:cs="Century Gothic"/>
          <w:sz w:val="24"/>
          <w:szCs w:val="24"/>
        </w:rPr>
        <w:t>por Secretaría de Hacienda y Crédito Público (SHCP), la Secretaría de la Función Pública (SFP) y el Consejo Nacional de Evaluación de la Política de Desarrollo Social (CONEVAL); en el Diario Oficial de la Fe</w:t>
      </w:r>
      <w:r w:rsidR="002B348E">
        <w:rPr>
          <w:rFonts w:ascii="Century Gothic" w:hAnsi="Century Gothic" w:cs="Century Gothic"/>
          <w:sz w:val="24"/>
          <w:szCs w:val="24"/>
        </w:rPr>
        <w:t>deración el 30 de marzo de 2007, los cuales en el numeral décimo octavo señalan:</w:t>
      </w:r>
    </w:p>
    <w:p w14:paraId="6509993B" w14:textId="77777777" w:rsidR="002B348E" w:rsidRPr="002B348E" w:rsidRDefault="002B348E" w:rsidP="009207C6">
      <w:pPr>
        <w:spacing w:after="240"/>
        <w:ind w:left="284" w:right="333"/>
        <w:jc w:val="both"/>
        <w:rPr>
          <w:rFonts w:ascii="Century Gothic" w:hAnsi="Century Gothic" w:cs="Century Gothic"/>
          <w:sz w:val="24"/>
          <w:szCs w:val="24"/>
        </w:rPr>
      </w:pPr>
      <w:r w:rsidRPr="002B348E">
        <w:rPr>
          <w:rFonts w:ascii="Century Gothic" w:hAnsi="Century Gothic" w:cs="Century Gothic"/>
          <w:sz w:val="24"/>
          <w:szCs w:val="24"/>
        </w:rPr>
        <w:t>La evaluación de consistencia y resultados deberá ser realizada mediante trabajo de gabinete, y el informe correspondiente deberá incluir un análisis conforme a los siguientes criterios:</w:t>
      </w:r>
    </w:p>
    <w:p w14:paraId="3C486093" w14:textId="77777777" w:rsidR="002B348E" w:rsidRDefault="002B348E" w:rsidP="00FD0970">
      <w:pPr>
        <w:pStyle w:val="ROMANOS"/>
        <w:numPr>
          <w:ilvl w:val="0"/>
          <w:numId w:val="16"/>
        </w:numPr>
        <w:spacing w:after="120" w:line="276" w:lineRule="auto"/>
        <w:ind w:left="1003" w:right="335" w:hanging="357"/>
        <w:jc w:val="left"/>
        <w:rPr>
          <w:rFonts w:ascii="Century Gothic" w:eastAsiaTheme="minorHAnsi" w:hAnsi="Century Gothic" w:cs="Century Gothic"/>
          <w:sz w:val="24"/>
          <w:szCs w:val="24"/>
          <w:lang w:val="es-MX" w:eastAsia="en-US"/>
        </w:rPr>
      </w:pPr>
      <w:r>
        <w:rPr>
          <w:rFonts w:ascii="Century Gothic" w:eastAsiaTheme="minorHAnsi" w:hAnsi="Century Gothic" w:cs="Century Gothic"/>
          <w:sz w:val="24"/>
          <w:szCs w:val="24"/>
          <w:lang w:val="es-MX" w:eastAsia="en-US"/>
        </w:rPr>
        <w:t>En materia de diseño</w:t>
      </w:r>
    </w:p>
    <w:p w14:paraId="3FADAFB5" w14:textId="77777777" w:rsidR="002B348E" w:rsidRPr="002B348E" w:rsidRDefault="002B348E" w:rsidP="00FD0970">
      <w:pPr>
        <w:pStyle w:val="ROMANOS"/>
        <w:numPr>
          <w:ilvl w:val="0"/>
          <w:numId w:val="16"/>
        </w:numPr>
        <w:spacing w:after="120" w:line="276" w:lineRule="auto"/>
        <w:ind w:left="1003" w:right="335" w:hanging="357"/>
        <w:jc w:val="left"/>
        <w:rPr>
          <w:rFonts w:ascii="Century Gothic" w:eastAsiaTheme="minorHAnsi" w:hAnsi="Century Gothic" w:cs="Century Gothic"/>
          <w:sz w:val="24"/>
          <w:szCs w:val="24"/>
          <w:lang w:val="es-MX" w:eastAsia="en-US"/>
        </w:rPr>
      </w:pPr>
      <w:r w:rsidRPr="002B348E">
        <w:rPr>
          <w:rFonts w:ascii="Century Gothic" w:hAnsi="Century Gothic" w:cs="Century Gothic"/>
          <w:sz w:val="24"/>
          <w:szCs w:val="24"/>
        </w:rPr>
        <w:t>En materia de planeación estratégica</w:t>
      </w:r>
    </w:p>
    <w:p w14:paraId="053A9776" w14:textId="77777777" w:rsidR="002B348E" w:rsidRPr="002B348E" w:rsidRDefault="002B348E" w:rsidP="00FD0970">
      <w:pPr>
        <w:pStyle w:val="ROMANOS"/>
        <w:numPr>
          <w:ilvl w:val="0"/>
          <w:numId w:val="16"/>
        </w:numPr>
        <w:spacing w:after="120" w:line="276" w:lineRule="auto"/>
        <w:ind w:left="1003" w:right="335" w:hanging="357"/>
        <w:jc w:val="left"/>
        <w:rPr>
          <w:rFonts w:ascii="Century Gothic" w:eastAsiaTheme="minorHAnsi" w:hAnsi="Century Gothic" w:cs="Century Gothic"/>
          <w:sz w:val="24"/>
          <w:szCs w:val="24"/>
          <w:lang w:val="es-MX" w:eastAsia="en-US"/>
        </w:rPr>
      </w:pPr>
      <w:r w:rsidRPr="002B348E">
        <w:rPr>
          <w:rFonts w:ascii="Century Gothic" w:hAnsi="Century Gothic" w:cs="Century Gothic"/>
          <w:sz w:val="24"/>
          <w:szCs w:val="24"/>
        </w:rPr>
        <w:t>En materia de cobertura y focalización</w:t>
      </w:r>
    </w:p>
    <w:p w14:paraId="33D14224" w14:textId="77777777" w:rsidR="002B348E" w:rsidRPr="002B348E" w:rsidRDefault="002B348E" w:rsidP="00FD0970">
      <w:pPr>
        <w:pStyle w:val="ROMANOS"/>
        <w:numPr>
          <w:ilvl w:val="0"/>
          <w:numId w:val="16"/>
        </w:numPr>
        <w:spacing w:after="120" w:line="276" w:lineRule="auto"/>
        <w:ind w:left="1003" w:right="335" w:hanging="357"/>
        <w:jc w:val="left"/>
        <w:rPr>
          <w:rFonts w:ascii="Century Gothic" w:eastAsiaTheme="minorHAnsi" w:hAnsi="Century Gothic" w:cs="Century Gothic"/>
          <w:sz w:val="24"/>
          <w:szCs w:val="24"/>
          <w:lang w:val="es-MX" w:eastAsia="en-US"/>
        </w:rPr>
      </w:pPr>
      <w:r w:rsidRPr="002B348E">
        <w:rPr>
          <w:rFonts w:ascii="Century Gothic" w:hAnsi="Century Gothic" w:cs="Century Gothic"/>
          <w:sz w:val="24"/>
          <w:szCs w:val="24"/>
        </w:rPr>
        <w:t>En materia de operación</w:t>
      </w:r>
    </w:p>
    <w:p w14:paraId="7DE3225C" w14:textId="77777777" w:rsidR="002B348E" w:rsidRPr="002B348E" w:rsidRDefault="002B348E" w:rsidP="00FD0970">
      <w:pPr>
        <w:pStyle w:val="ROMANOS"/>
        <w:numPr>
          <w:ilvl w:val="0"/>
          <w:numId w:val="16"/>
        </w:numPr>
        <w:spacing w:after="120" w:line="276" w:lineRule="auto"/>
        <w:ind w:left="1003" w:right="335" w:hanging="357"/>
        <w:jc w:val="left"/>
        <w:rPr>
          <w:rFonts w:ascii="Century Gothic" w:eastAsiaTheme="minorHAnsi" w:hAnsi="Century Gothic" w:cs="Century Gothic"/>
          <w:sz w:val="24"/>
          <w:szCs w:val="24"/>
          <w:lang w:val="es-MX" w:eastAsia="en-US"/>
        </w:rPr>
      </w:pPr>
      <w:r w:rsidRPr="002B348E">
        <w:rPr>
          <w:rFonts w:ascii="Century Gothic" w:hAnsi="Century Gothic" w:cs="Century Gothic"/>
          <w:sz w:val="24"/>
          <w:szCs w:val="24"/>
        </w:rPr>
        <w:t>En materia de perc</w:t>
      </w:r>
      <w:r w:rsidR="00320E21">
        <w:rPr>
          <w:rFonts w:ascii="Century Gothic" w:hAnsi="Century Gothic" w:cs="Century Gothic"/>
          <w:sz w:val="24"/>
          <w:szCs w:val="24"/>
        </w:rPr>
        <w:t>epción de la población objetivo</w:t>
      </w:r>
    </w:p>
    <w:p w14:paraId="0DAA27F9" w14:textId="77777777" w:rsidR="002B348E" w:rsidRPr="002B348E" w:rsidRDefault="002B348E" w:rsidP="00FD0970">
      <w:pPr>
        <w:pStyle w:val="ROMANOS"/>
        <w:numPr>
          <w:ilvl w:val="0"/>
          <w:numId w:val="16"/>
        </w:numPr>
        <w:spacing w:after="240" w:line="276" w:lineRule="auto"/>
        <w:ind w:left="1003" w:right="335" w:hanging="357"/>
        <w:jc w:val="left"/>
        <w:rPr>
          <w:rFonts w:ascii="Century Gothic" w:eastAsiaTheme="minorHAnsi" w:hAnsi="Century Gothic" w:cs="Century Gothic"/>
          <w:sz w:val="24"/>
          <w:szCs w:val="24"/>
          <w:lang w:val="es-MX" w:eastAsia="en-US"/>
        </w:rPr>
      </w:pPr>
      <w:r w:rsidRPr="002B348E">
        <w:rPr>
          <w:rFonts w:ascii="Century Gothic" w:hAnsi="Century Gothic" w:cs="Century Gothic"/>
          <w:sz w:val="24"/>
          <w:szCs w:val="24"/>
        </w:rPr>
        <w:t>En materia de resultados</w:t>
      </w:r>
      <w:r>
        <w:rPr>
          <w:rFonts w:ascii="Century Gothic" w:hAnsi="Century Gothic" w:cs="Century Gothic"/>
          <w:sz w:val="24"/>
          <w:szCs w:val="24"/>
        </w:rPr>
        <w:t xml:space="preserve"> (DOF 30-03-2007).</w:t>
      </w:r>
    </w:p>
    <w:p w14:paraId="53CC3B5F" w14:textId="77777777" w:rsidR="0086483D" w:rsidRPr="002B348E" w:rsidRDefault="00430A45" w:rsidP="009207C6">
      <w:pPr>
        <w:spacing w:after="240"/>
        <w:jc w:val="both"/>
        <w:rPr>
          <w:rFonts w:ascii="Century Gothic" w:hAnsi="Century Gothic" w:cs="Century Gothic"/>
          <w:sz w:val="24"/>
          <w:szCs w:val="24"/>
        </w:rPr>
      </w:pPr>
      <w:r>
        <w:rPr>
          <w:rFonts w:ascii="Century Gothic" w:hAnsi="Century Gothic" w:cs="Century Gothic"/>
          <w:sz w:val="24"/>
          <w:szCs w:val="24"/>
        </w:rPr>
        <w:t>A</w:t>
      </w:r>
      <w:r w:rsidR="00CC79D9">
        <w:rPr>
          <w:rFonts w:ascii="Century Gothic" w:hAnsi="Century Gothic" w:cs="Century Gothic"/>
          <w:sz w:val="24"/>
          <w:szCs w:val="24"/>
        </w:rPr>
        <w:t xml:space="preserve">dicionalmente, </w:t>
      </w:r>
      <w:r w:rsidR="0086483D">
        <w:rPr>
          <w:rFonts w:ascii="Century Gothic" w:hAnsi="Century Gothic" w:cs="Century Gothic"/>
          <w:sz w:val="24"/>
          <w:szCs w:val="24"/>
        </w:rPr>
        <w:t xml:space="preserve">en el numeral trigésimo se establece que para este tipo de evaluaciones se deberá </w:t>
      </w:r>
      <w:r w:rsidR="0086483D" w:rsidRPr="009207C6">
        <w:rPr>
          <w:rFonts w:ascii="Century Gothic" w:hAnsi="Century Gothic" w:cs="Century Gothic"/>
          <w:i/>
          <w:sz w:val="24"/>
          <w:szCs w:val="24"/>
        </w:rPr>
        <w:t>utilizar el modelo de términos de referencia que determinen conjuntamente la Secretaría, la Función Pública, y el Consej</w:t>
      </w:r>
      <w:r w:rsidR="009207C6">
        <w:rPr>
          <w:rFonts w:ascii="Century Gothic" w:hAnsi="Century Gothic" w:cs="Century Gothic"/>
          <w:i/>
          <w:sz w:val="24"/>
          <w:szCs w:val="24"/>
        </w:rPr>
        <w:t>o en el ámbito de su competencia</w:t>
      </w:r>
      <w:r w:rsidR="0086483D">
        <w:rPr>
          <w:rFonts w:ascii="Century Gothic" w:hAnsi="Century Gothic" w:cs="Century Gothic"/>
          <w:sz w:val="24"/>
          <w:szCs w:val="24"/>
        </w:rPr>
        <w:t xml:space="preserve"> (DOF 30-03-2007).</w:t>
      </w:r>
    </w:p>
    <w:p w14:paraId="5D0E8307" w14:textId="77777777" w:rsidR="00AE7C8B" w:rsidRDefault="00CC79D9" w:rsidP="009207C6">
      <w:pPr>
        <w:spacing w:after="240"/>
        <w:jc w:val="both"/>
        <w:rPr>
          <w:rFonts w:ascii="Century Gothic" w:hAnsi="Century Gothic" w:cs="Arial"/>
          <w:color w:val="000000"/>
          <w:sz w:val="24"/>
          <w:szCs w:val="24"/>
        </w:rPr>
      </w:pPr>
      <w:r>
        <w:rPr>
          <w:rFonts w:ascii="Century Gothic" w:hAnsi="Century Gothic"/>
          <w:sz w:val="24"/>
          <w:szCs w:val="24"/>
        </w:rPr>
        <w:t>Cumpliendo con ello, Tecnología Social para el Desarrollo (TECSO) retomó el cuestionario de Evaluación de Consistencia y Resultados</w:t>
      </w:r>
      <w:r w:rsidR="0086483D">
        <w:rPr>
          <w:rFonts w:ascii="Century Gothic" w:hAnsi="Century Gothic"/>
          <w:sz w:val="24"/>
          <w:szCs w:val="24"/>
        </w:rPr>
        <w:t>, desarrollado por CONEVAL</w:t>
      </w:r>
      <w:r>
        <w:rPr>
          <w:rFonts w:ascii="Century Gothic" w:hAnsi="Century Gothic"/>
          <w:sz w:val="24"/>
          <w:szCs w:val="24"/>
        </w:rPr>
        <w:t xml:space="preserve">. </w:t>
      </w:r>
      <w:r w:rsidRPr="002A0D3F">
        <w:rPr>
          <w:rFonts w:ascii="Century Gothic" w:hAnsi="Century Gothic"/>
          <w:sz w:val="24"/>
          <w:szCs w:val="24"/>
        </w:rPr>
        <w:t>Sin embargo, se adaptó y se profundizó en algunos de sus apartados con el objeto de tener may</w:t>
      </w:r>
      <w:r w:rsidR="0086483D">
        <w:rPr>
          <w:rFonts w:ascii="Century Gothic" w:hAnsi="Century Gothic"/>
          <w:sz w:val="24"/>
          <w:szCs w:val="24"/>
        </w:rPr>
        <w:t xml:space="preserve">or precisión en los resultados de </w:t>
      </w:r>
      <w:r w:rsidR="00AE7C8B" w:rsidRPr="00AE7C8B">
        <w:rPr>
          <w:rFonts w:ascii="Century Gothic" w:hAnsi="Century Gothic" w:cs="Arial"/>
          <w:color w:val="000000"/>
          <w:sz w:val="24"/>
          <w:szCs w:val="24"/>
        </w:rPr>
        <w:t xml:space="preserve">la información de los cinco rubros </w:t>
      </w:r>
      <w:r w:rsidR="0086483D">
        <w:rPr>
          <w:rFonts w:ascii="Century Gothic" w:hAnsi="Century Gothic" w:cs="Arial"/>
          <w:color w:val="000000"/>
          <w:sz w:val="24"/>
          <w:szCs w:val="24"/>
        </w:rPr>
        <w:t>antes</w:t>
      </w:r>
      <w:r w:rsidR="00AE7C8B" w:rsidRPr="00AE7C8B">
        <w:rPr>
          <w:rFonts w:ascii="Century Gothic" w:hAnsi="Century Gothic" w:cs="Arial"/>
          <w:color w:val="000000"/>
          <w:sz w:val="24"/>
          <w:szCs w:val="24"/>
        </w:rPr>
        <w:t xml:space="preserve"> mencionados. </w:t>
      </w:r>
    </w:p>
    <w:p w14:paraId="10C58361" w14:textId="77777777" w:rsidR="0038731F" w:rsidRDefault="00320E21" w:rsidP="009207C6">
      <w:pPr>
        <w:spacing w:after="240"/>
        <w:jc w:val="both"/>
        <w:rPr>
          <w:rFonts w:ascii="Century Gothic" w:hAnsi="Century Gothic" w:cs="Arial"/>
          <w:color w:val="000000"/>
          <w:sz w:val="24"/>
          <w:szCs w:val="24"/>
        </w:rPr>
      </w:pPr>
      <w:r>
        <w:rPr>
          <w:rFonts w:ascii="Century Gothic" w:hAnsi="Century Gothic" w:cs="Arial"/>
          <w:color w:val="000000"/>
          <w:sz w:val="24"/>
          <w:szCs w:val="24"/>
        </w:rPr>
        <w:t xml:space="preserve">En dicho cuestionario, para los seis temas a evaluar se </w:t>
      </w:r>
      <w:r w:rsidRPr="00320E21">
        <w:rPr>
          <w:rFonts w:ascii="Century Gothic" w:hAnsi="Century Gothic" w:cs="Arial"/>
          <w:color w:val="000000"/>
          <w:sz w:val="24"/>
          <w:szCs w:val="24"/>
        </w:rPr>
        <w:t>incluyen preguntas específicas</w:t>
      </w:r>
      <w:r>
        <w:rPr>
          <w:rFonts w:ascii="Century Gothic" w:hAnsi="Century Gothic" w:cs="Arial"/>
          <w:color w:val="000000"/>
          <w:sz w:val="24"/>
          <w:szCs w:val="24"/>
        </w:rPr>
        <w:t xml:space="preserve"> que deben ser sustentadas con evidencia documental y en algunos casos complementarse con los anexos requeridos. </w:t>
      </w:r>
      <w:r w:rsidR="0038731F">
        <w:rPr>
          <w:rFonts w:ascii="Century Gothic" w:hAnsi="Century Gothic" w:cs="Arial"/>
          <w:color w:val="000000"/>
          <w:sz w:val="24"/>
          <w:szCs w:val="24"/>
        </w:rPr>
        <w:t>Las cuales se analizaran y obtendrán una valoración cuantitativa para cada apartado, siendo el puntaje máximo 136 puntos, tal como se puede observar en el siguiente cuadro:</w:t>
      </w:r>
    </w:p>
    <w:tbl>
      <w:tblPr>
        <w:tblW w:w="0" w:type="auto"/>
        <w:jc w:val="center"/>
        <w:tblCellMar>
          <w:left w:w="0" w:type="dxa"/>
          <w:right w:w="0" w:type="dxa"/>
        </w:tblCellMar>
        <w:tblLook w:val="04A0" w:firstRow="1" w:lastRow="0" w:firstColumn="1" w:lastColumn="0" w:noHBand="0" w:noVBand="1"/>
      </w:tblPr>
      <w:tblGrid>
        <w:gridCol w:w="4877"/>
        <w:gridCol w:w="1899"/>
      </w:tblGrid>
      <w:tr w:rsidR="0038731F" w:rsidRPr="0038731F" w14:paraId="3A947013" w14:textId="77777777" w:rsidTr="0038731F">
        <w:trPr>
          <w:trHeight w:val="289"/>
          <w:jc w:val="center"/>
        </w:trPr>
        <w:tc>
          <w:tcPr>
            <w:tcW w:w="6776" w:type="dxa"/>
            <w:gridSpan w:val="2"/>
            <w:tcBorders>
              <w:top w:val="single" w:sz="8" w:space="0" w:color="auto"/>
              <w:left w:val="single" w:sz="8" w:space="0" w:color="auto"/>
              <w:bottom w:val="single" w:sz="8" w:space="0" w:color="auto"/>
              <w:right w:val="single" w:sz="8" w:space="0" w:color="auto"/>
            </w:tcBorders>
            <w:shd w:val="clear" w:color="auto" w:fill="0E4E7A"/>
            <w:tcMar>
              <w:top w:w="0" w:type="dxa"/>
              <w:left w:w="108" w:type="dxa"/>
              <w:bottom w:w="0" w:type="dxa"/>
              <w:right w:w="108" w:type="dxa"/>
            </w:tcMar>
            <w:vAlign w:val="center"/>
          </w:tcPr>
          <w:p w14:paraId="044DDFEE" w14:textId="77777777" w:rsidR="0038731F" w:rsidRPr="0038731F" w:rsidRDefault="003E3B3D" w:rsidP="0038731F">
            <w:pPr>
              <w:spacing w:after="0" w:line="240" w:lineRule="auto"/>
              <w:jc w:val="center"/>
              <w:rPr>
                <w:rFonts w:eastAsia="Times" w:cstheme="minorHAnsi"/>
                <w:b/>
                <w:color w:val="FFFFFF" w:themeColor="background1"/>
              </w:rPr>
            </w:pPr>
            <w:r>
              <w:rPr>
                <w:rFonts w:eastAsia="Times" w:cstheme="minorHAnsi"/>
                <w:b/>
                <w:color w:val="FFFFFF" w:themeColor="background1"/>
              </w:rPr>
              <w:lastRenderedPageBreak/>
              <w:t>Cuadro 1.1</w:t>
            </w:r>
            <w:r w:rsidR="0038731F" w:rsidRPr="0038731F">
              <w:rPr>
                <w:rFonts w:eastAsia="Times" w:cstheme="minorHAnsi"/>
                <w:b/>
                <w:color w:val="FFFFFF" w:themeColor="background1"/>
              </w:rPr>
              <w:t>. Valoración CONEVAL</w:t>
            </w:r>
          </w:p>
        </w:tc>
      </w:tr>
      <w:tr w:rsidR="0038731F" w:rsidRPr="0038731F" w14:paraId="26D5E953" w14:textId="77777777" w:rsidTr="0038731F">
        <w:trPr>
          <w:trHeight w:val="194"/>
          <w:jc w:val="center"/>
        </w:trPr>
        <w:tc>
          <w:tcPr>
            <w:tcW w:w="4877" w:type="dxa"/>
            <w:tcBorders>
              <w:top w:val="single" w:sz="8" w:space="0" w:color="auto"/>
              <w:left w:val="single" w:sz="8" w:space="0" w:color="auto"/>
              <w:bottom w:val="single" w:sz="8" w:space="0" w:color="auto"/>
              <w:right w:val="single" w:sz="8" w:space="0" w:color="auto"/>
            </w:tcBorders>
            <w:shd w:val="clear" w:color="auto" w:fill="0E4E7A"/>
            <w:tcMar>
              <w:top w:w="0" w:type="dxa"/>
              <w:left w:w="108" w:type="dxa"/>
              <w:bottom w:w="0" w:type="dxa"/>
              <w:right w:w="108" w:type="dxa"/>
            </w:tcMar>
            <w:vAlign w:val="center"/>
            <w:hideMark/>
          </w:tcPr>
          <w:p w14:paraId="6B9C4EBC" w14:textId="77777777" w:rsidR="0038731F" w:rsidRPr="0038731F" w:rsidRDefault="0038731F" w:rsidP="0038731F">
            <w:pPr>
              <w:spacing w:after="0" w:line="240" w:lineRule="auto"/>
              <w:jc w:val="center"/>
              <w:rPr>
                <w:rFonts w:eastAsia="Times" w:cstheme="minorHAnsi"/>
                <w:b/>
                <w:color w:val="FFFFFF" w:themeColor="background1"/>
              </w:rPr>
            </w:pPr>
            <w:r w:rsidRPr="0038731F">
              <w:rPr>
                <w:rFonts w:eastAsia="Times" w:cstheme="minorHAnsi"/>
                <w:b/>
                <w:color w:val="FFFFFF" w:themeColor="background1"/>
              </w:rPr>
              <w:t>A</w:t>
            </w:r>
            <w:r>
              <w:rPr>
                <w:rFonts w:eastAsia="Times" w:cstheme="minorHAnsi"/>
                <w:b/>
                <w:color w:val="FFFFFF" w:themeColor="background1"/>
              </w:rPr>
              <w:t>partado</w:t>
            </w:r>
          </w:p>
        </w:tc>
        <w:tc>
          <w:tcPr>
            <w:tcW w:w="1899" w:type="dxa"/>
            <w:tcBorders>
              <w:top w:val="single" w:sz="8" w:space="0" w:color="auto"/>
              <w:left w:val="nil"/>
              <w:bottom w:val="single" w:sz="8" w:space="0" w:color="auto"/>
              <w:right w:val="single" w:sz="8" w:space="0" w:color="auto"/>
            </w:tcBorders>
            <w:shd w:val="clear" w:color="auto" w:fill="0E4E7A"/>
            <w:tcMar>
              <w:top w:w="0" w:type="dxa"/>
              <w:left w:w="108" w:type="dxa"/>
              <w:bottom w:w="0" w:type="dxa"/>
              <w:right w:w="108" w:type="dxa"/>
            </w:tcMar>
            <w:vAlign w:val="center"/>
            <w:hideMark/>
          </w:tcPr>
          <w:p w14:paraId="66856739" w14:textId="77777777" w:rsidR="0038731F" w:rsidRPr="0038731F" w:rsidRDefault="0038731F" w:rsidP="0038731F">
            <w:pPr>
              <w:spacing w:after="0" w:line="240" w:lineRule="auto"/>
              <w:jc w:val="center"/>
              <w:rPr>
                <w:rFonts w:eastAsia="Times" w:cstheme="minorHAnsi"/>
                <w:b/>
                <w:color w:val="FFFFFF" w:themeColor="background1"/>
              </w:rPr>
            </w:pPr>
            <w:r w:rsidRPr="0038731F">
              <w:rPr>
                <w:rFonts w:eastAsia="Times" w:cstheme="minorHAnsi"/>
                <w:b/>
                <w:color w:val="FFFFFF" w:themeColor="background1"/>
              </w:rPr>
              <w:t>Calificación Máxima</w:t>
            </w:r>
          </w:p>
        </w:tc>
      </w:tr>
      <w:tr w:rsidR="0038731F" w:rsidRPr="0038731F" w14:paraId="316F6F2A" w14:textId="77777777" w:rsidTr="0038731F">
        <w:trPr>
          <w:trHeight w:val="289"/>
          <w:jc w:val="center"/>
        </w:trPr>
        <w:tc>
          <w:tcPr>
            <w:tcW w:w="48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64D30A" w14:textId="77777777" w:rsidR="0038731F" w:rsidRPr="0038731F" w:rsidRDefault="0038731F" w:rsidP="0038731F">
            <w:pPr>
              <w:spacing w:after="0" w:line="240" w:lineRule="auto"/>
              <w:rPr>
                <w:rFonts w:eastAsia="Times" w:cstheme="minorHAnsi"/>
              </w:rPr>
            </w:pPr>
            <w:r w:rsidRPr="0038731F">
              <w:rPr>
                <w:rFonts w:eastAsia="Times" w:cstheme="minorHAnsi"/>
              </w:rPr>
              <w:t>Diseño</w:t>
            </w: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201282E" w14:textId="77777777" w:rsidR="0038731F" w:rsidRPr="0038731F" w:rsidRDefault="0038731F" w:rsidP="0038731F">
            <w:pPr>
              <w:spacing w:after="0" w:line="240" w:lineRule="auto"/>
              <w:jc w:val="center"/>
              <w:rPr>
                <w:rFonts w:eastAsia="Times" w:cstheme="minorHAnsi"/>
              </w:rPr>
            </w:pPr>
            <w:r>
              <w:rPr>
                <w:rFonts w:eastAsia="Times" w:cstheme="minorHAnsi"/>
              </w:rPr>
              <w:t>36</w:t>
            </w:r>
          </w:p>
        </w:tc>
      </w:tr>
      <w:tr w:rsidR="0038731F" w:rsidRPr="0038731F" w14:paraId="6886FC24" w14:textId="77777777" w:rsidTr="0038731F">
        <w:trPr>
          <w:trHeight w:val="289"/>
          <w:jc w:val="center"/>
        </w:trPr>
        <w:tc>
          <w:tcPr>
            <w:tcW w:w="48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085AE1" w14:textId="77777777" w:rsidR="0038731F" w:rsidRPr="0038731F" w:rsidRDefault="0038731F" w:rsidP="0038731F">
            <w:pPr>
              <w:spacing w:after="0" w:line="240" w:lineRule="auto"/>
              <w:rPr>
                <w:rFonts w:eastAsia="Times" w:cstheme="minorHAnsi"/>
              </w:rPr>
            </w:pPr>
            <w:r w:rsidRPr="0038731F">
              <w:rPr>
                <w:rFonts w:eastAsia="Times" w:cstheme="minorHAnsi"/>
              </w:rPr>
              <w:t>Planeación y Orientación a Resultados</w:t>
            </w: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A931B31" w14:textId="77777777" w:rsidR="0038731F" w:rsidRPr="0038731F" w:rsidRDefault="0038731F" w:rsidP="0038731F">
            <w:pPr>
              <w:spacing w:after="0" w:line="240" w:lineRule="auto"/>
              <w:jc w:val="center"/>
              <w:rPr>
                <w:rFonts w:eastAsia="Times" w:cstheme="minorHAnsi"/>
              </w:rPr>
            </w:pPr>
            <w:r>
              <w:rPr>
                <w:rFonts w:eastAsia="Times" w:cstheme="minorHAnsi"/>
              </w:rPr>
              <w:t>24</w:t>
            </w:r>
          </w:p>
        </w:tc>
      </w:tr>
      <w:tr w:rsidR="0038731F" w:rsidRPr="0038731F" w14:paraId="4A9992A3" w14:textId="77777777" w:rsidTr="0038731F">
        <w:trPr>
          <w:trHeight w:val="289"/>
          <w:jc w:val="center"/>
        </w:trPr>
        <w:tc>
          <w:tcPr>
            <w:tcW w:w="48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83ED03" w14:textId="77777777" w:rsidR="0038731F" w:rsidRPr="0038731F" w:rsidRDefault="0038731F" w:rsidP="0038731F">
            <w:pPr>
              <w:spacing w:after="0" w:line="240" w:lineRule="auto"/>
              <w:rPr>
                <w:rFonts w:eastAsia="Times" w:cstheme="minorHAnsi"/>
              </w:rPr>
            </w:pPr>
            <w:r w:rsidRPr="0038731F">
              <w:rPr>
                <w:rFonts w:eastAsia="Times" w:cstheme="minorHAnsi"/>
              </w:rPr>
              <w:t>Cobertura y Focalización</w:t>
            </w: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tcPr>
          <w:p w14:paraId="69285033" w14:textId="77777777" w:rsidR="0038731F" w:rsidRPr="0038731F" w:rsidRDefault="0038731F" w:rsidP="0038731F">
            <w:pPr>
              <w:spacing w:after="0" w:line="240" w:lineRule="auto"/>
              <w:jc w:val="center"/>
              <w:rPr>
                <w:rFonts w:eastAsia="Times" w:cstheme="minorHAnsi"/>
              </w:rPr>
            </w:pPr>
            <w:r>
              <w:rPr>
                <w:rFonts w:eastAsia="Times" w:cstheme="minorHAnsi"/>
              </w:rPr>
              <w:t>4</w:t>
            </w:r>
          </w:p>
        </w:tc>
      </w:tr>
      <w:tr w:rsidR="0038731F" w:rsidRPr="0038731F" w14:paraId="3DDE4EFF" w14:textId="77777777" w:rsidTr="0038731F">
        <w:trPr>
          <w:trHeight w:val="289"/>
          <w:jc w:val="center"/>
        </w:trPr>
        <w:tc>
          <w:tcPr>
            <w:tcW w:w="48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9B5674" w14:textId="77777777" w:rsidR="0038731F" w:rsidRPr="0038731F" w:rsidRDefault="0038731F" w:rsidP="0038731F">
            <w:pPr>
              <w:spacing w:after="0" w:line="240" w:lineRule="auto"/>
              <w:rPr>
                <w:rFonts w:eastAsia="Times" w:cstheme="minorHAnsi"/>
              </w:rPr>
            </w:pPr>
            <w:r w:rsidRPr="0038731F">
              <w:rPr>
                <w:rFonts w:eastAsia="Times" w:cstheme="minorHAnsi"/>
              </w:rPr>
              <w:t>Operación</w:t>
            </w: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04E72" w14:textId="77777777" w:rsidR="0038731F" w:rsidRPr="0038731F" w:rsidRDefault="0038731F" w:rsidP="0038731F">
            <w:pPr>
              <w:spacing w:after="0" w:line="240" w:lineRule="auto"/>
              <w:jc w:val="center"/>
              <w:rPr>
                <w:rFonts w:eastAsia="Times" w:cstheme="minorHAnsi"/>
              </w:rPr>
            </w:pPr>
            <w:r>
              <w:rPr>
                <w:rFonts w:eastAsia="Times" w:cstheme="minorHAnsi"/>
              </w:rPr>
              <w:t>48</w:t>
            </w:r>
          </w:p>
        </w:tc>
      </w:tr>
      <w:tr w:rsidR="0038731F" w:rsidRPr="0038731F" w14:paraId="67086180" w14:textId="77777777" w:rsidTr="0038731F">
        <w:trPr>
          <w:trHeight w:val="289"/>
          <w:jc w:val="center"/>
        </w:trPr>
        <w:tc>
          <w:tcPr>
            <w:tcW w:w="48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895AF1" w14:textId="77777777" w:rsidR="0038731F" w:rsidRPr="0038731F" w:rsidRDefault="0038731F" w:rsidP="0038731F">
            <w:pPr>
              <w:spacing w:after="0" w:line="240" w:lineRule="auto"/>
              <w:rPr>
                <w:rFonts w:eastAsia="Times" w:cstheme="minorHAnsi"/>
              </w:rPr>
            </w:pPr>
            <w:r w:rsidRPr="0038731F">
              <w:rPr>
                <w:rFonts w:eastAsia="Times" w:cstheme="minorHAnsi"/>
              </w:rPr>
              <w:t>Percepción de la Población Atendida</w:t>
            </w: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4727BE8" w14:textId="77777777" w:rsidR="0038731F" w:rsidRPr="0038731F" w:rsidRDefault="0038731F" w:rsidP="0038731F">
            <w:pPr>
              <w:spacing w:after="0" w:line="240" w:lineRule="auto"/>
              <w:jc w:val="center"/>
              <w:rPr>
                <w:rFonts w:eastAsia="Times" w:cstheme="minorHAnsi"/>
              </w:rPr>
            </w:pPr>
            <w:r>
              <w:rPr>
                <w:rFonts w:eastAsia="Times" w:cstheme="minorHAnsi"/>
              </w:rPr>
              <w:t>4</w:t>
            </w:r>
          </w:p>
        </w:tc>
      </w:tr>
      <w:tr w:rsidR="0038731F" w:rsidRPr="0038731F" w14:paraId="497F9640" w14:textId="77777777" w:rsidTr="0038731F">
        <w:trPr>
          <w:trHeight w:val="289"/>
          <w:jc w:val="center"/>
        </w:trPr>
        <w:tc>
          <w:tcPr>
            <w:tcW w:w="48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914CD5" w14:textId="77777777" w:rsidR="0038731F" w:rsidRPr="0038731F" w:rsidRDefault="0038731F" w:rsidP="0038731F">
            <w:pPr>
              <w:spacing w:after="0" w:line="240" w:lineRule="auto"/>
              <w:rPr>
                <w:rFonts w:eastAsia="Times" w:cstheme="minorHAnsi"/>
              </w:rPr>
            </w:pPr>
            <w:r w:rsidRPr="0038731F">
              <w:rPr>
                <w:rFonts w:eastAsia="Times" w:cstheme="minorHAnsi"/>
              </w:rPr>
              <w:t>Medición de Resultados</w:t>
            </w: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3D5F59" w14:textId="77777777" w:rsidR="0038731F" w:rsidRPr="0038731F" w:rsidRDefault="0038731F" w:rsidP="0038731F">
            <w:pPr>
              <w:spacing w:after="0" w:line="240" w:lineRule="auto"/>
              <w:jc w:val="center"/>
              <w:rPr>
                <w:rFonts w:eastAsia="Times" w:cstheme="minorHAnsi"/>
              </w:rPr>
            </w:pPr>
            <w:r>
              <w:rPr>
                <w:rFonts w:eastAsia="Times" w:cstheme="minorHAnsi"/>
              </w:rPr>
              <w:t>20</w:t>
            </w:r>
          </w:p>
        </w:tc>
      </w:tr>
      <w:tr w:rsidR="0038731F" w:rsidRPr="0038731F" w14:paraId="4DD92D31" w14:textId="77777777" w:rsidTr="0038731F">
        <w:trPr>
          <w:trHeight w:val="289"/>
          <w:jc w:val="center"/>
        </w:trPr>
        <w:tc>
          <w:tcPr>
            <w:tcW w:w="487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EB3E294" w14:textId="77777777" w:rsidR="0038731F" w:rsidRPr="0038731F" w:rsidRDefault="0038731F" w:rsidP="0038731F">
            <w:pPr>
              <w:spacing w:after="0" w:line="240" w:lineRule="auto"/>
              <w:rPr>
                <w:rFonts w:eastAsia="Times" w:cstheme="minorHAnsi"/>
                <w:b/>
              </w:rPr>
            </w:pPr>
            <w:r w:rsidRPr="0038731F">
              <w:rPr>
                <w:rFonts w:eastAsia="Times" w:cstheme="minorHAnsi"/>
                <w:b/>
              </w:rPr>
              <w:t>TOTAL</w:t>
            </w:r>
          </w:p>
        </w:tc>
        <w:tc>
          <w:tcPr>
            <w:tcW w:w="18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080CA1" w14:textId="77777777" w:rsidR="0038731F" w:rsidRPr="0038731F" w:rsidRDefault="0038731F" w:rsidP="0038731F">
            <w:pPr>
              <w:spacing w:after="0" w:line="240" w:lineRule="auto"/>
              <w:jc w:val="center"/>
              <w:rPr>
                <w:rFonts w:eastAsia="Times" w:cstheme="minorHAnsi"/>
                <w:b/>
              </w:rPr>
            </w:pPr>
            <w:r>
              <w:rPr>
                <w:rFonts w:eastAsia="Times" w:cstheme="minorHAnsi"/>
                <w:b/>
              </w:rPr>
              <w:t>136</w:t>
            </w:r>
          </w:p>
        </w:tc>
      </w:tr>
      <w:tr w:rsidR="0038731F" w:rsidRPr="0038731F" w14:paraId="79E042DA" w14:textId="77777777" w:rsidTr="0038731F">
        <w:trPr>
          <w:trHeight w:val="289"/>
          <w:jc w:val="center"/>
        </w:trPr>
        <w:tc>
          <w:tcPr>
            <w:tcW w:w="6776"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FA78D31" w14:textId="77777777" w:rsidR="0038731F" w:rsidRPr="0038731F" w:rsidRDefault="0038731F" w:rsidP="0038731F">
            <w:pPr>
              <w:spacing w:after="0" w:line="240" w:lineRule="auto"/>
              <w:rPr>
                <w:rFonts w:eastAsia="Times" w:cstheme="minorHAnsi"/>
                <w:sz w:val="18"/>
              </w:rPr>
            </w:pPr>
            <w:r w:rsidRPr="0038731F">
              <w:rPr>
                <w:rFonts w:eastAsia="Times" w:cstheme="minorHAnsi"/>
                <w:sz w:val="18"/>
              </w:rPr>
              <w:t>Fuente: TdR CONEVAL Evaluación de Consistencia y Resultado</w:t>
            </w:r>
            <w:r>
              <w:rPr>
                <w:rFonts w:eastAsia="Times" w:cstheme="minorHAnsi"/>
                <w:sz w:val="18"/>
              </w:rPr>
              <w:t>s.</w:t>
            </w:r>
          </w:p>
        </w:tc>
      </w:tr>
    </w:tbl>
    <w:p w14:paraId="2B718BEC" w14:textId="77777777" w:rsidR="00320E21" w:rsidRPr="0038731F" w:rsidRDefault="00320E21" w:rsidP="009207C6">
      <w:pPr>
        <w:spacing w:after="240"/>
        <w:jc w:val="both"/>
        <w:rPr>
          <w:rFonts w:ascii="Century Gothic" w:hAnsi="Century Gothic" w:cs="Arial"/>
          <w:color w:val="000000"/>
          <w:sz w:val="4"/>
          <w:szCs w:val="24"/>
        </w:rPr>
      </w:pPr>
      <w:r>
        <w:rPr>
          <w:rFonts w:ascii="Century Gothic" w:hAnsi="Century Gothic" w:cs="Arial"/>
          <w:color w:val="000000"/>
          <w:sz w:val="24"/>
          <w:szCs w:val="24"/>
        </w:rPr>
        <w:t xml:space="preserve"> </w:t>
      </w:r>
    </w:p>
    <w:p w14:paraId="3E11B7C6" w14:textId="77777777" w:rsidR="0086483D" w:rsidRDefault="0086483D" w:rsidP="009207C6">
      <w:pPr>
        <w:spacing w:after="240"/>
        <w:jc w:val="both"/>
        <w:rPr>
          <w:rFonts w:ascii="Century Gothic" w:hAnsi="Century Gothic" w:cs="Arial"/>
          <w:color w:val="000000"/>
          <w:sz w:val="24"/>
          <w:szCs w:val="24"/>
        </w:rPr>
      </w:pPr>
      <w:r>
        <w:rPr>
          <w:rFonts w:ascii="Century Gothic" w:hAnsi="Century Gothic"/>
          <w:sz w:val="24"/>
          <w:szCs w:val="24"/>
        </w:rPr>
        <w:t>Es necesario aclarar que c</w:t>
      </w:r>
      <w:r w:rsidRPr="002A0D3F">
        <w:rPr>
          <w:rFonts w:ascii="Century Gothic" w:hAnsi="Century Gothic"/>
          <w:sz w:val="24"/>
          <w:szCs w:val="24"/>
        </w:rPr>
        <w:t>on la metodología establecida en los TdR de CONEVAL se cuantifica los elementos requeridos por la normatividad, sin embargo no se conside</w:t>
      </w:r>
      <w:r>
        <w:rPr>
          <w:rFonts w:ascii="Century Gothic" w:hAnsi="Century Gothic"/>
          <w:sz w:val="24"/>
          <w:szCs w:val="24"/>
        </w:rPr>
        <w:t>ra la calidad de su diseño. S</w:t>
      </w:r>
      <w:r w:rsidRPr="002A0D3F">
        <w:rPr>
          <w:rFonts w:ascii="Century Gothic" w:hAnsi="Century Gothic"/>
          <w:sz w:val="24"/>
          <w:szCs w:val="24"/>
        </w:rPr>
        <w:t>implemente califica si se cuenta con los atributos pero no la calidad de estos, es decir, que la metodología de CONEVAL, se da más como un manual de auditoría, al ser  un proceso de confrontación de dichos contra hechos y no de cualificación de resultados.</w:t>
      </w:r>
      <w:r>
        <w:rPr>
          <w:rFonts w:ascii="Century Gothic" w:hAnsi="Century Gothic"/>
          <w:sz w:val="24"/>
          <w:szCs w:val="24"/>
        </w:rPr>
        <w:t xml:space="preserve"> Por lo que TECSO distingue</w:t>
      </w:r>
      <w:r w:rsidRPr="002A0D3F">
        <w:rPr>
          <w:rFonts w:ascii="Century Gothic" w:hAnsi="Century Gothic"/>
          <w:sz w:val="24"/>
          <w:szCs w:val="24"/>
        </w:rPr>
        <w:t xml:space="preserve"> la valoración numérica propuesta por CONEVAL obtenida a partir de lo declarado por la institución, de una evaluación que implica investigación y confrontación con di</w:t>
      </w:r>
      <w:r>
        <w:rPr>
          <w:rFonts w:ascii="Century Gothic" w:hAnsi="Century Gothic"/>
          <w:sz w:val="24"/>
          <w:szCs w:val="24"/>
        </w:rPr>
        <w:t>stintas fuentes de información,</w:t>
      </w:r>
      <w:r w:rsidRPr="002A0D3F">
        <w:rPr>
          <w:rFonts w:ascii="Century Gothic" w:hAnsi="Century Gothic"/>
          <w:sz w:val="24"/>
          <w:szCs w:val="24"/>
        </w:rPr>
        <w:t xml:space="preserve"> no sólo con la que se señala en el cuestionario.</w:t>
      </w:r>
    </w:p>
    <w:p w14:paraId="48C3F501" w14:textId="77777777" w:rsidR="0027320C" w:rsidRDefault="0086483D" w:rsidP="009207C6">
      <w:pPr>
        <w:spacing w:after="240"/>
        <w:jc w:val="both"/>
        <w:rPr>
          <w:rFonts w:ascii="Century Gothic" w:hAnsi="Century Gothic" w:cs="Arial"/>
          <w:bCs/>
          <w:color w:val="000000"/>
          <w:sz w:val="24"/>
          <w:szCs w:val="24"/>
        </w:rPr>
      </w:pPr>
      <w:r>
        <w:rPr>
          <w:rFonts w:ascii="Century Gothic" w:hAnsi="Century Gothic" w:cs="Arial"/>
          <w:bCs/>
          <w:color w:val="000000"/>
          <w:sz w:val="24"/>
          <w:szCs w:val="24"/>
        </w:rPr>
        <w:t>Ante ello para l</w:t>
      </w:r>
      <w:r w:rsidR="001D2883">
        <w:rPr>
          <w:rFonts w:ascii="Century Gothic" w:hAnsi="Century Gothic" w:cs="Arial"/>
          <w:bCs/>
          <w:color w:val="000000"/>
          <w:sz w:val="24"/>
          <w:szCs w:val="24"/>
        </w:rPr>
        <w:t>a perspectiva de análisis</w:t>
      </w:r>
      <w:r>
        <w:rPr>
          <w:rFonts w:ascii="Century Gothic" w:hAnsi="Century Gothic" w:cs="Arial"/>
          <w:bCs/>
          <w:color w:val="000000"/>
          <w:sz w:val="24"/>
          <w:szCs w:val="24"/>
        </w:rPr>
        <w:t xml:space="preserve">, </w:t>
      </w:r>
      <w:r w:rsidR="0027320C" w:rsidRPr="00CF798C">
        <w:rPr>
          <w:rFonts w:ascii="Century Gothic" w:hAnsi="Century Gothic" w:cs="Arial"/>
          <w:bCs/>
          <w:color w:val="000000"/>
          <w:sz w:val="24"/>
          <w:szCs w:val="24"/>
        </w:rPr>
        <w:t xml:space="preserve">TECSO ubica el ámbito de la </w:t>
      </w:r>
      <w:r w:rsidR="0027320C" w:rsidRPr="00CF798C">
        <w:rPr>
          <w:rFonts w:ascii="Century Gothic" w:hAnsi="Century Gothic" w:cs="Arial"/>
          <w:b/>
          <w:bCs/>
          <w:color w:val="000000"/>
          <w:sz w:val="24"/>
          <w:szCs w:val="24"/>
        </w:rPr>
        <w:t>consistencia</w:t>
      </w:r>
      <w:r w:rsidR="0027320C" w:rsidRPr="00CF798C">
        <w:rPr>
          <w:rFonts w:ascii="Century Gothic" w:hAnsi="Century Gothic" w:cs="Arial"/>
          <w:bCs/>
          <w:color w:val="000000"/>
          <w:sz w:val="24"/>
          <w:szCs w:val="24"/>
        </w:rPr>
        <w:t xml:space="preserve"> en la ejecución del programa con los rubros de Diseño y Planeación. Esto se explica en función de que el ejercicio de los recursos públicos de un programa tendría que buscar una alineación coherente con objetivos de política pública, en los diferentes niveles de gobierno (desde el Municipal hasta el Federal), lo cual se evalúa en términos de cumplimiento de la normatividad vigente –Leyes, Lineamientos, reglamentos, etc.- así como en la coherencia técnica con la que se plantee la resolución de los instrumentos de planeación y seguimiento.</w:t>
      </w:r>
    </w:p>
    <w:p w14:paraId="209B0B8B" w14:textId="77777777" w:rsidR="007224B3" w:rsidRDefault="007224B3" w:rsidP="009207C6">
      <w:pPr>
        <w:spacing w:after="240"/>
        <w:jc w:val="both"/>
        <w:rPr>
          <w:rFonts w:ascii="Century Gothic" w:hAnsi="Century Gothic" w:cs="Arial"/>
          <w:color w:val="000000"/>
          <w:sz w:val="24"/>
          <w:szCs w:val="24"/>
        </w:rPr>
      </w:pPr>
      <w:r>
        <w:rPr>
          <w:rFonts w:ascii="Century Gothic" w:hAnsi="Century Gothic"/>
          <w:sz w:val="24"/>
          <w:szCs w:val="24"/>
        </w:rPr>
        <w:t xml:space="preserve">Además, </w:t>
      </w:r>
      <w:r w:rsidRPr="002A0D3F">
        <w:rPr>
          <w:rFonts w:ascii="Century Gothic" w:hAnsi="Century Gothic"/>
          <w:sz w:val="24"/>
          <w:szCs w:val="24"/>
        </w:rPr>
        <w:t xml:space="preserve">cumpliendo con las prescripciones establecidas por </w:t>
      </w:r>
      <w:r>
        <w:rPr>
          <w:rFonts w:ascii="Century Gothic" w:hAnsi="Century Gothic"/>
          <w:sz w:val="24"/>
          <w:szCs w:val="24"/>
        </w:rPr>
        <w:t xml:space="preserve">la </w:t>
      </w:r>
      <w:r w:rsidRPr="002A0D3F">
        <w:rPr>
          <w:rFonts w:ascii="Century Gothic" w:hAnsi="Century Gothic"/>
          <w:sz w:val="24"/>
          <w:szCs w:val="24"/>
        </w:rPr>
        <w:t>SHCP para la revisión y valoración de la Matriz de Indicadores para Resultados (MIR), el modelo</w:t>
      </w:r>
      <w:r>
        <w:rPr>
          <w:rFonts w:ascii="Century Gothic" w:hAnsi="Century Gothic"/>
          <w:sz w:val="24"/>
          <w:szCs w:val="24"/>
        </w:rPr>
        <w:t xml:space="preserve"> utilizado para el análisis será</w:t>
      </w:r>
      <w:r w:rsidRPr="002A0D3F">
        <w:rPr>
          <w:rFonts w:ascii="Century Gothic" w:hAnsi="Century Gothic"/>
          <w:sz w:val="24"/>
          <w:szCs w:val="24"/>
        </w:rPr>
        <w:t xml:space="preserve"> la </w:t>
      </w:r>
      <w:r>
        <w:rPr>
          <w:rFonts w:ascii="Century Gothic" w:hAnsi="Century Gothic"/>
          <w:sz w:val="24"/>
          <w:szCs w:val="24"/>
        </w:rPr>
        <w:t>Metodología del Marco Lógico (M</w:t>
      </w:r>
      <w:r w:rsidRPr="002A0D3F">
        <w:rPr>
          <w:rFonts w:ascii="Century Gothic" w:hAnsi="Century Gothic"/>
          <w:sz w:val="24"/>
          <w:szCs w:val="24"/>
        </w:rPr>
        <w:t>L),</w:t>
      </w:r>
      <w:r>
        <w:rPr>
          <w:rFonts w:ascii="Century Gothic" w:hAnsi="Century Gothic"/>
          <w:sz w:val="24"/>
          <w:szCs w:val="24"/>
        </w:rPr>
        <w:t xml:space="preserve"> teniendo en cuenta lo establecido en la </w:t>
      </w:r>
      <w:r w:rsidRPr="007224B3">
        <w:rPr>
          <w:rFonts w:ascii="Century Gothic" w:hAnsi="Century Gothic"/>
          <w:i/>
          <w:sz w:val="24"/>
          <w:szCs w:val="24"/>
        </w:rPr>
        <w:t>Guía para el Diseño de la Matriz de Indicadores para Resultados</w:t>
      </w:r>
      <w:r>
        <w:rPr>
          <w:rFonts w:ascii="Century Gothic" w:hAnsi="Century Gothic"/>
          <w:sz w:val="24"/>
          <w:szCs w:val="24"/>
        </w:rPr>
        <w:t xml:space="preserve"> y a </w:t>
      </w:r>
      <w:r>
        <w:rPr>
          <w:rFonts w:ascii="Century Gothic" w:hAnsi="Century Gothic" w:cs="Arial"/>
          <w:color w:val="000000"/>
          <w:sz w:val="24"/>
          <w:szCs w:val="24"/>
        </w:rPr>
        <w:t xml:space="preserve">los </w:t>
      </w:r>
      <w:r w:rsidRPr="007224B3">
        <w:rPr>
          <w:rFonts w:ascii="Century Gothic" w:hAnsi="Century Gothic" w:cs="Arial"/>
          <w:i/>
          <w:color w:val="000000"/>
          <w:sz w:val="24"/>
          <w:szCs w:val="24"/>
        </w:rPr>
        <w:t>Criterios para la Revisión y Actualización de la Matriz de Indicadores para Resultados</w:t>
      </w:r>
      <w:r>
        <w:rPr>
          <w:rFonts w:ascii="Century Gothic" w:hAnsi="Century Gothic" w:cs="Arial"/>
          <w:color w:val="000000"/>
          <w:sz w:val="24"/>
          <w:szCs w:val="24"/>
        </w:rPr>
        <w:t>.</w:t>
      </w:r>
    </w:p>
    <w:p w14:paraId="7716A7B6" w14:textId="77777777" w:rsidR="0027320C" w:rsidRPr="00CF798C" w:rsidRDefault="0027320C" w:rsidP="009207C6">
      <w:pPr>
        <w:spacing w:after="240"/>
        <w:jc w:val="both"/>
        <w:rPr>
          <w:rFonts w:ascii="Century Gothic" w:hAnsi="Century Gothic" w:cs="Arial"/>
          <w:bCs/>
          <w:color w:val="000000"/>
          <w:sz w:val="24"/>
          <w:szCs w:val="24"/>
        </w:rPr>
      </w:pPr>
      <w:r w:rsidRPr="00CF798C">
        <w:rPr>
          <w:rFonts w:ascii="Century Gothic" w:hAnsi="Century Gothic" w:cs="Arial"/>
          <w:bCs/>
          <w:color w:val="000000"/>
          <w:sz w:val="24"/>
          <w:szCs w:val="24"/>
        </w:rPr>
        <w:lastRenderedPageBreak/>
        <w:t>E</w:t>
      </w:r>
      <w:r w:rsidR="007224B3">
        <w:rPr>
          <w:rFonts w:ascii="Century Gothic" w:hAnsi="Century Gothic" w:cs="Arial"/>
          <w:bCs/>
          <w:color w:val="000000"/>
          <w:sz w:val="24"/>
          <w:szCs w:val="24"/>
        </w:rPr>
        <w:t>n e</w:t>
      </w:r>
      <w:r w:rsidRPr="00CF798C">
        <w:rPr>
          <w:rFonts w:ascii="Century Gothic" w:hAnsi="Century Gothic" w:cs="Arial"/>
          <w:bCs/>
          <w:color w:val="000000"/>
          <w:sz w:val="24"/>
          <w:szCs w:val="24"/>
        </w:rPr>
        <w:t xml:space="preserve">l ámbito temático que se concentra en la parte de los </w:t>
      </w:r>
      <w:r w:rsidRPr="00CF798C">
        <w:rPr>
          <w:rFonts w:ascii="Century Gothic" w:hAnsi="Century Gothic" w:cs="Arial"/>
          <w:b/>
          <w:bCs/>
          <w:color w:val="000000"/>
          <w:sz w:val="24"/>
          <w:szCs w:val="24"/>
        </w:rPr>
        <w:t>resultados</w:t>
      </w:r>
      <w:r w:rsidRPr="00CF798C">
        <w:rPr>
          <w:rFonts w:ascii="Century Gothic" w:hAnsi="Century Gothic" w:cs="Arial"/>
          <w:bCs/>
          <w:color w:val="000000"/>
          <w:sz w:val="24"/>
          <w:szCs w:val="24"/>
        </w:rPr>
        <w:t xml:space="preserve"> incluye los asuntos operativos donde la planeación </w:t>
      </w:r>
      <w:r w:rsidR="00883083" w:rsidRPr="00CF798C">
        <w:rPr>
          <w:rFonts w:ascii="Century Gothic" w:hAnsi="Century Gothic" w:cs="Arial"/>
          <w:bCs/>
          <w:color w:val="000000"/>
          <w:sz w:val="24"/>
          <w:szCs w:val="24"/>
        </w:rPr>
        <w:t>debería funcionar</w:t>
      </w:r>
      <w:r w:rsidRPr="00CF798C">
        <w:rPr>
          <w:rFonts w:ascii="Century Gothic" w:hAnsi="Century Gothic" w:cs="Arial"/>
          <w:bCs/>
          <w:color w:val="000000"/>
          <w:sz w:val="24"/>
          <w:szCs w:val="24"/>
        </w:rPr>
        <w:t>: cobertura y focalización de la población definida, los procesos operativos y de rendición de cuentas, así como la percepción de los beneficiarios del programa.</w:t>
      </w:r>
    </w:p>
    <w:p w14:paraId="3B2CF79D" w14:textId="77777777" w:rsidR="0027320C" w:rsidRDefault="0027320C" w:rsidP="009207C6">
      <w:pPr>
        <w:spacing w:after="240"/>
        <w:jc w:val="both"/>
        <w:rPr>
          <w:rFonts w:ascii="Century Gothic" w:hAnsi="Century Gothic" w:cs="Arial"/>
          <w:bCs/>
          <w:color w:val="000000"/>
          <w:sz w:val="24"/>
          <w:szCs w:val="24"/>
        </w:rPr>
      </w:pPr>
      <w:r w:rsidRPr="00CF798C">
        <w:rPr>
          <w:rFonts w:ascii="Century Gothic" w:hAnsi="Century Gothic" w:cs="Arial"/>
          <w:bCs/>
          <w:color w:val="000000"/>
          <w:sz w:val="24"/>
          <w:szCs w:val="24"/>
        </w:rPr>
        <w:t>Así es como la evaluación de consistencia y resultados se convierte en un ejercicio integral mediante el cual intentamos potenciar la mejora del programa en términos de eficacia y eficiencia social.</w:t>
      </w:r>
      <w:r w:rsidRPr="00CF798C">
        <w:rPr>
          <w:rFonts w:ascii="Century Gothic" w:hAnsi="Century Gothic" w:cs="Arial"/>
          <w:bCs/>
          <w:color w:val="000000"/>
          <w:sz w:val="24"/>
          <w:szCs w:val="24"/>
          <w:vertAlign w:val="superscript"/>
        </w:rPr>
        <w:footnoteReference w:id="3"/>
      </w:r>
      <w:r w:rsidRPr="00CF798C">
        <w:rPr>
          <w:rFonts w:ascii="Century Gothic" w:hAnsi="Century Gothic" w:cs="Arial"/>
          <w:bCs/>
          <w:color w:val="000000"/>
          <w:sz w:val="24"/>
          <w:szCs w:val="24"/>
        </w:rPr>
        <w:t xml:space="preserve"> Es importante reconocer que hay un balance preciso en los TdR del CONEVAL en los dos ámbitos que se evalúan.</w:t>
      </w:r>
    </w:p>
    <w:p w14:paraId="47241DAC" w14:textId="77777777" w:rsidR="0086483D" w:rsidRDefault="0086483D">
      <w:pPr>
        <w:rPr>
          <w:rFonts w:ascii="Century Gothic" w:eastAsiaTheme="majorEastAsia" w:hAnsi="Century Gothic" w:cstheme="majorBidi"/>
          <w:b/>
          <w:color w:val="0E4E7A"/>
          <w:sz w:val="32"/>
          <w:szCs w:val="32"/>
        </w:rPr>
      </w:pPr>
      <w:bookmarkStart w:id="3" w:name="_Toc505364419"/>
      <w:r>
        <w:rPr>
          <w:rFonts w:ascii="Century Gothic" w:hAnsi="Century Gothic"/>
          <w:b/>
          <w:color w:val="0E4E7A"/>
        </w:rPr>
        <w:br w:type="page"/>
      </w:r>
    </w:p>
    <w:p w14:paraId="4F932EF1" w14:textId="77777777" w:rsidR="007A37F4" w:rsidRPr="00057E61" w:rsidRDefault="0031424F" w:rsidP="00282C90">
      <w:pPr>
        <w:pStyle w:val="Ttulo1"/>
        <w:numPr>
          <w:ilvl w:val="0"/>
          <w:numId w:val="21"/>
        </w:numPr>
        <w:spacing w:before="0" w:after="240"/>
        <w:ind w:left="284" w:firstLine="0"/>
        <w:rPr>
          <w:rFonts w:ascii="Century Gothic" w:hAnsi="Century Gothic"/>
          <w:b/>
          <w:color w:val="0E4E7A"/>
        </w:rPr>
      </w:pPr>
      <w:bookmarkStart w:id="4" w:name="_Toc511859762"/>
      <w:r w:rsidRPr="00057E61">
        <w:rPr>
          <w:rFonts w:ascii="Century Gothic" w:hAnsi="Century Gothic"/>
          <w:b/>
          <w:color w:val="0E4E7A"/>
        </w:rPr>
        <w:lastRenderedPageBreak/>
        <w:t>A</w:t>
      </w:r>
      <w:r w:rsidR="007A37F4" w:rsidRPr="00057E61">
        <w:rPr>
          <w:rFonts w:ascii="Century Gothic" w:hAnsi="Century Gothic"/>
          <w:b/>
          <w:color w:val="0E4E7A"/>
        </w:rPr>
        <w:t>nálisis del contexto</w:t>
      </w:r>
      <w:bookmarkEnd w:id="4"/>
    </w:p>
    <w:p w14:paraId="5C7CBD20" w14:textId="77777777" w:rsidR="00675405" w:rsidRDefault="00675405" w:rsidP="00052688">
      <w:pPr>
        <w:spacing w:after="240"/>
        <w:jc w:val="both"/>
        <w:rPr>
          <w:rFonts w:ascii="Century Gothic" w:hAnsi="Century Gothic"/>
          <w:sz w:val="24"/>
          <w:szCs w:val="24"/>
        </w:rPr>
      </w:pPr>
      <w:r w:rsidRPr="00670757">
        <w:rPr>
          <w:rFonts w:ascii="Century Gothic" w:hAnsi="Century Gothic"/>
          <w:sz w:val="24"/>
          <w:szCs w:val="24"/>
        </w:rPr>
        <w:t xml:space="preserve">Considerando que esta evaluación contempla el análisis desde </w:t>
      </w:r>
      <w:r>
        <w:rPr>
          <w:rFonts w:ascii="Century Gothic" w:hAnsi="Century Gothic"/>
          <w:sz w:val="24"/>
          <w:szCs w:val="24"/>
        </w:rPr>
        <w:t>dos dimensiones específicas; e</w:t>
      </w:r>
      <w:r w:rsidRPr="00471CE6">
        <w:rPr>
          <w:rFonts w:ascii="Century Gothic" w:hAnsi="Century Gothic"/>
          <w:sz w:val="24"/>
          <w:szCs w:val="24"/>
        </w:rPr>
        <w:t xml:space="preserve">l análisis del </w:t>
      </w:r>
      <w:r w:rsidRPr="006F7DED">
        <w:rPr>
          <w:rFonts w:ascii="Century Gothic" w:hAnsi="Century Gothic"/>
          <w:b/>
          <w:sz w:val="24"/>
          <w:szCs w:val="24"/>
        </w:rPr>
        <w:t>Fondo para el Fortalecimiento de las Entidades Federativas (FAFEF)</w:t>
      </w:r>
      <w:r>
        <w:rPr>
          <w:rFonts w:ascii="Century Gothic" w:hAnsi="Century Gothic"/>
          <w:sz w:val="24"/>
          <w:szCs w:val="24"/>
        </w:rPr>
        <w:t xml:space="preserve">, el cual tiene por </w:t>
      </w:r>
      <w:r w:rsidRPr="00ED32B4">
        <w:rPr>
          <w:rFonts w:ascii="Century Gothic" w:hAnsi="Century Gothic"/>
          <w:sz w:val="24"/>
          <w:szCs w:val="24"/>
        </w:rPr>
        <w:t>objetivo evaluar la pertinencia del uso de los recursos y la evaluación de Consistencia y Resultados del programa “</w:t>
      </w:r>
      <w:r w:rsidRPr="00ED32B4">
        <w:rPr>
          <w:rFonts w:ascii="Century Gothic" w:hAnsi="Century Gothic"/>
          <w:b/>
          <w:sz w:val="24"/>
          <w:szCs w:val="24"/>
        </w:rPr>
        <w:t>Infraestructura no Habitacional</w:t>
      </w:r>
      <w:r w:rsidRPr="00ED32B4">
        <w:rPr>
          <w:rFonts w:ascii="Century Gothic" w:hAnsi="Century Gothic"/>
          <w:sz w:val="24"/>
          <w:szCs w:val="24"/>
        </w:rPr>
        <w:t>”, para el ejercicio fiscal 2017</w:t>
      </w:r>
      <w:r>
        <w:rPr>
          <w:rFonts w:ascii="Century Gothic" w:hAnsi="Century Gothic"/>
          <w:sz w:val="24"/>
          <w:szCs w:val="24"/>
        </w:rPr>
        <w:t xml:space="preserve">. En este apartado se dará un breve contexto de la normatividad que regula el FAFEF, así como de las limitaciones que este presenta al no contar con lineamientos o reglas específicas; finalizando con un análisis de la inversión del recurso </w:t>
      </w:r>
      <w:r w:rsidR="00057E61">
        <w:rPr>
          <w:rFonts w:ascii="Century Gothic" w:hAnsi="Century Gothic"/>
          <w:sz w:val="24"/>
          <w:szCs w:val="24"/>
        </w:rPr>
        <w:t xml:space="preserve">del Fondo </w:t>
      </w:r>
      <w:r>
        <w:rPr>
          <w:rFonts w:ascii="Century Gothic" w:hAnsi="Century Gothic"/>
          <w:sz w:val="24"/>
          <w:szCs w:val="24"/>
        </w:rPr>
        <w:t>por parte de la SEIDUR.</w:t>
      </w:r>
    </w:p>
    <w:p w14:paraId="38704BD8" w14:textId="77777777" w:rsidR="00675405" w:rsidRPr="00282C90" w:rsidRDefault="00282C90" w:rsidP="00282C90">
      <w:pPr>
        <w:pStyle w:val="Ttulo2"/>
        <w:spacing w:before="0" w:after="240"/>
        <w:ind w:left="284"/>
        <w:rPr>
          <w:rFonts w:ascii="Century Gothic" w:hAnsi="Century Gothic"/>
          <w:color w:val="0E4E7A"/>
          <w:sz w:val="28"/>
        </w:rPr>
      </w:pPr>
      <w:bookmarkStart w:id="5" w:name="_Toc511859763"/>
      <w:r>
        <w:rPr>
          <w:rFonts w:ascii="Century Gothic" w:hAnsi="Century Gothic"/>
          <w:color w:val="0E4E7A"/>
          <w:sz w:val="28"/>
        </w:rPr>
        <w:t xml:space="preserve">1.1 </w:t>
      </w:r>
      <w:r w:rsidR="007838DA" w:rsidRPr="00282C90">
        <w:rPr>
          <w:rFonts w:ascii="Century Gothic" w:hAnsi="Century Gothic"/>
          <w:color w:val="0E4E7A"/>
          <w:sz w:val="28"/>
        </w:rPr>
        <w:t xml:space="preserve">Creación del Ramo General </w:t>
      </w:r>
      <w:r w:rsidR="00057E61" w:rsidRPr="00282C90">
        <w:rPr>
          <w:rFonts w:ascii="Century Gothic" w:hAnsi="Century Gothic"/>
          <w:color w:val="0E4E7A"/>
          <w:sz w:val="28"/>
        </w:rPr>
        <w:t xml:space="preserve">33, </w:t>
      </w:r>
      <w:r w:rsidR="007838DA" w:rsidRPr="00282C90">
        <w:rPr>
          <w:rFonts w:ascii="Century Gothic" w:hAnsi="Century Gothic"/>
          <w:color w:val="0E4E7A"/>
          <w:sz w:val="28"/>
        </w:rPr>
        <w:t>y del FAFEF</w:t>
      </w:r>
      <w:bookmarkEnd w:id="5"/>
    </w:p>
    <w:p w14:paraId="471A616E" w14:textId="77777777" w:rsidR="00675405" w:rsidRDefault="00057E61" w:rsidP="004261FE">
      <w:pPr>
        <w:spacing w:after="240"/>
        <w:jc w:val="both"/>
        <w:rPr>
          <w:rFonts w:ascii="Century Gothic" w:hAnsi="Century Gothic" w:cs="Arial"/>
          <w:bCs/>
          <w:sz w:val="24"/>
          <w:szCs w:val="24"/>
        </w:rPr>
      </w:pPr>
      <w:r w:rsidRPr="00057E61">
        <w:rPr>
          <w:rFonts w:ascii="Century Gothic" w:hAnsi="Century Gothic" w:cs="Arial"/>
          <w:bCs/>
          <w:sz w:val="24"/>
          <w:szCs w:val="24"/>
        </w:rPr>
        <w:t>Desde la década de los noventa, México ha estado inmerso en un proceso de descentralización</w:t>
      </w:r>
      <w:r>
        <w:rPr>
          <w:rFonts w:ascii="Century Gothic" w:hAnsi="Century Gothic" w:cs="Arial"/>
          <w:bCs/>
          <w:sz w:val="24"/>
          <w:szCs w:val="24"/>
        </w:rPr>
        <w:t xml:space="preserve"> </w:t>
      </w:r>
      <w:r w:rsidRPr="00057E61">
        <w:rPr>
          <w:rFonts w:ascii="Century Gothic" w:hAnsi="Century Gothic" w:cs="Arial"/>
          <w:bCs/>
          <w:sz w:val="24"/>
          <w:szCs w:val="24"/>
        </w:rPr>
        <w:t>de la acción pública</w:t>
      </w:r>
      <w:r>
        <w:rPr>
          <w:rFonts w:ascii="Century Gothic" w:hAnsi="Century Gothic" w:cs="Arial"/>
          <w:bCs/>
          <w:sz w:val="24"/>
          <w:szCs w:val="24"/>
        </w:rPr>
        <w:t>, e</w:t>
      </w:r>
      <w:r w:rsidRPr="00057E61">
        <w:rPr>
          <w:rFonts w:ascii="Century Gothic" w:hAnsi="Century Gothic" w:cs="Arial"/>
          <w:bCs/>
          <w:sz w:val="24"/>
          <w:szCs w:val="24"/>
        </w:rPr>
        <w:t xml:space="preserve">ste proceso se profundizó con la creación del Ramo </w:t>
      </w:r>
      <w:r w:rsidR="002C6341" w:rsidRPr="002C6341">
        <w:rPr>
          <w:rFonts w:ascii="Century Gothic" w:hAnsi="Century Gothic" w:cs="Arial"/>
          <w:bCs/>
          <w:sz w:val="24"/>
          <w:szCs w:val="24"/>
        </w:rPr>
        <w:t>General 33 “Aportaciones Federales para Entidades Federativas y Municipios”</w:t>
      </w:r>
      <w:r w:rsidR="002C6341">
        <w:rPr>
          <w:rFonts w:ascii="Century Gothic" w:hAnsi="Century Gothic" w:cs="Arial"/>
          <w:bCs/>
          <w:sz w:val="24"/>
          <w:szCs w:val="24"/>
        </w:rPr>
        <w:t xml:space="preserve"> (Ramo 33)</w:t>
      </w:r>
      <w:r w:rsidRPr="00057E61">
        <w:rPr>
          <w:rFonts w:ascii="Century Gothic" w:hAnsi="Century Gothic" w:cs="Arial"/>
          <w:bCs/>
          <w:sz w:val="24"/>
          <w:szCs w:val="24"/>
        </w:rPr>
        <w:t xml:space="preserve"> a partir de la reforma a la Ley de</w:t>
      </w:r>
      <w:r>
        <w:rPr>
          <w:rFonts w:ascii="Century Gothic" w:hAnsi="Century Gothic" w:cs="Arial"/>
          <w:bCs/>
          <w:sz w:val="24"/>
          <w:szCs w:val="24"/>
        </w:rPr>
        <w:t xml:space="preserve"> </w:t>
      </w:r>
      <w:r w:rsidRPr="00057E61">
        <w:rPr>
          <w:rFonts w:ascii="Century Gothic" w:hAnsi="Century Gothic" w:cs="Arial"/>
          <w:bCs/>
          <w:sz w:val="24"/>
          <w:szCs w:val="24"/>
        </w:rPr>
        <w:t>Coordinación Fiscal en 1997</w:t>
      </w:r>
      <w:r>
        <w:rPr>
          <w:rFonts w:ascii="Century Gothic" w:hAnsi="Century Gothic" w:cs="Arial"/>
          <w:bCs/>
          <w:sz w:val="24"/>
          <w:szCs w:val="24"/>
        </w:rPr>
        <w:t>, convirtiéndose en una de las vías por las que el gobierno federal tran</w:t>
      </w:r>
      <w:r w:rsidR="00F41AE2">
        <w:rPr>
          <w:rFonts w:ascii="Century Gothic" w:hAnsi="Century Gothic" w:cs="Arial"/>
          <w:bCs/>
          <w:sz w:val="24"/>
          <w:szCs w:val="24"/>
        </w:rPr>
        <w:t>sfiere recursos a las entidades, dicha transferencia está sujeta al cumplimiento de los objetivos de cada uno de los fondos. Estos cambios han sido graduales y han implicado diversas modificaciones a la fecha, tal como se ilustra en la siguiente figura:</w:t>
      </w:r>
    </w:p>
    <w:p w14:paraId="5A188922" w14:textId="77777777" w:rsidR="00057E61" w:rsidRPr="00875574" w:rsidRDefault="003E3B3D" w:rsidP="00690C45">
      <w:pPr>
        <w:spacing w:after="120"/>
        <w:jc w:val="center"/>
        <w:rPr>
          <w:rFonts w:ascii="Century Gothic" w:hAnsi="Century Gothic" w:cs="Arial"/>
          <w:b/>
          <w:bCs/>
          <w:sz w:val="24"/>
          <w:szCs w:val="24"/>
        </w:rPr>
      </w:pPr>
      <w:r>
        <w:rPr>
          <w:rFonts w:ascii="Century Gothic" w:hAnsi="Century Gothic" w:cs="Arial"/>
          <w:b/>
          <w:bCs/>
          <w:sz w:val="24"/>
          <w:szCs w:val="24"/>
        </w:rPr>
        <w:t>Figura 1.1</w:t>
      </w:r>
      <w:r w:rsidR="00875574" w:rsidRPr="00875574">
        <w:rPr>
          <w:rFonts w:ascii="Century Gothic" w:hAnsi="Century Gothic" w:cs="Arial"/>
          <w:b/>
          <w:bCs/>
          <w:sz w:val="24"/>
          <w:szCs w:val="24"/>
        </w:rPr>
        <w:t>. Antecedentes del RAMO 33</w:t>
      </w:r>
    </w:p>
    <w:p w14:paraId="7A51C4D3" w14:textId="77777777" w:rsidR="00675405" w:rsidRDefault="00875574" w:rsidP="004261FE">
      <w:pPr>
        <w:spacing w:after="0"/>
        <w:jc w:val="both"/>
        <w:rPr>
          <w:rFonts w:ascii="Century Gothic" w:hAnsi="Century Gothic" w:cs="Arial"/>
          <w:bCs/>
          <w:sz w:val="24"/>
          <w:szCs w:val="24"/>
        </w:rPr>
      </w:pPr>
      <w:r>
        <w:rPr>
          <w:rFonts w:ascii="Century Gothic" w:hAnsi="Century Gothic" w:cs="Arial"/>
          <w:bCs/>
          <w:noProof/>
          <w:sz w:val="24"/>
          <w:szCs w:val="24"/>
          <w:lang w:eastAsia="es-MX"/>
        </w:rPr>
        <w:drawing>
          <wp:inline distT="0" distB="0" distL="0" distR="0" wp14:anchorId="03F4A508" wp14:editId="5B6BCF4A">
            <wp:extent cx="5929940" cy="203290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4685" t="3867" r="9224" b="46378"/>
                    <a:stretch/>
                  </pic:blipFill>
                  <pic:spPr bwMode="auto">
                    <a:xfrm>
                      <a:off x="0" y="0"/>
                      <a:ext cx="5934918" cy="2034610"/>
                    </a:xfrm>
                    <a:prstGeom prst="rect">
                      <a:avLst/>
                    </a:prstGeom>
                    <a:noFill/>
                    <a:ln>
                      <a:noFill/>
                    </a:ln>
                    <a:extLst>
                      <a:ext uri="{53640926-AAD7-44D8-BBD7-CCE9431645EC}">
                        <a14:shadowObscured xmlns:a14="http://schemas.microsoft.com/office/drawing/2010/main"/>
                      </a:ext>
                    </a:extLst>
                  </pic:spPr>
                </pic:pic>
              </a:graphicData>
            </a:graphic>
          </wp:inline>
        </w:drawing>
      </w:r>
    </w:p>
    <w:p w14:paraId="2DF8CCF0" w14:textId="77777777" w:rsidR="00875574" w:rsidRPr="00675405" w:rsidRDefault="00875574" w:rsidP="00675405">
      <w:pPr>
        <w:spacing w:after="240"/>
        <w:jc w:val="both"/>
        <w:rPr>
          <w:rFonts w:ascii="Century Gothic" w:hAnsi="Century Gothic" w:cs="Arial"/>
          <w:bCs/>
          <w:sz w:val="24"/>
          <w:szCs w:val="24"/>
        </w:rPr>
      </w:pPr>
      <w:r w:rsidRPr="00875574">
        <w:rPr>
          <w:rFonts w:ascii="Century Gothic" w:hAnsi="Century Gothic" w:cs="Arial"/>
          <w:bCs/>
          <w:sz w:val="20"/>
          <w:szCs w:val="24"/>
        </w:rPr>
        <w:t>Fuente: Elaboración con base a CONEVAL Evaluación delos Fondos de Ramo 33</w:t>
      </w:r>
      <w:r>
        <w:rPr>
          <w:rFonts w:ascii="Century Gothic" w:hAnsi="Century Gothic" w:cs="Arial"/>
          <w:bCs/>
          <w:sz w:val="24"/>
          <w:szCs w:val="24"/>
        </w:rPr>
        <w:t>.</w:t>
      </w:r>
    </w:p>
    <w:p w14:paraId="3CDAD773" w14:textId="77777777" w:rsidR="00B5323F" w:rsidRDefault="00B5323F" w:rsidP="00B5323F">
      <w:pPr>
        <w:spacing w:after="240"/>
        <w:jc w:val="both"/>
        <w:rPr>
          <w:rFonts w:ascii="Century Gothic" w:hAnsi="Century Gothic" w:cs="Arial"/>
          <w:bCs/>
          <w:sz w:val="24"/>
          <w:szCs w:val="24"/>
        </w:rPr>
      </w:pPr>
      <w:r>
        <w:rPr>
          <w:rFonts w:ascii="Century Gothic" w:hAnsi="Century Gothic" w:cs="Arial"/>
          <w:bCs/>
          <w:sz w:val="24"/>
          <w:szCs w:val="24"/>
        </w:rPr>
        <w:lastRenderedPageBreak/>
        <w:t xml:space="preserve">Como se puede observar desde 1997 se inicia el proceso para unificar lo que hoy se conoce como Ramo 33, hasta que finalmente en el 2006 queda compuesto por 8 Fondos, </w:t>
      </w:r>
      <w:r>
        <w:rPr>
          <w:rFonts w:ascii="Century Gothic" w:hAnsi="Century Gothic"/>
          <w:color w:val="000000"/>
        </w:rPr>
        <w:t xml:space="preserve">tal como aparecen en </w:t>
      </w:r>
      <w:r w:rsidR="002C6341">
        <w:rPr>
          <w:rFonts w:ascii="Century Gothic" w:hAnsi="Century Gothic"/>
          <w:color w:val="000000"/>
        </w:rPr>
        <w:t>el</w:t>
      </w:r>
      <w:r>
        <w:rPr>
          <w:rFonts w:ascii="Century Gothic" w:hAnsi="Century Gothic"/>
          <w:color w:val="000000"/>
        </w:rPr>
        <w:t xml:space="preserve"> siguiente</w:t>
      </w:r>
      <w:r w:rsidR="002C6341">
        <w:rPr>
          <w:rFonts w:ascii="Century Gothic" w:hAnsi="Century Gothic"/>
          <w:color w:val="000000"/>
        </w:rPr>
        <w:t xml:space="preserve"> cuadro</w:t>
      </w:r>
      <w:r>
        <w:rPr>
          <w:rFonts w:ascii="Century Gothic" w:hAnsi="Century Gothic"/>
          <w:color w:val="000000"/>
        </w:rPr>
        <w:t>:</w:t>
      </w:r>
    </w:p>
    <w:tbl>
      <w:tblPr>
        <w:tblW w:w="5000" w:type="pct"/>
        <w:jc w:val="center"/>
        <w:tblCellMar>
          <w:left w:w="10" w:type="dxa"/>
          <w:right w:w="10" w:type="dxa"/>
        </w:tblCellMar>
        <w:tblLook w:val="04A0" w:firstRow="1" w:lastRow="0" w:firstColumn="1" w:lastColumn="0" w:noHBand="0" w:noVBand="1"/>
      </w:tblPr>
      <w:tblGrid>
        <w:gridCol w:w="2089"/>
        <w:gridCol w:w="1894"/>
        <w:gridCol w:w="1942"/>
        <w:gridCol w:w="1284"/>
        <w:gridCol w:w="1619"/>
      </w:tblGrid>
      <w:tr w:rsidR="00B5323F" w14:paraId="2AB8B1DC" w14:textId="77777777" w:rsidTr="00354F9E">
        <w:trPr>
          <w:trHeight w:val="374"/>
          <w:tblHeader/>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0E4E7A"/>
            <w:tcMar>
              <w:top w:w="0" w:type="dxa"/>
              <w:left w:w="108" w:type="dxa"/>
              <w:bottom w:w="0" w:type="dxa"/>
              <w:right w:w="108" w:type="dxa"/>
            </w:tcMar>
            <w:vAlign w:val="center"/>
          </w:tcPr>
          <w:p w14:paraId="32881C76" w14:textId="77777777" w:rsidR="00B5323F" w:rsidRDefault="003E3B3D" w:rsidP="00EC0E02">
            <w:pPr>
              <w:spacing w:after="0"/>
              <w:jc w:val="center"/>
              <w:rPr>
                <w:b/>
                <w:color w:val="FFFFFF"/>
                <w:sz w:val="18"/>
                <w:szCs w:val="18"/>
                <w:lang w:eastAsia="es-MX"/>
              </w:rPr>
            </w:pPr>
            <w:r>
              <w:rPr>
                <w:b/>
                <w:color w:val="FFFFFF"/>
                <w:sz w:val="18"/>
                <w:szCs w:val="18"/>
                <w:lang w:eastAsia="es-MX"/>
              </w:rPr>
              <w:t>Cuadro 1.2</w:t>
            </w:r>
            <w:r w:rsidR="00B5323F">
              <w:rPr>
                <w:b/>
                <w:color w:val="FFFFFF"/>
                <w:sz w:val="18"/>
                <w:szCs w:val="18"/>
                <w:lang w:eastAsia="es-MX"/>
              </w:rPr>
              <w:t xml:space="preserve"> Fondos que integran las aportaciones federales a entidades federativas y municipios del Ramo 33</w:t>
            </w:r>
          </w:p>
        </w:tc>
      </w:tr>
      <w:tr w:rsidR="00B5323F" w14:paraId="43A4380D" w14:textId="77777777" w:rsidTr="00EC0E02">
        <w:trPr>
          <w:trHeight w:val="435"/>
          <w:tblHeader/>
          <w:jc w:val="center"/>
        </w:trPr>
        <w:tc>
          <w:tcPr>
            <w:tcW w:w="1183" w:type="pct"/>
            <w:tcBorders>
              <w:top w:val="single" w:sz="4" w:space="0" w:color="000000"/>
              <w:left w:val="single" w:sz="4" w:space="0" w:color="000000"/>
              <w:bottom w:val="single" w:sz="4" w:space="0" w:color="000000"/>
              <w:right w:val="single" w:sz="4" w:space="0" w:color="000000"/>
            </w:tcBorders>
            <w:shd w:val="clear" w:color="auto" w:fill="0E4E7A"/>
            <w:tcMar>
              <w:top w:w="0" w:type="dxa"/>
              <w:left w:w="108" w:type="dxa"/>
              <w:bottom w:w="0" w:type="dxa"/>
              <w:right w:w="108" w:type="dxa"/>
            </w:tcMar>
            <w:vAlign w:val="center"/>
          </w:tcPr>
          <w:p w14:paraId="0A8C1A58" w14:textId="77777777" w:rsidR="00B5323F" w:rsidRDefault="00B5323F" w:rsidP="00EC0E02">
            <w:pPr>
              <w:spacing w:after="0"/>
              <w:jc w:val="center"/>
              <w:rPr>
                <w:color w:val="FFFFFF"/>
                <w:sz w:val="18"/>
                <w:szCs w:val="18"/>
                <w:lang w:eastAsia="es-MX"/>
              </w:rPr>
            </w:pPr>
            <w:r>
              <w:rPr>
                <w:color w:val="FFFFFF"/>
                <w:sz w:val="18"/>
                <w:szCs w:val="18"/>
                <w:lang w:eastAsia="es-MX"/>
              </w:rPr>
              <w:t>Fondo</w:t>
            </w:r>
          </w:p>
        </w:tc>
        <w:tc>
          <w:tcPr>
            <w:tcW w:w="1073" w:type="pct"/>
            <w:tcBorders>
              <w:top w:val="single" w:sz="4" w:space="0" w:color="000000"/>
              <w:left w:val="single" w:sz="4" w:space="0" w:color="000000"/>
              <w:bottom w:val="single" w:sz="4" w:space="0" w:color="000000"/>
              <w:right w:val="single" w:sz="4" w:space="0" w:color="000000"/>
            </w:tcBorders>
            <w:shd w:val="clear" w:color="auto" w:fill="0E4E7A"/>
            <w:tcMar>
              <w:top w:w="0" w:type="dxa"/>
              <w:left w:w="108" w:type="dxa"/>
              <w:bottom w:w="0" w:type="dxa"/>
              <w:right w:w="108" w:type="dxa"/>
            </w:tcMar>
            <w:vAlign w:val="center"/>
          </w:tcPr>
          <w:p w14:paraId="3BDB5824" w14:textId="77777777" w:rsidR="00B5323F" w:rsidRDefault="00B5323F" w:rsidP="00EC0E02">
            <w:pPr>
              <w:spacing w:after="0"/>
              <w:jc w:val="center"/>
              <w:rPr>
                <w:color w:val="FFFFFF"/>
                <w:sz w:val="18"/>
                <w:szCs w:val="18"/>
                <w:lang w:eastAsia="es-MX"/>
              </w:rPr>
            </w:pPr>
            <w:r>
              <w:rPr>
                <w:color w:val="FFFFFF"/>
                <w:sz w:val="18"/>
                <w:szCs w:val="18"/>
                <w:lang w:eastAsia="es-MX"/>
              </w:rPr>
              <w:t>Destino de los recursos</w:t>
            </w:r>
          </w:p>
        </w:tc>
        <w:tc>
          <w:tcPr>
            <w:tcW w:w="1100" w:type="pct"/>
            <w:tcBorders>
              <w:top w:val="single" w:sz="4" w:space="0" w:color="000000"/>
              <w:left w:val="single" w:sz="4" w:space="0" w:color="000000"/>
              <w:bottom w:val="single" w:sz="4" w:space="0" w:color="000000"/>
              <w:right w:val="single" w:sz="4" w:space="0" w:color="000000"/>
            </w:tcBorders>
            <w:shd w:val="clear" w:color="auto" w:fill="0E4E7A"/>
            <w:tcMar>
              <w:top w:w="0" w:type="dxa"/>
              <w:left w:w="108" w:type="dxa"/>
              <w:bottom w:w="0" w:type="dxa"/>
              <w:right w:w="108" w:type="dxa"/>
            </w:tcMar>
            <w:vAlign w:val="center"/>
          </w:tcPr>
          <w:p w14:paraId="68D1436E" w14:textId="77777777" w:rsidR="00B5323F" w:rsidRDefault="00B5323F" w:rsidP="00EC0E02">
            <w:pPr>
              <w:spacing w:after="0"/>
              <w:jc w:val="center"/>
              <w:rPr>
                <w:color w:val="FFFFFF"/>
                <w:sz w:val="18"/>
                <w:szCs w:val="18"/>
                <w:lang w:eastAsia="es-MX"/>
              </w:rPr>
            </w:pPr>
            <w:r>
              <w:rPr>
                <w:color w:val="FFFFFF"/>
                <w:sz w:val="18"/>
                <w:szCs w:val="18"/>
                <w:lang w:eastAsia="es-MX"/>
              </w:rPr>
              <w:t>Antecedente</w:t>
            </w:r>
          </w:p>
        </w:tc>
        <w:tc>
          <w:tcPr>
            <w:tcW w:w="727" w:type="pct"/>
            <w:tcBorders>
              <w:top w:val="single" w:sz="4" w:space="0" w:color="000000"/>
              <w:left w:val="single" w:sz="4" w:space="0" w:color="000000"/>
              <w:bottom w:val="single" w:sz="4" w:space="0" w:color="000000"/>
              <w:right w:val="single" w:sz="4" w:space="0" w:color="000000"/>
            </w:tcBorders>
            <w:shd w:val="clear" w:color="auto" w:fill="0E4E7A"/>
            <w:tcMar>
              <w:top w:w="0" w:type="dxa"/>
              <w:left w:w="108" w:type="dxa"/>
              <w:bottom w:w="0" w:type="dxa"/>
              <w:right w:w="108" w:type="dxa"/>
            </w:tcMar>
            <w:vAlign w:val="center"/>
          </w:tcPr>
          <w:p w14:paraId="3F14B172" w14:textId="77777777" w:rsidR="00B5323F" w:rsidRDefault="00B5323F" w:rsidP="00EC0E02">
            <w:pPr>
              <w:spacing w:after="0"/>
              <w:jc w:val="center"/>
              <w:rPr>
                <w:color w:val="FFFFFF"/>
                <w:sz w:val="18"/>
                <w:szCs w:val="18"/>
                <w:lang w:eastAsia="es-MX"/>
              </w:rPr>
            </w:pPr>
            <w:r>
              <w:rPr>
                <w:color w:val="FFFFFF"/>
                <w:sz w:val="18"/>
                <w:szCs w:val="18"/>
                <w:lang w:eastAsia="es-MX"/>
              </w:rPr>
              <w:t>Año de creación</w:t>
            </w:r>
          </w:p>
        </w:tc>
        <w:tc>
          <w:tcPr>
            <w:tcW w:w="917" w:type="pct"/>
            <w:tcBorders>
              <w:top w:val="single" w:sz="4" w:space="0" w:color="000000"/>
              <w:left w:val="single" w:sz="4" w:space="0" w:color="000000"/>
              <w:bottom w:val="single" w:sz="4" w:space="0" w:color="000000"/>
              <w:right w:val="single" w:sz="4" w:space="0" w:color="000000"/>
            </w:tcBorders>
            <w:shd w:val="clear" w:color="auto" w:fill="0E4E7A"/>
            <w:tcMar>
              <w:top w:w="0" w:type="dxa"/>
              <w:left w:w="108" w:type="dxa"/>
              <w:bottom w:w="0" w:type="dxa"/>
              <w:right w:w="108" w:type="dxa"/>
            </w:tcMar>
            <w:vAlign w:val="center"/>
          </w:tcPr>
          <w:p w14:paraId="17E83E21" w14:textId="77777777" w:rsidR="00B5323F" w:rsidRDefault="00B5323F" w:rsidP="00EC0E02">
            <w:pPr>
              <w:spacing w:after="0"/>
              <w:jc w:val="center"/>
              <w:rPr>
                <w:color w:val="FFFFFF"/>
                <w:sz w:val="18"/>
                <w:szCs w:val="18"/>
                <w:lang w:eastAsia="es-MX"/>
              </w:rPr>
            </w:pPr>
            <w:r>
              <w:rPr>
                <w:color w:val="FFFFFF"/>
                <w:sz w:val="18"/>
                <w:szCs w:val="18"/>
                <w:lang w:eastAsia="es-MX"/>
              </w:rPr>
              <w:t>Dependencia coordinadora</w:t>
            </w:r>
          </w:p>
        </w:tc>
      </w:tr>
      <w:tr w:rsidR="00B5323F" w14:paraId="589FF0AF" w14:textId="77777777" w:rsidTr="00EC0E02">
        <w:trPr>
          <w:trHeight w:val="710"/>
          <w:jc w:val="center"/>
        </w:trPr>
        <w:tc>
          <w:tcPr>
            <w:tcW w:w="11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7302E" w14:textId="77777777" w:rsidR="00B5323F" w:rsidRDefault="00B5323F" w:rsidP="00EC0E02">
            <w:pPr>
              <w:spacing w:after="40"/>
              <w:rPr>
                <w:sz w:val="16"/>
                <w:szCs w:val="16"/>
                <w:lang w:eastAsia="es-MX"/>
              </w:rPr>
            </w:pPr>
            <w:r>
              <w:rPr>
                <w:sz w:val="16"/>
                <w:szCs w:val="16"/>
                <w:lang w:eastAsia="es-MX"/>
              </w:rPr>
              <w:t>*Fondo de Aportaciones para la Nómina Educativa y Gasto Operativo (FONE)</w:t>
            </w: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005F0" w14:textId="77777777" w:rsidR="00B5323F" w:rsidRDefault="00B5323F" w:rsidP="00EC0E02">
            <w:pPr>
              <w:spacing w:after="40"/>
              <w:rPr>
                <w:sz w:val="16"/>
                <w:szCs w:val="16"/>
                <w:lang w:eastAsia="es-MX"/>
              </w:rPr>
            </w:pPr>
            <w:r>
              <w:rPr>
                <w:sz w:val="16"/>
                <w:szCs w:val="16"/>
                <w:lang w:eastAsia="es-MX"/>
              </w:rPr>
              <w:t>Educación Básica</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0AEFC" w14:textId="77777777" w:rsidR="00B5323F" w:rsidRDefault="00B5323F" w:rsidP="00EC0E02">
            <w:pPr>
              <w:spacing w:after="40"/>
              <w:rPr>
                <w:sz w:val="16"/>
                <w:szCs w:val="16"/>
                <w:lang w:eastAsia="es-MX"/>
              </w:rPr>
            </w:pPr>
            <w:r>
              <w:rPr>
                <w:sz w:val="16"/>
                <w:szCs w:val="16"/>
                <w:lang w:eastAsia="es-MX"/>
              </w:rPr>
              <w:t>*Fondo de Aportaciones para la Educación Básica (FAEB)</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C601D8" w14:textId="77777777" w:rsidR="00B5323F" w:rsidRDefault="00B5323F" w:rsidP="00EC0E02">
            <w:pPr>
              <w:spacing w:after="40"/>
              <w:jc w:val="center"/>
              <w:rPr>
                <w:sz w:val="16"/>
                <w:szCs w:val="16"/>
                <w:lang w:eastAsia="es-MX"/>
              </w:rPr>
            </w:pPr>
            <w:r>
              <w:rPr>
                <w:sz w:val="16"/>
                <w:szCs w:val="16"/>
                <w:lang w:eastAsia="es-MX"/>
              </w:rPr>
              <w:t>*2014</w:t>
            </w:r>
          </w:p>
        </w:tc>
        <w:tc>
          <w:tcPr>
            <w:tcW w:w="91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17E87" w14:textId="77777777" w:rsidR="00B5323F" w:rsidRDefault="00B5323F" w:rsidP="00EC0E02">
            <w:pPr>
              <w:spacing w:after="40"/>
              <w:jc w:val="center"/>
              <w:rPr>
                <w:sz w:val="16"/>
                <w:szCs w:val="16"/>
                <w:lang w:eastAsia="es-MX"/>
              </w:rPr>
            </w:pPr>
            <w:r>
              <w:rPr>
                <w:sz w:val="16"/>
                <w:szCs w:val="16"/>
                <w:lang w:eastAsia="es-MX"/>
              </w:rPr>
              <w:t>Secretaría de Educación  Pública (SEP)</w:t>
            </w:r>
          </w:p>
        </w:tc>
      </w:tr>
      <w:tr w:rsidR="00B5323F" w14:paraId="70B9ED8F" w14:textId="77777777" w:rsidTr="00EC0E02">
        <w:trPr>
          <w:trHeight w:val="694"/>
          <w:jc w:val="center"/>
        </w:trPr>
        <w:tc>
          <w:tcPr>
            <w:tcW w:w="11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E15C25" w14:textId="77777777" w:rsidR="00B5323F" w:rsidRDefault="00B5323F" w:rsidP="00EC0E02">
            <w:pPr>
              <w:spacing w:after="40"/>
              <w:rPr>
                <w:sz w:val="16"/>
                <w:szCs w:val="16"/>
                <w:lang w:eastAsia="es-MX"/>
              </w:rPr>
            </w:pPr>
            <w:r>
              <w:rPr>
                <w:sz w:val="16"/>
                <w:szCs w:val="16"/>
                <w:lang w:eastAsia="es-MX"/>
              </w:rPr>
              <w:t>Fondo de Aportaciones para los Servicios de Salud (FASSA)</w:t>
            </w: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8A082" w14:textId="77777777" w:rsidR="00B5323F" w:rsidRDefault="00B5323F" w:rsidP="00EC0E02">
            <w:pPr>
              <w:spacing w:after="40"/>
              <w:rPr>
                <w:sz w:val="16"/>
                <w:szCs w:val="16"/>
                <w:lang w:eastAsia="es-MX"/>
              </w:rPr>
            </w:pPr>
            <w:r>
              <w:rPr>
                <w:sz w:val="16"/>
                <w:szCs w:val="16"/>
                <w:lang w:eastAsia="es-MX"/>
              </w:rPr>
              <w:t>Servicios de salud a la población abierta</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23D05" w14:textId="77777777" w:rsidR="00B5323F" w:rsidRDefault="00B5323F" w:rsidP="00EC0E02">
            <w:pPr>
              <w:spacing w:after="40"/>
              <w:rPr>
                <w:sz w:val="16"/>
                <w:szCs w:val="16"/>
                <w:lang w:eastAsia="es-MX"/>
              </w:rPr>
            </w:pPr>
            <w:r>
              <w:rPr>
                <w:sz w:val="16"/>
                <w:szCs w:val="16"/>
                <w:lang w:eastAsia="es-MX"/>
              </w:rPr>
              <w:t>Acuerdo Nacional para la Descentralización de los Servicios de Salud</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FBBF96" w14:textId="77777777" w:rsidR="00B5323F" w:rsidRDefault="00B5323F" w:rsidP="00EC0E02">
            <w:pPr>
              <w:spacing w:after="40"/>
              <w:jc w:val="center"/>
              <w:rPr>
                <w:sz w:val="16"/>
                <w:szCs w:val="16"/>
                <w:lang w:eastAsia="es-MX"/>
              </w:rPr>
            </w:pPr>
            <w:r>
              <w:rPr>
                <w:sz w:val="16"/>
                <w:szCs w:val="16"/>
                <w:lang w:eastAsia="es-MX"/>
              </w:rPr>
              <w:t>1998</w:t>
            </w:r>
          </w:p>
        </w:tc>
        <w:tc>
          <w:tcPr>
            <w:tcW w:w="91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1B502" w14:textId="77777777" w:rsidR="00B5323F" w:rsidRDefault="00B5323F" w:rsidP="00EC0E02">
            <w:pPr>
              <w:spacing w:after="40"/>
              <w:jc w:val="center"/>
              <w:rPr>
                <w:sz w:val="16"/>
                <w:szCs w:val="16"/>
                <w:lang w:eastAsia="es-MX"/>
              </w:rPr>
            </w:pPr>
            <w:r>
              <w:rPr>
                <w:sz w:val="16"/>
                <w:szCs w:val="16"/>
                <w:lang w:eastAsia="es-MX"/>
              </w:rPr>
              <w:t>Secretaría de Salud (SALUD)</w:t>
            </w:r>
          </w:p>
        </w:tc>
      </w:tr>
      <w:tr w:rsidR="00B5323F" w14:paraId="18361060" w14:textId="77777777" w:rsidTr="00EC0E02">
        <w:trPr>
          <w:trHeight w:val="444"/>
          <w:jc w:val="center"/>
        </w:trPr>
        <w:tc>
          <w:tcPr>
            <w:tcW w:w="11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B6D01" w14:textId="77777777" w:rsidR="00B5323F" w:rsidRDefault="00B5323F" w:rsidP="00EC0E02">
            <w:pPr>
              <w:spacing w:after="40"/>
              <w:rPr>
                <w:sz w:val="16"/>
                <w:szCs w:val="16"/>
                <w:lang w:eastAsia="es-MX"/>
              </w:rPr>
            </w:pPr>
            <w:r>
              <w:rPr>
                <w:sz w:val="16"/>
                <w:szCs w:val="16"/>
                <w:lang w:eastAsia="es-MX"/>
              </w:rPr>
              <w:t>Fondo de Aportaciones para la Infraestructura Social (FAIS)</w:t>
            </w: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18220" w14:textId="77777777" w:rsidR="00B5323F" w:rsidRDefault="00B5323F" w:rsidP="00EC0E02">
            <w:pPr>
              <w:spacing w:after="40"/>
              <w:rPr>
                <w:sz w:val="16"/>
                <w:szCs w:val="16"/>
                <w:lang w:eastAsia="es-MX"/>
              </w:rPr>
            </w:pPr>
            <w:r>
              <w:rPr>
                <w:sz w:val="16"/>
                <w:szCs w:val="16"/>
                <w:lang w:eastAsia="es-MX"/>
              </w:rPr>
              <w:t>Infraestructura social básica</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9D964" w14:textId="77777777" w:rsidR="00B5323F" w:rsidRDefault="00B5323F" w:rsidP="00EC0E02">
            <w:pPr>
              <w:spacing w:after="40"/>
              <w:rPr>
                <w:sz w:val="16"/>
                <w:szCs w:val="16"/>
                <w:lang w:eastAsia="es-MX"/>
              </w:rPr>
            </w:pPr>
            <w:r>
              <w:rPr>
                <w:sz w:val="16"/>
                <w:szCs w:val="16"/>
                <w:lang w:eastAsia="es-MX"/>
              </w:rPr>
              <w:t>Recursos del Ramo 26. Programa Nacional de Solidaridad</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B5D461" w14:textId="77777777" w:rsidR="00B5323F" w:rsidRDefault="00B5323F" w:rsidP="00EC0E02">
            <w:pPr>
              <w:spacing w:after="40"/>
              <w:jc w:val="center"/>
              <w:rPr>
                <w:sz w:val="16"/>
                <w:szCs w:val="16"/>
                <w:lang w:eastAsia="es-MX"/>
              </w:rPr>
            </w:pPr>
            <w:r>
              <w:rPr>
                <w:sz w:val="16"/>
                <w:szCs w:val="16"/>
                <w:lang w:eastAsia="es-MX"/>
              </w:rPr>
              <w:t>1998</w:t>
            </w:r>
          </w:p>
        </w:tc>
        <w:tc>
          <w:tcPr>
            <w:tcW w:w="91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15B3E" w14:textId="77777777" w:rsidR="00B5323F" w:rsidRDefault="00B5323F" w:rsidP="00EC0E02">
            <w:pPr>
              <w:spacing w:after="40"/>
              <w:jc w:val="center"/>
              <w:rPr>
                <w:sz w:val="16"/>
                <w:szCs w:val="16"/>
                <w:lang w:eastAsia="es-MX"/>
              </w:rPr>
            </w:pPr>
            <w:r>
              <w:rPr>
                <w:sz w:val="16"/>
                <w:szCs w:val="16"/>
                <w:lang w:eastAsia="es-MX"/>
              </w:rPr>
              <w:t>Secretaría de Desarrollo Social (SEDESOL)</w:t>
            </w:r>
          </w:p>
        </w:tc>
      </w:tr>
      <w:tr w:rsidR="00B5323F" w14:paraId="4368328E" w14:textId="77777777" w:rsidTr="00EC0E02">
        <w:trPr>
          <w:trHeight w:val="1408"/>
          <w:jc w:val="center"/>
        </w:trPr>
        <w:tc>
          <w:tcPr>
            <w:tcW w:w="11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1EE4DA" w14:textId="77777777" w:rsidR="00B5323F" w:rsidRDefault="00B5323F" w:rsidP="00EC0E02">
            <w:pPr>
              <w:spacing w:after="40"/>
              <w:rPr>
                <w:sz w:val="16"/>
                <w:szCs w:val="16"/>
                <w:lang w:eastAsia="es-MX"/>
              </w:rPr>
            </w:pPr>
            <w:r>
              <w:rPr>
                <w:sz w:val="16"/>
                <w:szCs w:val="16"/>
                <w:lang w:eastAsia="es-MX"/>
              </w:rPr>
              <w:t>Fondo de Aportaciones para el Fortalecimiento de los Municipios y de las Demarcaciones Territoriales del Distrito Federal *(FORTAMUN-DF)</w:t>
            </w: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E5EF4" w14:textId="77777777" w:rsidR="00B5323F" w:rsidRDefault="00B5323F" w:rsidP="00EC0E02">
            <w:pPr>
              <w:spacing w:after="40"/>
              <w:rPr>
                <w:sz w:val="16"/>
                <w:szCs w:val="16"/>
                <w:lang w:eastAsia="es-MX"/>
              </w:rPr>
            </w:pPr>
            <w:r>
              <w:rPr>
                <w:sz w:val="16"/>
                <w:szCs w:val="16"/>
                <w:lang w:eastAsia="es-MX"/>
              </w:rPr>
              <w:t>Obligaciones financieras y desarrollo municipal</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D95E0" w14:textId="77777777" w:rsidR="00B5323F" w:rsidRDefault="00B5323F" w:rsidP="00EC0E02">
            <w:pPr>
              <w:spacing w:after="40"/>
              <w:rPr>
                <w:sz w:val="16"/>
                <w:szCs w:val="16"/>
                <w:lang w:eastAsia="es-MX"/>
              </w:rPr>
            </w:pPr>
            <w:r>
              <w:rPr>
                <w:sz w:val="16"/>
                <w:szCs w:val="16"/>
                <w:lang w:eastAsia="es-MX"/>
              </w:rPr>
              <w:t>Fondos de Desarrollo Municipal</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B870B" w14:textId="77777777" w:rsidR="00B5323F" w:rsidRDefault="00B5323F" w:rsidP="00EC0E02">
            <w:pPr>
              <w:spacing w:after="40"/>
              <w:jc w:val="center"/>
              <w:rPr>
                <w:sz w:val="16"/>
                <w:szCs w:val="16"/>
                <w:lang w:eastAsia="es-MX"/>
              </w:rPr>
            </w:pPr>
            <w:r>
              <w:rPr>
                <w:sz w:val="16"/>
                <w:szCs w:val="16"/>
                <w:lang w:eastAsia="es-MX"/>
              </w:rPr>
              <w:t>1998</w:t>
            </w:r>
          </w:p>
          <w:p w14:paraId="65789493" w14:textId="77777777" w:rsidR="00B5323F" w:rsidRDefault="00B5323F" w:rsidP="00EC0E02">
            <w:pPr>
              <w:spacing w:after="40"/>
              <w:jc w:val="center"/>
              <w:rPr>
                <w:sz w:val="16"/>
                <w:szCs w:val="16"/>
                <w:lang w:eastAsia="es-MX"/>
              </w:rPr>
            </w:pPr>
            <w:r>
              <w:rPr>
                <w:sz w:val="16"/>
                <w:szCs w:val="16"/>
                <w:lang w:eastAsia="es-MX"/>
              </w:rPr>
              <w:t>*(En 2001 se incorpora la figura de DF)</w:t>
            </w:r>
          </w:p>
        </w:tc>
        <w:tc>
          <w:tcPr>
            <w:tcW w:w="91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8B4AD" w14:textId="77777777" w:rsidR="00B5323F" w:rsidRDefault="00B5323F" w:rsidP="00EC0E02">
            <w:pPr>
              <w:spacing w:after="40"/>
              <w:jc w:val="center"/>
              <w:rPr>
                <w:sz w:val="16"/>
                <w:szCs w:val="16"/>
                <w:lang w:eastAsia="es-MX"/>
              </w:rPr>
            </w:pPr>
            <w:r>
              <w:rPr>
                <w:sz w:val="16"/>
                <w:szCs w:val="16"/>
                <w:lang w:eastAsia="es-MX"/>
              </w:rPr>
              <w:t>Secretaría de Hacienda y Crédito Público (SHCP)</w:t>
            </w:r>
          </w:p>
        </w:tc>
      </w:tr>
      <w:tr w:rsidR="00B5323F" w14:paraId="4CA103BA" w14:textId="77777777" w:rsidTr="00EC0E02">
        <w:trPr>
          <w:trHeight w:val="284"/>
          <w:jc w:val="center"/>
        </w:trPr>
        <w:tc>
          <w:tcPr>
            <w:tcW w:w="118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684609" w14:textId="77777777" w:rsidR="00B5323F" w:rsidRDefault="00B5323F" w:rsidP="00EC0E02">
            <w:pPr>
              <w:spacing w:after="40"/>
              <w:rPr>
                <w:sz w:val="16"/>
                <w:szCs w:val="16"/>
                <w:lang w:eastAsia="es-MX"/>
              </w:rPr>
            </w:pPr>
            <w:r>
              <w:rPr>
                <w:sz w:val="16"/>
                <w:szCs w:val="16"/>
                <w:lang w:eastAsia="es-MX"/>
              </w:rPr>
              <w:t>Fondo de Aportaciones Múltiples (FAM)</w:t>
            </w: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36F95" w14:textId="77777777" w:rsidR="00B5323F" w:rsidRDefault="00B5323F" w:rsidP="00EC0E02">
            <w:pPr>
              <w:spacing w:after="40"/>
              <w:rPr>
                <w:sz w:val="16"/>
                <w:szCs w:val="16"/>
                <w:lang w:eastAsia="es-MX"/>
              </w:rPr>
            </w:pPr>
            <w:r>
              <w:rPr>
                <w:sz w:val="16"/>
                <w:szCs w:val="16"/>
                <w:lang w:eastAsia="es-MX"/>
              </w:rPr>
              <w:t>Desayunos escolares y acciones de asistencia social</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C7654" w14:textId="77777777" w:rsidR="00B5323F" w:rsidRDefault="00B5323F" w:rsidP="00EC0E02">
            <w:pPr>
              <w:spacing w:after="40"/>
              <w:rPr>
                <w:sz w:val="16"/>
                <w:szCs w:val="16"/>
                <w:lang w:eastAsia="es-MX"/>
              </w:rPr>
            </w:pPr>
            <w:r>
              <w:rPr>
                <w:sz w:val="16"/>
                <w:szCs w:val="16"/>
                <w:lang w:eastAsia="es-MX"/>
              </w:rPr>
              <w:t>Desayunos escolares</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44E20" w14:textId="77777777" w:rsidR="00B5323F" w:rsidRDefault="00B5323F" w:rsidP="00EC0E02">
            <w:pPr>
              <w:spacing w:after="40"/>
              <w:jc w:val="center"/>
              <w:rPr>
                <w:sz w:val="16"/>
                <w:szCs w:val="16"/>
                <w:lang w:eastAsia="es-MX"/>
              </w:rPr>
            </w:pPr>
            <w:r>
              <w:rPr>
                <w:sz w:val="16"/>
                <w:szCs w:val="16"/>
                <w:lang w:eastAsia="es-MX"/>
              </w:rPr>
              <w:t>1998</w:t>
            </w:r>
          </w:p>
        </w:tc>
        <w:tc>
          <w:tcPr>
            <w:tcW w:w="91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62B1F" w14:textId="77777777" w:rsidR="00B5323F" w:rsidRDefault="00B5323F" w:rsidP="00EC0E02">
            <w:pPr>
              <w:spacing w:after="40"/>
              <w:jc w:val="center"/>
              <w:rPr>
                <w:sz w:val="16"/>
                <w:szCs w:val="16"/>
                <w:lang w:eastAsia="es-MX"/>
              </w:rPr>
            </w:pPr>
            <w:r>
              <w:rPr>
                <w:sz w:val="16"/>
                <w:szCs w:val="16"/>
                <w:lang w:eastAsia="es-MX"/>
              </w:rPr>
              <w:t>Secretaría de Salud (SALUD)</w:t>
            </w:r>
          </w:p>
        </w:tc>
      </w:tr>
      <w:tr w:rsidR="00B5323F" w14:paraId="2EFDE26B" w14:textId="77777777" w:rsidTr="00EC0E02">
        <w:trPr>
          <w:trHeight w:val="284"/>
          <w:jc w:val="center"/>
        </w:trPr>
        <w:tc>
          <w:tcPr>
            <w:tcW w:w="118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8CAA4" w14:textId="77777777" w:rsidR="00B5323F" w:rsidRDefault="00B5323F" w:rsidP="00EC0E02">
            <w:pPr>
              <w:spacing w:after="40"/>
              <w:rPr>
                <w:sz w:val="16"/>
                <w:szCs w:val="16"/>
                <w:lang w:eastAsia="es-MX"/>
              </w:rPr>
            </w:pP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2C7C6" w14:textId="77777777" w:rsidR="00B5323F" w:rsidRDefault="00B5323F" w:rsidP="00EC0E02">
            <w:pPr>
              <w:spacing w:after="40"/>
              <w:rPr>
                <w:sz w:val="16"/>
                <w:szCs w:val="16"/>
                <w:lang w:eastAsia="es-MX"/>
              </w:rPr>
            </w:pPr>
            <w:r>
              <w:rPr>
                <w:sz w:val="16"/>
                <w:szCs w:val="16"/>
                <w:lang w:eastAsia="es-MX"/>
              </w:rPr>
              <w:t>Construcción, equipamiento y rehabilitación de infraestructura física de educación básica y superior</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6DABC" w14:textId="77777777" w:rsidR="00B5323F" w:rsidRDefault="00B5323F" w:rsidP="00EC0E02">
            <w:pPr>
              <w:spacing w:after="40"/>
              <w:rPr>
                <w:sz w:val="16"/>
                <w:szCs w:val="16"/>
                <w:lang w:eastAsia="es-MX"/>
              </w:rPr>
            </w:pPr>
            <w:r>
              <w:rPr>
                <w:sz w:val="16"/>
                <w:szCs w:val="16"/>
                <w:lang w:eastAsia="es-MX"/>
              </w:rPr>
              <w:t>Programa Federal de Construcción de Escuelas (CAPCE): infraestructura educativa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12360A" w14:textId="77777777" w:rsidR="00B5323F" w:rsidRDefault="00B5323F" w:rsidP="00EC0E02">
            <w:pPr>
              <w:spacing w:after="40"/>
              <w:jc w:val="center"/>
              <w:rPr>
                <w:sz w:val="16"/>
                <w:szCs w:val="16"/>
                <w:lang w:eastAsia="es-MX"/>
              </w:rPr>
            </w:pPr>
            <w:r>
              <w:rPr>
                <w:sz w:val="16"/>
                <w:szCs w:val="16"/>
                <w:lang w:eastAsia="es-MX"/>
              </w:rPr>
              <w:t>1998</w:t>
            </w:r>
          </w:p>
        </w:tc>
        <w:tc>
          <w:tcPr>
            <w:tcW w:w="91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FEC03" w14:textId="77777777" w:rsidR="00B5323F" w:rsidRDefault="00B5323F" w:rsidP="00EC0E02">
            <w:pPr>
              <w:spacing w:after="40"/>
              <w:jc w:val="center"/>
              <w:rPr>
                <w:sz w:val="16"/>
                <w:szCs w:val="16"/>
                <w:lang w:eastAsia="es-MX"/>
              </w:rPr>
            </w:pPr>
            <w:r>
              <w:rPr>
                <w:sz w:val="16"/>
                <w:szCs w:val="16"/>
                <w:lang w:eastAsia="es-MX"/>
              </w:rPr>
              <w:t>Secretaría de Educación Pública (SEP)</w:t>
            </w:r>
          </w:p>
        </w:tc>
      </w:tr>
      <w:tr w:rsidR="00B5323F" w14:paraId="55DF7819" w14:textId="77777777" w:rsidTr="00EC0E02">
        <w:trPr>
          <w:trHeight w:val="817"/>
          <w:jc w:val="center"/>
        </w:trPr>
        <w:tc>
          <w:tcPr>
            <w:tcW w:w="11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3E69B" w14:textId="77777777" w:rsidR="00B5323F" w:rsidRDefault="00B5323F" w:rsidP="00EC0E02">
            <w:pPr>
              <w:spacing w:after="40"/>
              <w:rPr>
                <w:sz w:val="16"/>
                <w:szCs w:val="16"/>
                <w:lang w:eastAsia="es-MX"/>
              </w:rPr>
            </w:pPr>
            <w:r>
              <w:rPr>
                <w:sz w:val="16"/>
                <w:szCs w:val="16"/>
                <w:lang w:eastAsia="es-MX"/>
              </w:rPr>
              <w:t>Fondo de Aportaciones para la Educación Tecnológica y de Adultos (FAETA)</w:t>
            </w: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2A9F1" w14:textId="77777777" w:rsidR="00B5323F" w:rsidRDefault="00B5323F" w:rsidP="00EC0E02">
            <w:pPr>
              <w:spacing w:after="40"/>
              <w:rPr>
                <w:sz w:val="16"/>
                <w:szCs w:val="16"/>
                <w:lang w:eastAsia="es-MX"/>
              </w:rPr>
            </w:pPr>
            <w:r>
              <w:rPr>
                <w:sz w:val="16"/>
                <w:szCs w:val="16"/>
                <w:lang w:eastAsia="es-MX"/>
              </w:rPr>
              <w:t>Educación tecnológica y educación para adultos</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E5007" w14:textId="77777777" w:rsidR="00B5323F" w:rsidRDefault="00B5323F" w:rsidP="00EC0E02">
            <w:pPr>
              <w:spacing w:after="40"/>
              <w:rPr>
                <w:sz w:val="16"/>
                <w:szCs w:val="16"/>
                <w:lang w:eastAsia="es-MX"/>
              </w:rPr>
            </w:pPr>
            <w:r>
              <w:rPr>
                <w:sz w:val="16"/>
                <w:szCs w:val="16"/>
                <w:lang w:eastAsia="es-MX"/>
              </w:rPr>
              <w:t>Convenios de coordinación CONALEP e INEA</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0EF57" w14:textId="77777777" w:rsidR="00B5323F" w:rsidRDefault="00B5323F" w:rsidP="00EC0E02">
            <w:pPr>
              <w:spacing w:after="40"/>
              <w:jc w:val="center"/>
              <w:rPr>
                <w:sz w:val="16"/>
                <w:szCs w:val="16"/>
                <w:lang w:eastAsia="es-MX"/>
              </w:rPr>
            </w:pPr>
            <w:r>
              <w:rPr>
                <w:sz w:val="16"/>
                <w:szCs w:val="16"/>
                <w:lang w:eastAsia="es-MX"/>
              </w:rPr>
              <w:t>1998</w:t>
            </w:r>
          </w:p>
        </w:tc>
        <w:tc>
          <w:tcPr>
            <w:tcW w:w="91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AAB6F" w14:textId="77777777" w:rsidR="00B5323F" w:rsidRDefault="00B5323F" w:rsidP="00EC0E02">
            <w:pPr>
              <w:spacing w:after="40"/>
              <w:jc w:val="center"/>
              <w:rPr>
                <w:sz w:val="16"/>
                <w:szCs w:val="16"/>
                <w:lang w:eastAsia="es-MX"/>
              </w:rPr>
            </w:pPr>
            <w:r>
              <w:rPr>
                <w:sz w:val="16"/>
                <w:szCs w:val="16"/>
                <w:lang w:eastAsia="es-MX"/>
              </w:rPr>
              <w:t>Secretaría de Educación Pública (SEP)</w:t>
            </w:r>
          </w:p>
        </w:tc>
      </w:tr>
      <w:tr w:rsidR="00B5323F" w14:paraId="52EA5757" w14:textId="77777777" w:rsidTr="00EC0E02">
        <w:trPr>
          <w:trHeight w:val="557"/>
          <w:jc w:val="center"/>
        </w:trPr>
        <w:tc>
          <w:tcPr>
            <w:tcW w:w="11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F2873" w14:textId="77777777" w:rsidR="00B5323F" w:rsidRDefault="00B5323F" w:rsidP="00EC0E02">
            <w:pPr>
              <w:spacing w:after="40"/>
              <w:rPr>
                <w:sz w:val="16"/>
                <w:szCs w:val="16"/>
                <w:lang w:eastAsia="es-MX"/>
              </w:rPr>
            </w:pPr>
            <w:r>
              <w:rPr>
                <w:sz w:val="16"/>
                <w:szCs w:val="16"/>
                <w:lang w:eastAsia="es-MX"/>
              </w:rPr>
              <w:t>Fondo de Aportaciones para la Seguridad Pública de los Estados y del Distrito Federal (FASP)</w:t>
            </w:r>
          </w:p>
        </w:tc>
        <w:tc>
          <w:tcPr>
            <w:tcW w:w="107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FCE05" w14:textId="77777777" w:rsidR="00B5323F" w:rsidRDefault="00B5323F" w:rsidP="00EC0E02">
            <w:pPr>
              <w:spacing w:after="40"/>
              <w:rPr>
                <w:sz w:val="16"/>
                <w:szCs w:val="16"/>
                <w:lang w:eastAsia="es-MX"/>
              </w:rPr>
            </w:pPr>
            <w:r>
              <w:rPr>
                <w:sz w:val="16"/>
                <w:szCs w:val="16"/>
                <w:lang w:eastAsia="es-MX"/>
              </w:rPr>
              <w:t>Seguridad pública</w:t>
            </w:r>
          </w:p>
        </w:tc>
        <w:tc>
          <w:tcPr>
            <w:tcW w:w="11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F749B" w14:textId="77777777" w:rsidR="00B5323F" w:rsidRDefault="00B5323F" w:rsidP="00EC0E02">
            <w:pPr>
              <w:spacing w:after="40"/>
              <w:rPr>
                <w:sz w:val="16"/>
                <w:szCs w:val="16"/>
                <w:lang w:eastAsia="es-MX"/>
              </w:rPr>
            </w:pPr>
            <w:r>
              <w:rPr>
                <w:sz w:val="16"/>
                <w:szCs w:val="16"/>
                <w:lang w:eastAsia="es-MX"/>
              </w:rPr>
              <w:t>Convenio de coordinación en materia de seguridad pública</w:t>
            </w:r>
          </w:p>
        </w:tc>
        <w:tc>
          <w:tcPr>
            <w:tcW w:w="72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9092A" w14:textId="77777777" w:rsidR="00B5323F" w:rsidRDefault="00B5323F" w:rsidP="00EC0E02">
            <w:pPr>
              <w:spacing w:after="40"/>
              <w:jc w:val="center"/>
              <w:rPr>
                <w:sz w:val="16"/>
                <w:szCs w:val="16"/>
                <w:lang w:eastAsia="es-MX"/>
              </w:rPr>
            </w:pPr>
            <w:r>
              <w:rPr>
                <w:sz w:val="16"/>
                <w:szCs w:val="16"/>
                <w:lang w:eastAsia="es-MX"/>
              </w:rPr>
              <w:t>1998</w:t>
            </w:r>
          </w:p>
        </w:tc>
        <w:tc>
          <w:tcPr>
            <w:tcW w:w="91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18C90" w14:textId="77777777" w:rsidR="00B5323F" w:rsidRDefault="00B5323F" w:rsidP="00EC0E02">
            <w:pPr>
              <w:spacing w:after="40"/>
              <w:jc w:val="center"/>
              <w:rPr>
                <w:sz w:val="16"/>
                <w:szCs w:val="16"/>
                <w:lang w:eastAsia="es-MX"/>
              </w:rPr>
            </w:pPr>
            <w:r>
              <w:rPr>
                <w:sz w:val="16"/>
                <w:szCs w:val="16"/>
                <w:lang w:eastAsia="es-MX"/>
              </w:rPr>
              <w:t>Secretaría de Seguridad Pública (SSP)</w:t>
            </w:r>
          </w:p>
        </w:tc>
      </w:tr>
      <w:tr w:rsidR="00B5323F" w14:paraId="55D55C52" w14:textId="77777777" w:rsidTr="00EC0E02">
        <w:trPr>
          <w:trHeight w:val="768"/>
          <w:jc w:val="center"/>
        </w:trPr>
        <w:tc>
          <w:tcPr>
            <w:tcW w:w="118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3257515" w14:textId="77777777" w:rsidR="00B5323F" w:rsidRDefault="00B5323F" w:rsidP="00EC0E02">
            <w:pPr>
              <w:spacing w:after="40"/>
              <w:rPr>
                <w:sz w:val="16"/>
                <w:szCs w:val="16"/>
                <w:lang w:eastAsia="es-MX"/>
              </w:rPr>
            </w:pPr>
            <w:r>
              <w:rPr>
                <w:sz w:val="16"/>
                <w:szCs w:val="16"/>
                <w:lang w:eastAsia="es-MX"/>
              </w:rPr>
              <w:t>Fondo de Aportaciones para el Fortalecimiento de las Entidades Federativas (FAFEF)</w:t>
            </w:r>
          </w:p>
        </w:tc>
        <w:tc>
          <w:tcPr>
            <w:tcW w:w="107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F095D40" w14:textId="77777777" w:rsidR="00B5323F" w:rsidRDefault="00B5323F" w:rsidP="00EC0E02">
            <w:pPr>
              <w:spacing w:after="40"/>
              <w:rPr>
                <w:sz w:val="16"/>
                <w:szCs w:val="16"/>
                <w:lang w:eastAsia="es-MX"/>
              </w:rPr>
            </w:pPr>
            <w:r>
              <w:rPr>
                <w:sz w:val="16"/>
                <w:szCs w:val="16"/>
                <w:lang w:eastAsia="es-MX"/>
              </w:rPr>
              <w:t>Infraestructura física y saneamiento financiero</w:t>
            </w:r>
          </w:p>
        </w:tc>
        <w:tc>
          <w:tcPr>
            <w:tcW w:w="110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54B4A0D" w14:textId="77777777" w:rsidR="00B5323F" w:rsidRDefault="00B5323F" w:rsidP="00EC0E02">
            <w:pPr>
              <w:spacing w:after="40"/>
              <w:rPr>
                <w:sz w:val="16"/>
                <w:szCs w:val="16"/>
                <w:lang w:eastAsia="es-MX"/>
              </w:rPr>
            </w:pPr>
            <w:r>
              <w:rPr>
                <w:sz w:val="16"/>
                <w:szCs w:val="16"/>
                <w:lang w:eastAsia="es-MX"/>
              </w:rPr>
              <w:t>Ramo 23</w:t>
            </w:r>
          </w:p>
          <w:p w14:paraId="2464B17C" w14:textId="77777777" w:rsidR="00B5323F" w:rsidRDefault="00B5323F" w:rsidP="00EC0E02">
            <w:pPr>
              <w:spacing w:after="40"/>
              <w:rPr>
                <w:sz w:val="16"/>
                <w:szCs w:val="16"/>
                <w:lang w:eastAsia="es-MX"/>
              </w:rPr>
            </w:pPr>
            <w:r>
              <w:rPr>
                <w:sz w:val="16"/>
                <w:szCs w:val="16"/>
                <w:lang w:eastAsia="es-MX"/>
              </w:rPr>
              <w:t>*Programa de Apoyos para el Fortalecimiento de las Entidades Federativas (PAFEF)</w:t>
            </w:r>
          </w:p>
        </w:tc>
        <w:tc>
          <w:tcPr>
            <w:tcW w:w="72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5F9B6F1" w14:textId="77777777" w:rsidR="00B5323F" w:rsidRDefault="00B5323F" w:rsidP="00EC0E02">
            <w:pPr>
              <w:spacing w:after="40"/>
              <w:jc w:val="center"/>
              <w:rPr>
                <w:sz w:val="16"/>
                <w:szCs w:val="16"/>
                <w:lang w:eastAsia="es-MX"/>
              </w:rPr>
            </w:pPr>
            <w:r>
              <w:rPr>
                <w:sz w:val="16"/>
                <w:szCs w:val="16"/>
                <w:lang w:eastAsia="es-MX"/>
              </w:rPr>
              <w:t>2006</w:t>
            </w:r>
          </w:p>
        </w:tc>
        <w:tc>
          <w:tcPr>
            <w:tcW w:w="9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17EC0DAD" w14:textId="77777777" w:rsidR="00B5323F" w:rsidRDefault="00B5323F" w:rsidP="00EC0E02">
            <w:pPr>
              <w:spacing w:after="40"/>
              <w:jc w:val="center"/>
              <w:rPr>
                <w:sz w:val="16"/>
                <w:szCs w:val="16"/>
                <w:lang w:eastAsia="es-MX"/>
              </w:rPr>
            </w:pPr>
            <w:r>
              <w:rPr>
                <w:sz w:val="16"/>
                <w:szCs w:val="16"/>
                <w:lang w:eastAsia="es-MX"/>
              </w:rPr>
              <w:t>Secretaría de Hacienda y Crédito Público (SHCP)</w:t>
            </w:r>
          </w:p>
        </w:tc>
      </w:tr>
      <w:tr w:rsidR="00B5323F" w14:paraId="3C3781AB" w14:textId="77777777" w:rsidTr="00354F9E">
        <w:trPr>
          <w:trHeight w:val="224"/>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391A6" w14:textId="77777777" w:rsidR="00B5323F" w:rsidRDefault="00B5323F" w:rsidP="00354F9E">
            <w:pPr>
              <w:rPr>
                <w:sz w:val="16"/>
                <w:szCs w:val="16"/>
                <w:lang w:eastAsia="es-MX"/>
              </w:rPr>
            </w:pPr>
            <w:r>
              <w:rPr>
                <w:sz w:val="16"/>
                <w:szCs w:val="16"/>
              </w:rPr>
              <w:t>Fuente: CONEVAL, 2011. *Modificaciones y actualización propias.</w:t>
            </w:r>
          </w:p>
        </w:tc>
      </w:tr>
    </w:tbl>
    <w:p w14:paraId="38765A68" w14:textId="77777777" w:rsidR="00B5323F" w:rsidRPr="002C6341" w:rsidRDefault="00B5323F" w:rsidP="00B5323F">
      <w:pPr>
        <w:spacing w:after="240"/>
        <w:jc w:val="both"/>
        <w:rPr>
          <w:rFonts w:ascii="Century Gothic" w:hAnsi="Century Gothic" w:cs="Arial"/>
          <w:bCs/>
          <w:sz w:val="6"/>
          <w:szCs w:val="24"/>
        </w:rPr>
      </w:pPr>
    </w:p>
    <w:p w14:paraId="2F772717" w14:textId="77777777" w:rsidR="00B5323F" w:rsidRDefault="002C6341" w:rsidP="00052688">
      <w:pPr>
        <w:spacing w:after="240"/>
        <w:jc w:val="both"/>
        <w:rPr>
          <w:rFonts w:ascii="Century Gothic" w:hAnsi="Century Gothic" w:cs="Arial"/>
          <w:bCs/>
          <w:sz w:val="24"/>
          <w:szCs w:val="24"/>
        </w:rPr>
      </w:pPr>
      <w:r>
        <w:rPr>
          <w:rFonts w:ascii="Century Gothic" w:hAnsi="Century Gothic" w:cs="Arial"/>
          <w:bCs/>
          <w:sz w:val="24"/>
          <w:szCs w:val="24"/>
        </w:rPr>
        <w:t xml:space="preserve">En particular el FAFEF, es el último Fondo que se adiciona al Ramo 33, y </w:t>
      </w:r>
      <w:r w:rsidRPr="002C6341">
        <w:rPr>
          <w:rFonts w:ascii="Century Gothic" w:hAnsi="Century Gothic" w:cs="Arial"/>
          <w:bCs/>
          <w:sz w:val="24"/>
          <w:szCs w:val="24"/>
        </w:rPr>
        <w:t>tiene como antecedentes el Programa de Apoyo para el Fortalecimiento</w:t>
      </w:r>
      <w:r>
        <w:rPr>
          <w:rFonts w:ascii="Century Gothic" w:hAnsi="Century Gothic" w:cs="Arial"/>
          <w:bCs/>
          <w:sz w:val="24"/>
          <w:szCs w:val="24"/>
        </w:rPr>
        <w:t xml:space="preserve"> </w:t>
      </w:r>
      <w:r w:rsidRPr="002C6341">
        <w:rPr>
          <w:rFonts w:ascii="Century Gothic" w:hAnsi="Century Gothic" w:cs="Arial"/>
          <w:bCs/>
          <w:sz w:val="24"/>
          <w:szCs w:val="24"/>
        </w:rPr>
        <w:t>de las Entidades Federativas (PAFEF), financiado con el Ramo General 23,</w:t>
      </w:r>
      <w:r>
        <w:rPr>
          <w:rFonts w:ascii="Century Gothic" w:hAnsi="Century Gothic" w:cs="Arial"/>
          <w:bCs/>
          <w:sz w:val="24"/>
          <w:szCs w:val="24"/>
        </w:rPr>
        <w:t xml:space="preserve"> </w:t>
      </w:r>
      <w:r w:rsidRPr="002C6341">
        <w:rPr>
          <w:rFonts w:ascii="Century Gothic" w:hAnsi="Century Gothic" w:cs="Arial"/>
          <w:bCs/>
          <w:sz w:val="24"/>
          <w:szCs w:val="24"/>
        </w:rPr>
        <w:lastRenderedPageBreak/>
        <w:t>posterio</w:t>
      </w:r>
      <w:r>
        <w:rPr>
          <w:rFonts w:ascii="Century Gothic" w:hAnsi="Century Gothic" w:cs="Arial"/>
          <w:bCs/>
          <w:sz w:val="24"/>
          <w:szCs w:val="24"/>
        </w:rPr>
        <w:t>rmente por el Ramo General 39, hasta que a</w:t>
      </w:r>
      <w:r w:rsidRPr="002C6341">
        <w:rPr>
          <w:rFonts w:ascii="Century Gothic" w:hAnsi="Century Gothic" w:cs="Arial"/>
          <w:bCs/>
          <w:sz w:val="24"/>
          <w:szCs w:val="24"/>
        </w:rPr>
        <w:t xml:space="preserve"> partir de 2007 se integró al Ramo</w:t>
      </w:r>
      <w:r>
        <w:rPr>
          <w:rFonts w:ascii="Century Gothic" w:hAnsi="Century Gothic" w:cs="Arial"/>
          <w:bCs/>
          <w:sz w:val="24"/>
          <w:szCs w:val="24"/>
        </w:rPr>
        <w:t xml:space="preserve"> </w:t>
      </w:r>
      <w:r w:rsidRPr="002C6341">
        <w:rPr>
          <w:rFonts w:ascii="Century Gothic" w:hAnsi="Century Gothic" w:cs="Arial"/>
          <w:bCs/>
          <w:sz w:val="24"/>
          <w:szCs w:val="24"/>
        </w:rPr>
        <w:t>33 como uno de los ocho fondos de aportaciones federales</w:t>
      </w:r>
      <w:r w:rsidR="005C429F">
        <w:rPr>
          <w:rFonts w:ascii="Century Gothic" w:hAnsi="Century Gothic" w:cs="Arial"/>
          <w:bCs/>
          <w:sz w:val="24"/>
          <w:szCs w:val="24"/>
        </w:rPr>
        <w:t>.</w:t>
      </w:r>
      <w:r>
        <w:rPr>
          <w:rFonts w:ascii="Century Gothic" w:hAnsi="Century Gothic" w:cs="Arial"/>
          <w:bCs/>
          <w:sz w:val="24"/>
          <w:szCs w:val="24"/>
        </w:rPr>
        <w:t xml:space="preserve"> </w:t>
      </w:r>
    </w:p>
    <w:p w14:paraId="092378FF" w14:textId="77777777" w:rsidR="00BB7592" w:rsidRDefault="00BB7592" w:rsidP="00052688">
      <w:pPr>
        <w:spacing w:after="240"/>
        <w:jc w:val="both"/>
        <w:rPr>
          <w:rFonts w:ascii="Century Gothic" w:hAnsi="Century Gothic" w:cs="Arial"/>
          <w:bCs/>
          <w:sz w:val="24"/>
          <w:szCs w:val="24"/>
        </w:rPr>
      </w:pPr>
      <w:r>
        <w:rPr>
          <w:rFonts w:ascii="Century Gothic" w:hAnsi="Century Gothic" w:cs="Arial"/>
          <w:bCs/>
          <w:sz w:val="24"/>
          <w:szCs w:val="24"/>
        </w:rPr>
        <w:t>Así, l</w:t>
      </w:r>
      <w:r w:rsidRPr="00BB7592">
        <w:rPr>
          <w:rFonts w:ascii="Century Gothic" w:hAnsi="Century Gothic" w:cs="Arial"/>
          <w:bCs/>
          <w:sz w:val="24"/>
          <w:szCs w:val="24"/>
        </w:rPr>
        <w:t>os recursos del FAFEF se constituyeron como aportaciones federales que la Federación transfirió a las haciendas públicas de los estados y del</w:t>
      </w:r>
      <w:r>
        <w:rPr>
          <w:rFonts w:ascii="Century Gothic" w:hAnsi="Century Gothic" w:cs="Arial"/>
          <w:bCs/>
          <w:sz w:val="24"/>
          <w:szCs w:val="24"/>
        </w:rPr>
        <w:t xml:space="preserve"> </w:t>
      </w:r>
      <w:r w:rsidRPr="00BB7592">
        <w:rPr>
          <w:rFonts w:ascii="Century Gothic" w:hAnsi="Century Gothic" w:cs="Arial"/>
          <w:bCs/>
          <w:sz w:val="24"/>
          <w:szCs w:val="24"/>
        </w:rPr>
        <w:t>Distrito Federal</w:t>
      </w:r>
      <w:r>
        <w:rPr>
          <w:rFonts w:ascii="Century Gothic" w:hAnsi="Century Gothic" w:cs="Arial"/>
          <w:bCs/>
          <w:sz w:val="24"/>
          <w:szCs w:val="24"/>
        </w:rPr>
        <w:t>, para que estos las ejerzan, esto condicionado al cumplimiento de</w:t>
      </w:r>
      <w:r w:rsidR="00197C67">
        <w:rPr>
          <w:rFonts w:ascii="Century Gothic" w:hAnsi="Century Gothic" w:cs="Arial"/>
          <w:bCs/>
          <w:sz w:val="24"/>
          <w:szCs w:val="24"/>
        </w:rPr>
        <w:t xml:space="preserve"> </w:t>
      </w:r>
      <w:r>
        <w:rPr>
          <w:rFonts w:ascii="Century Gothic" w:hAnsi="Century Gothic" w:cs="Arial"/>
          <w:bCs/>
          <w:sz w:val="24"/>
          <w:szCs w:val="24"/>
        </w:rPr>
        <w:t xml:space="preserve">la normatividad que en este caso es la LCF que en su artículo 47 establece las condiciones para dicho Fondo, dando </w:t>
      </w:r>
      <w:r w:rsidRPr="00BB7592">
        <w:rPr>
          <w:rFonts w:ascii="Century Gothic" w:hAnsi="Century Gothic" w:cs="Arial"/>
          <w:bCs/>
          <w:sz w:val="24"/>
          <w:szCs w:val="24"/>
        </w:rPr>
        <w:t>certeza jurídica y presupuestaria a los recursos que las entidades</w:t>
      </w:r>
      <w:r>
        <w:rPr>
          <w:rFonts w:ascii="Century Gothic" w:hAnsi="Century Gothic" w:cs="Arial"/>
          <w:bCs/>
          <w:sz w:val="24"/>
          <w:szCs w:val="24"/>
        </w:rPr>
        <w:t xml:space="preserve"> </w:t>
      </w:r>
      <w:r w:rsidRPr="00BB7592">
        <w:rPr>
          <w:rFonts w:ascii="Century Gothic" w:hAnsi="Century Gothic" w:cs="Arial"/>
          <w:bCs/>
          <w:sz w:val="24"/>
          <w:szCs w:val="24"/>
        </w:rPr>
        <w:t>federativas reciben por medio del FAFEF</w:t>
      </w:r>
    </w:p>
    <w:p w14:paraId="30E587BC" w14:textId="77777777" w:rsidR="004261FE" w:rsidRDefault="005D2B67" w:rsidP="00052688">
      <w:pPr>
        <w:spacing w:after="240"/>
        <w:jc w:val="both"/>
        <w:rPr>
          <w:rFonts w:ascii="Century Gothic" w:hAnsi="Century Gothic" w:cs="Arial"/>
          <w:bCs/>
          <w:sz w:val="24"/>
          <w:szCs w:val="24"/>
        </w:rPr>
      </w:pPr>
      <w:r>
        <w:rPr>
          <w:rFonts w:ascii="Century Gothic" w:hAnsi="Century Gothic" w:cs="Arial"/>
          <w:bCs/>
          <w:sz w:val="24"/>
          <w:szCs w:val="24"/>
        </w:rPr>
        <w:t>El objeto del FAFEF es:</w:t>
      </w:r>
    </w:p>
    <w:p w14:paraId="7094FA81" w14:textId="77777777" w:rsidR="005D2B67" w:rsidRDefault="005D2B67" w:rsidP="00052688">
      <w:pPr>
        <w:spacing w:after="240"/>
        <w:ind w:left="284" w:right="333"/>
        <w:jc w:val="both"/>
        <w:rPr>
          <w:rFonts w:ascii="Century Gothic" w:hAnsi="Century Gothic" w:cs="Arial"/>
          <w:bCs/>
          <w:sz w:val="24"/>
          <w:szCs w:val="24"/>
        </w:rPr>
      </w:pPr>
      <w:r>
        <w:rPr>
          <w:rFonts w:ascii="Century Gothic" w:hAnsi="Century Gothic" w:cs="Arial"/>
          <w:bCs/>
          <w:sz w:val="24"/>
          <w:szCs w:val="24"/>
        </w:rPr>
        <w:t>F</w:t>
      </w:r>
      <w:r w:rsidRPr="005D2B67">
        <w:rPr>
          <w:rFonts w:ascii="Century Gothic" w:hAnsi="Century Gothic" w:cs="Arial"/>
          <w:bCs/>
          <w:sz w:val="24"/>
          <w:szCs w:val="24"/>
        </w:rPr>
        <w:t>ortalecer los presupuestos de los estados y del</w:t>
      </w:r>
      <w:r>
        <w:rPr>
          <w:rFonts w:ascii="Century Gothic" w:hAnsi="Century Gothic" w:cs="Arial"/>
          <w:bCs/>
          <w:sz w:val="24"/>
          <w:szCs w:val="24"/>
        </w:rPr>
        <w:t xml:space="preserve"> </w:t>
      </w:r>
      <w:r w:rsidRPr="005D2B67">
        <w:rPr>
          <w:rFonts w:ascii="Century Gothic" w:hAnsi="Century Gothic" w:cs="Arial"/>
          <w:bCs/>
          <w:sz w:val="24"/>
          <w:szCs w:val="24"/>
        </w:rPr>
        <w:t>Distrito Federal y las regiones que conforman, así como su saneamiento financiero; las</w:t>
      </w:r>
      <w:r>
        <w:rPr>
          <w:rFonts w:ascii="Century Gothic" w:hAnsi="Century Gothic" w:cs="Arial"/>
          <w:bCs/>
          <w:sz w:val="24"/>
          <w:szCs w:val="24"/>
        </w:rPr>
        <w:t xml:space="preserve"> </w:t>
      </w:r>
      <w:r w:rsidRPr="005D2B67">
        <w:rPr>
          <w:rFonts w:ascii="Century Gothic" w:hAnsi="Century Gothic" w:cs="Arial"/>
          <w:bCs/>
          <w:sz w:val="24"/>
          <w:szCs w:val="24"/>
        </w:rPr>
        <w:t>entidades federativas pueden convenir entre ellas, o con el Gobierno Federal, su aplicación,</w:t>
      </w:r>
      <w:r>
        <w:rPr>
          <w:rFonts w:ascii="Century Gothic" w:hAnsi="Century Gothic" w:cs="Arial"/>
          <w:bCs/>
          <w:sz w:val="24"/>
          <w:szCs w:val="24"/>
        </w:rPr>
        <w:t xml:space="preserve"> </w:t>
      </w:r>
      <w:r w:rsidRPr="005D2B67">
        <w:rPr>
          <w:rFonts w:ascii="Century Gothic" w:hAnsi="Century Gothic" w:cs="Arial"/>
          <w:bCs/>
          <w:sz w:val="24"/>
          <w:szCs w:val="24"/>
        </w:rPr>
        <w:t>de acuerdo con los destinos previstos en la ley</w:t>
      </w:r>
      <w:r>
        <w:rPr>
          <w:rFonts w:ascii="Century Gothic" w:hAnsi="Century Gothic" w:cs="Arial"/>
          <w:bCs/>
          <w:sz w:val="24"/>
          <w:szCs w:val="24"/>
        </w:rPr>
        <w:t>. (LCF, 2018).</w:t>
      </w:r>
    </w:p>
    <w:p w14:paraId="1E5B2472" w14:textId="77777777" w:rsidR="005D2B67" w:rsidRDefault="005D2B67" w:rsidP="00052688">
      <w:pPr>
        <w:spacing w:after="240"/>
        <w:jc w:val="both"/>
        <w:rPr>
          <w:rFonts w:ascii="Century Gothic" w:hAnsi="Century Gothic" w:cs="Arial"/>
          <w:bCs/>
          <w:sz w:val="24"/>
          <w:szCs w:val="24"/>
        </w:rPr>
      </w:pPr>
      <w:r>
        <w:rPr>
          <w:rFonts w:ascii="Century Gothic" w:hAnsi="Century Gothic" w:cs="Arial"/>
          <w:bCs/>
          <w:sz w:val="24"/>
          <w:szCs w:val="24"/>
        </w:rPr>
        <w:t xml:space="preserve">La LCF en su </w:t>
      </w:r>
      <w:r w:rsidRPr="005D2B67">
        <w:rPr>
          <w:rFonts w:ascii="Century Gothic" w:hAnsi="Century Gothic" w:cs="Arial"/>
          <w:b/>
          <w:bCs/>
          <w:sz w:val="24"/>
          <w:szCs w:val="24"/>
        </w:rPr>
        <w:t>artículo 47</w:t>
      </w:r>
      <w:r>
        <w:rPr>
          <w:rFonts w:ascii="Century Gothic" w:hAnsi="Century Gothic" w:cs="Arial"/>
          <w:bCs/>
          <w:sz w:val="24"/>
          <w:szCs w:val="24"/>
        </w:rPr>
        <w:t>, establece los rubros en los que se puede ejecutar los recursos del FAFEF:</w:t>
      </w:r>
    </w:p>
    <w:p w14:paraId="2991ED60" w14:textId="77777777" w:rsidR="005D2B67" w:rsidRPr="005D2B67" w:rsidRDefault="005D2B67" w:rsidP="00052688">
      <w:pPr>
        <w:spacing w:after="240"/>
        <w:ind w:left="284" w:right="333"/>
        <w:jc w:val="both"/>
        <w:rPr>
          <w:rFonts w:ascii="Century Gothic" w:hAnsi="Century Gothic" w:cs="Arial"/>
          <w:bCs/>
          <w:sz w:val="24"/>
          <w:szCs w:val="24"/>
        </w:rPr>
      </w:pPr>
      <w:r w:rsidRPr="005D2B67">
        <w:rPr>
          <w:rFonts w:ascii="Century Gothic" w:hAnsi="Century Gothic" w:cs="Arial"/>
          <w:bCs/>
          <w:sz w:val="24"/>
          <w:szCs w:val="24"/>
        </w:rPr>
        <w:t xml:space="preserve">I. A la </w:t>
      </w:r>
      <w:r w:rsidRPr="005D2B67">
        <w:rPr>
          <w:rFonts w:ascii="Century Gothic" w:hAnsi="Century Gothic" w:cs="Arial"/>
          <w:b/>
          <w:bCs/>
          <w:sz w:val="24"/>
          <w:szCs w:val="24"/>
        </w:rPr>
        <w:t>inversión en infraestructura física</w:t>
      </w:r>
      <w:r w:rsidRPr="005D2B67">
        <w:rPr>
          <w:rFonts w:ascii="Century Gothic" w:hAnsi="Century Gothic" w:cs="Arial"/>
          <w:bCs/>
          <w:sz w:val="24"/>
          <w:szCs w:val="24"/>
        </w:rPr>
        <w:t>, incluyendo la construcción, reconstrucción,</w:t>
      </w:r>
      <w:r>
        <w:rPr>
          <w:rFonts w:ascii="Century Gothic" w:hAnsi="Century Gothic" w:cs="Arial"/>
          <w:bCs/>
          <w:sz w:val="24"/>
          <w:szCs w:val="24"/>
        </w:rPr>
        <w:t xml:space="preserve"> </w:t>
      </w:r>
      <w:r w:rsidRPr="005D2B67">
        <w:rPr>
          <w:rFonts w:ascii="Century Gothic" w:hAnsi="Century Gothic" w:cs="Arial"/>
          <w:bCs/>
          <w:sz w:val="24"/>
          <w:szCs w:val="24"/>
        </w:rPr>
        <w:t>ampliación, mantenimiento y conservación de infraestructura; así como la adquisición de</w:t>
      </w:r>
      <w:r>
        <w:rPr>
          <w:rFonts w:ascii="Century Gothic" w:hAnsi="Century Gothic" w:cs="Arial"/>
          <w:bCs/>
          <w:sz w:val="24"/>
          <w:szCs w:val="24"/>
        </w:rPr>
        <w:t xml:space="preserve"> </w:t>
      </w:r>
      <w:r w:rsidRPr="005D2B67">
        <w:rPr>
          <w:rFonts w:ascii="Century Gothic" w:hAnsi="Century Gothic" w:cs="Arial"/>
          <w:bCs/>
          <w:sz w:val="24"/>
          <w:szCs w:val="24"/>
        </w:rPr>
        <w:t>bienes para el equipamiento de las obras generadas o adquiridas; infraestructura</w:t>
      </w:r>
      <w:r>
        <w:rPr>
          <w:rFonts w:ascii="Century Gothic" w:hAnsi="Century Gothic" w:cs="Arial"/>
          <w:bCs/>
          <w:sz w:val="24"/>
          <w:szCs w:val="24"/>
        </w:rPr>
        <w:t xml:space="preserve"> </w:t>
      </w:r>
      <w:r w:rsidRPr="005D2B67">
        <w:rPr>
          <w:rFonts w:ascii="Century Gothic" w:hAnsi="Century Gothic" w:cs="Arial"/>
          <w:bCs/>
          <w:sz w:val="24"/>
          <w:szCs w:val="24"/>
        </w:rPr>
        <w:t>hidroagrícola, y hasta un 3 por ciento del costo del programa o proyecto programado en el</w:t>
      </w:r>
      <w:r>
        <w:rPr>
          <w:rFonts w:ascii="Century Gothic" w:hAnsi="Century Gothic" w:cs="Arial"/>
          <w:bCs/>
          <w:sz w:val="24"/>
          <w:szCs w:val="24"/>
        </w:rPr>
        <w:t xml:space="preserve"> </w:t>
      </w:r>
      <w:r w:rsidRPr="005D2B67">
        <w:rPr>
          <w:rFonts w:ascii="Century Gothic" w:hAnsi="Century Gothic" w:cs="Arial"/>
          <w:bCs/>
          <w:sz w:val="24"/>
          <w:szCs w:val="24"/>
        </w:rPr>
        <w:t>ejercicio fiscal correspondiente, para gastos indirectos por concepto de realización de</w:t>
      </w:r>
      <w:r>
        <w:rPr>
          <w:rFonts w:ascii="Century Gothic" w:hAnsi="Century Gothic" w:cs="Arial"/>
          <w:bCs/>
          <w:sz w:val="24"/>
          <w:szCs w:val="24"/>
        </w:rPr>
        <w:t xml:space="preserve"> </w:t>
      </w:r>
      <w:r w:rsidRPr="005D2B67">
        <w:rPr>
          <w:rFonts w:ascii="Century Gothic" w:hAnsi="Century Gothic" w:cs="Arial"/>
          <w:bCs/>
          <w:sz w:val="24"/>
          <w:szCs w:val="24"/>
        </w:rPr>
        <w:t>estudios, elaboración y evaluación de proyectos, supervisión y control de estas obras de</w:t>
      </w:r>
      <w:r>
        <w:rPr>
          <w:rFonts w:ascii="Century Gothic" w:hAnsi="Century Gothic" w:cs="Arial"/>
          <w:bCs/>
          <w:sz w:val="24"/>
          <w:szCs w:val="24"/>
        </w:rPr>
        <w:t xml:space="preserve"> </w:t>
      </w:r>
      <w:r w:rsidRPr="005D2B67">
        <w:rPr>
          <w:rFonts w:ascii="Century Gothic" w:hAnsi="Century Gothic" w:cs="Arial"/>
          <w:bCs/>
          <w:sz w:val="24"/>
          <w:szCs w:val="24"/>
        </w:rPr>
        <w:t>infraestructura;</w:t>
      </w:r>
    </w:p>
    <w:p w14:paraId="5E4C4C0C" w14:textId="77777777" w:rsidR="005D2B67" w:rsidRPr="005D2B67" w:rsidRDefault="005D2B67" w:rsidP="00052688">
      <w:pPr>
        <w:spacing w:after="240"/>
        <w:ind w:left="284" w:right="333"/>
        <w:jc w:val="both"/>
        <w:rPr>
          <w:rFonts w:ascii="Century Gothic" w:hAnsi="Century Gothic" w:cs="Arial"/>
          <w:bCs/>
          <w:sz w:val="24"/>
          <w:szCs w:val="24"/>
        </w:rPr>
      </w:pPr>
      <w:r w:rsidRPr="005D2B67">
        <w:rPr>
          <w:rFonts w:ascii="Century Gothic" w:hAnsi="Century Gothic" w:cs="Arial"/>
          <w:bCs/>
          <w:sz w:val="24"/>
          <w:szCs w:val="24"/>
        </w:rPr>
        <w:t xml:space="preserve">II. Al </w:t>
      </w:r>
      <w:r w:rsidRPr="005D2B67">
        <w:rPr>
          <w:rFonts w:ascii="Century Gothic" w:hAnsi="Century Gothic" w:cs="Arial"/>
          <w:b/>
          <w:bCs/>
          <w:sz w:val="24"/>
          <w:szCs w:val="24"/>
        </w:rPr>
        <w:t>saneamiento financiero</w:t>
      </w:r>
      <w:r w:rsidRPr="005D2B67">
        <w:rPr>
          <w:rFonts w:ascii="Century Gothic" w:hAnsi="Century Gothic" w:cs="Arial"/>
          <w:bCs/>
          <w:sz w:val="24"/>
          <w:szCs w:val="24"/>
        </w:rPr>
        <w:t>, preferentemente a través de la amortización de deuda pública,</w:t>
      </w:r>
      <w:r>
        <w:rPr>
          <w:rFonts w:ascii="Century Gothic" w:hAnsi="Century Gothic" w:cs="Arial"/>
          <w:bCs/>
          <w:sz w:val="24"/>
          <w:szCs w:val="24"/>
        </w:rPr>
        <w:t xml:space="preserve"> </w:t>
      </w:r>
      <w:r w:rsidRPr="005D2B67">
        <w:rPr>
          <w:rFonts w:ascii="Century Gothic" w:hAnsi="Century Gothic" w:cs="Arial"/>
          <w:bCs/>
          <w:sz w:val="24"/>
          <w:szCs w:val="24"/>
        </w:rPr>
        <w:t>expresada como una reducción al saldo registrado al 31 de diciembre del año inmediato</w:t>
      </w:r>
      <w:r>
        <w:rPr>
          <w:rFonts w:ascii="Century Gothic" w:hAnsi="Century Gothic" w:cs="Arial"/>
          <w:bCs/>
          <w:sz w:val="24"/>
          <w:szCs w:val="24"/>
        </w:rPr>
        <w:t xml:space="preserve"> </w:t>
      </w:r>
      <w:r w:rsidRPr="005D2B67">
        <w:rPr>
          <w:rFonts w:ascii="Century Gothic" w:hAnsi="Century Gothic" w:cs="Arial"/>
          <w:bCs/>
          <w:sz w:val="24"/>
          <w:szCs w:val="24"/>
        </w:rPr>
        <w:t>anterior. Asimismo, podrán realizarse otras acciones de saneamiento financiero, siempre y</w:t>
      </w:r>
      <w:r>
        <w:rPr>
          <w:rFonts w:ascii="Century Gothic" w:hAnsi="Century Gothic" w:cs="Arial"/>
          <w:bCs/>
          <w:sz w:val="24"/>
          <w:szCs w:val="24"/>
        </w:rPr>
        <w:t xml:space="preserve"> </w:t>
      </w:r>
      <w:r w:rsidRPr="005D2B67">
        <w:rPr>
          <w:rFonts w:ascii="Century Gothic" w:hAnsi="Century Gothic" w:cs="Arial"/>
          <w:bCs/>
          <w:sz w:val="24"/>
          <w:szCs w:val="24"/>
        </w:rPr>
        <w:t>cuando se acredite un impacto favorable en la fortaleza de las finanzas públicas locales;</w:t>
      </w:r>
    </w:p>
    <w:p w14:paraId="300E4FD6" w14:textId="77777777" w:rsidR="005D2B67" w:rsidRDefault="005D2B67" w:rsidP="00052688">
      <w:pPr>
        <w:spacing w:after="240"/>
        <w:ind w:left="284" w:right="333"/>
        <w:jc w:val="both"/>
        <w:rPr>
          <w:rFonts w:ascii="Century Gothic" w:hAnsi="Century Gothic" w:cs="Arial"/>
          <w:bCs/>
          <w:sz w:val="24"/>
          <w:szCs w:val="24"/>
        </w:rPr>
      </w:pPr>
      <w:r w:rsidRPr="005D2B67">
        <w:rPr>
          <w:rFonts w:ascii="Century Gothic" w:hAnsi="Century Gothic" w:cs="Arial"/>
          <w:bCs/>
          <w:sz w:val="24"/>
          <w:szCs w:val="24"/>
        </w:rPr>
        <w:lastRenderedPageBreak/>
        <w:t xml:space="preserve">III. Para apoyar el </w:t>
      </w:r>
      <w:r w:rsidRPr="005D2B67">
        <w:rPr>
          <w:rFonts w:ascii="Century Gothic" w:hAnsi="Century Gothic" w:cs="Arial"/>
          <w:b/>
          <w:bCs/>
          <w:sz w:val="24"/>
          <w:szCs w:val="24"/>
        </w:rPr>
        <w:t>saneamiento de pensiones</w:t>
      </w:r>
      <w:r w:rsidRPr="005D2B67">
        <w:rPr>
          <w:rFonts w:ascii="Century Gothic" w:hAnsi="Century Gothic" w:cs="Arial"/>
          <w:bCs/>
          <w:sz w:val="24"/>
          <w:szCs w:val="24"/>
        </w:rPr>
        <w:t xml:space="preserve"> y, en su caso, reformas a los sistemas de</w:t>
      </w:r>
      <w:r>
        <w:rPr>
          <w:rFonts w:ascii="Century Gothic" w:hAnsi="Century Gothic" w:cs="Arial"/>
          <w:bCs/>
          <w:sz w:val="24"/>
          <w:szCs w:val="24"/>
        </w:rPr>
        <w:t xml:space="preserve"> </w:t>
      </w:r>
      <w:r w:rsidRPr="005D2B67">
        <w:rPr>
          <w:rFonts w:ascii="Century Gothic" w:hAnsi="Century Gothic" w:cs="Arial"/>
          <w:bCs/>
          <w:sz w:val="24"/>
          <w:szCs w:val="24"/>
        </w:rPr>
        <w:t>pensiones de los Estados y del Distrito Federal, prioritariamente a las reservas actuariales;</w:t>
      </w:r>
      <w:r>
        <w:rPr>
          <w:rFonts w:ascii="Century Gothic" w:hAnsi="Century Gothic" w:cs="Arial"/>
          <w:bCs/>
          <w:sz w:val="24"/>
          <w:szCs w:val="24"/>
        </w:rPr>
        <w:t xml:space="preserve"> </w:t>
      </w:r>
    </w:p>
    <w:p w14:paraId="301998AA" w14:textId="77777777" w:rsidR="005D2B67" w:rsidRDefault="005D2B67" w:rsidP="00052688">
      <w:pPr>
        <w:spacing w:after="240"/>
        <w:ind w:left="284" w:right="333"/>
        <w:jc w:val="both"/>
        <w:rPr>
          <w:rFonts w:ascii="Century Gothic" w:hAnsi="Century Gothic" w:cs="Arial"/>
          <w:bCs/>
          <w:sz w:val="24"/>
          <w:szCs w:val="24"/>
        </w:rPr>
      </w:pPr>
      <w:r w:rsidRPr="005D2B67">
        <w:rPr>
          <w:rFonts w:ascii="Century Gothic" w:hAnsi="Century Gothic" w:cs="Arial"/>
          <w:bCs/>
          <w:sz w:val="24"/>
          <w:szCs w:val="24"/>
        </w:rPr>
        <w:t xml:space="preserve">IV. A la </w:t>
      </w:r>
      <w:r w:rsidRPr="005D2B67">
        <w:rPr>
          <w:rFonts w:ascii="Century Gothic" w:hAnsi="Century Gothic" w:cs="Arial"/>
          <w:b/>
          <w:bCs/>
          <w:sz w:val="24"/>
          <w:szCs w:val="24"/>
        </w:rPr>
        <w:t>modernización de los registros públicos de la propiedad y del comercio locales</w:t>
      </w:r>
      <w:r w:rsidRPr="005D2B67">
        <w:rPr>
          <w:rFonts w:ascii="Century Gothic" w:hAnsi="Century Gothic" w:cs="Arial"/>
          <w:bCs/>
          <w:sz w:val="24"/>
          <w:szCs w:val="24"/>
        </w:rPr>
        <w:t>, en el</w:t>
      </w:r>
      <w:r>
        <w:rPr>
          <w:rFonts w:ascii="Century Gothic" w:hAnsi="Century Gothic" w:cs="Arial"/>
          <w:bCs/>
          <w:sz w:val="24"/>
          <w:szCs w:val="24"/>
        </w:rPr>
        <w:t xml:space="preserve"> </w:t>
      </w:r>
      <w:r w:rsidRPr="005D2B67">
        <w:rPr>
          <w:rFonts w:ascii="Century Gothic" w:hAnsi="Century Gothic" w:cs="Arial"/>
          <w:bCs/>
          <w:sz w:val="24"/>
          <w:szCs w:val="24"/>
        </w:rPr>
        <w:t>marco de la coordinación para homologar los registros públicos; así como para</w:t>
      </w:r>
      <w:r>
        <w:rPr>
          <w:rFonts w:ascii="Century Gothic" w:hAnsi="Century Gothic" w:cs="Arial"/>
          <w:bCs/>
          <w:sz w:val="24"/>
          <w:szCs w:val="24"/>
        </w:rPr>
        <w:t xml:space="preserve"> </w:t>
      </w:r>
      <w:r w:rsidRPr="005D2B67">
        <w:rPr>
          <w:rFonts w:ascii="Century Gothic" w:hAnsi="Century Gothic" w:cs="Arial"/>
          <w:bCs/>
          <w:sz w:val="24"/>
          <w:szCs w:val="24"/>
        </w:rPr>
        <w:t>modernización de los catastros, con el objeto de actualizar los valores de los bienes y hacer</w:t>
      </w:r>
      <w:r>
        <w:rPr>
          <w:rFonts w:ascii="Century Gothic" w:hAnsi="Century Gothic" w:cs="Arial"/>
          <w:bCs/>
          <w:sz w:val="24"/>
          <w:szCs w:val="24"/>
        </w:rPr>
        <w:t xml:space="preserve"> </w:t>
      </w:r>
      <w:r w:rsidRPr="005D2B67">
        <w:rPr>
          <w:rFonts w:ascii="Century Gothic" w:hAnsi="Century Gothic" w:cs="Arial"/>
          <w:bCs/>
          <w:sz w:val="24"/>
          <w:szCs w:val="24"/>
        </w:rPr>
        <w:t>más eficiente la recaudación de contribuciones;</w:t>
      </w:r>
      <w:r>
        <w:rPr>
          <w:rFonts w:ascii="Century Gothic" w:hAnsi="Century Gothic" w:cs="Arial"/>
          <w:bCs/>
          <w:sz w:val="24"/>
          <w:szCs w:val="24"/>
        </w:rPr>
        <w:t xml:space="preserve"> </w:t>
      </w:r>
    </w:p>
    <w:p w14:paraId="61027604" w14:textId="77777777" w:rsidR="005D2B67" w:rsidRPr="005D2B67" w:rsidRDefault="005D2B67" w:rsidP="00052688">
      <w:pPr>
        <w:spacing w:after="240"/>
        <w:ind w:left="284" w:right="333"/>
        <w:jc w:val="both"/>
        <w:rPr>
          <w:rFonts w:ascii="Century Gothic" w:hAnsi="Century Gothic" w:cs="Arial"/>
          <w:bCs/>
          <w:sz w:val="24"/>
          <w:szCs w:val="24"/>
        </w:rPr>
      </w:pPr>
      <w:r w:rsidRPr="005D2B67">
        <w:rPr>
          <w:rFonts w:ascii="Century Gothic" w:hAnsi="Century Gothic" w:cs="Arial"/>
          <w:bCs/>
          <w:sz w:val="24"/>
          <w:szCs w:val="24"/>
        </w:rPr>
        <w:t xml:space="preserve">V. Para </w:t>
      </w:r>
      <w:r w:rsidRPr="005D2B67">
        <w:rPr>
          <w:rFonts w:ascii="Century Gothic" w:hAnsi="Century Gothic" w:cs="Arial"/>
          <w:b/>
          <w:bCs/>
          <w:sz w:val="24"/>
          <w:szCs w:val="24"/>
        </w:rPr>
        <w:t>modernizar los sistemas de recaudación locales</w:t>
      </w:r>
      <w:r w:rsidRPr="005D2B67">
        <w:rPr>
          <w:rFonts w:ascii="Century Gothic" w:hAnsi="Century Gothic" w:cs="Arial"/>
          <w:bCs/>
          <w:sz w:val="24"/>
          <w:szCs w:val="24"/>
        </w:rPr>
        <w:t xml:space="preserve"> y para desarrollar mecanismos</w:t>
      </w:r>
      <w:r>
        <w:rPr>
          <w:rFonts w:ascii="Century Gothic" w:hAnsi="Century Gothic" w:cs="Arial"/>
          <w:bCs/>
          <w:sz w:val="24"/>
          <w:szCs w:val="24"/>
        </w:rPr>
        <w:t xml:space="preserve"> </w:t>
      </w:r>
      <w:r w:rsidRPr="005D2B67">
        <w:rPr>
          <w:rFonts w:ascii="Century Gothic" w:hAnsi="Century Gothic" w:cs="Arial"/>
          <w:bCs/>
          <w:sz w:val="24"/>
          <w:szCs w:val="24"/>
        </w:rPr>
        <w:t>impositivos que permitan ampliar la base gravable de las contribuciones locales, lo cual</w:t>
      </w:r>
      <w:r>
        <w:rPr>
          <w:rFonts w:ascii="Century Gothic" w:hAnsi="Century Gothic" w:cs="Arial"/>
          <w:bCs/>
          <w:sz w:val="24"/>
          <w:szCs w:val="24"/>
        </w:rPr>
        <w:t xml:space="preserve"> </w:t>
      </w:r>
      <w:r w:rsidRPr="005D2B67">
        <w:rPr>
          <w:rFonts w:ascii="Century Gothic" w:hAnsi="Century Gothic" w:cs="Arial"/>
          <w:bCs/>
          <w:sz w:val="24"/>
          <w:szCs w:val="24"/>
        </w:rPr>
        <w:t>genere un incremento neto en la recaudación;</w:t>
      </w:r>
    </w:p>
    <w:p w14:paraId="36766380" w14:textId="77777777" w:rsidR="005D2B67" w:rsidRPr="005D2B67" w:rsidRDefault="005D2B67" w:rsidP="00052688">
      <w:pPr>
        <w:spacing w:after="240"/>
        <w:ind w:left="284" w:right="333"/>
        <w:jc w:val="both"/>
        <w:rPr>
          <w:rFonts w:ascii="Century Gothic" w:hAnsi="Century Gothic" w:cs="Arial"/>
          <w:bCs/>
          <w:sz w:val="24"/>
          <w:szCs w:val="24"/>
        </w:rPr>
      </w:pPr>
      <w:r w:rsidRPr="005D2B67">
        <w:rPr>
          <w:rFonts w:ascii="Century Gothic" w:hAnsi="Century Gothic" w:cs="Arial"/>
          <w:bCs/>
          <w:sz w:val="24"/>
          <w:szCs w:val="24"/>
        </w:rPr>
        <w:t xml:space="preserve">VI. Al fortalecimiento de los </w:t>
      </w:r>
      <w:r w:rsidRPr="005D2B67">
        <w:rPr>
          <w:rFonts w:ascii="Century Gothic" w:hAnsi="Century Gothic" w:cs="Arial"/>
          <w:b/>
          <w:bCs/>
          <w:sz w:val="24"/>
          <w:szCs w:val="24"/>
        </w:rPr>
        <w:t>proyectos de investigación científica y desarrollo tecnológico</w:t>
      </w:r>
      <w:r w:rsidRPr="005D2B67">
        <w:rPr>
          <w:rFonts w:ascii="Century Gothic" w:hAnsi="Century Gothic" w:cs="Arial"/>
          <w:bCs/>
          <w:sz w:val="24"/>
          <w:szCs w:val="24"/>
        </w:rPr>
        <w:t>,</w:t>
      </w:r>
      <w:r>
        <w:rPr>
          <w:rFonts w:ascii="Century Gothic" w:hAnsi="Century Gothic" w:cs="Arial"/>
          <w:bCs/>
          <w:sz w:val="24"/>
          <w:szCs w:val="24"/>
        </w:rPr>
        <w:t xml:space="preserve"> </w:t>
      </w:r>
      <w:r w:rsidRPr="005D2B67">
        <w:rPr>
          <w:rFonts w:ascii="Century Gothic" w:hAnsi="Century Gothic" w:cs="Arial"/>
          <w:bCs/>
          <w:sz w:val="24"/>
          <w:szCs w:val="24"/>
        </w:rPr>
        <w:t>siempre y cuando las aportaciones federales destinadas a este rubro sean adicionales a los</w:t>
      </w:r>
      <w:r>
        <w:rPr>
          <w:rFonts w:ascii="Century Gothic" w:hAnsi="Century Gothic" w:cs="Arial"/>
          <w:bCs/>
          <w:sz w:val="24"/>
          <w:szCs w:val="24"/>
        </w:rPr>
        <w:t xml:space="preserve"> </w:t>
      </w:r>
      <w:r w:rsidRPr="005D2B67">
        <w:rPr>
          <w:rFonts w:ascii="Century Gothic" w:hAnsi="Century Gothic" w:cs="Arial"/>
          <w:bCs/>
          <w:sz w:val="24"/>
          <w:szCs w:val="24"/>
        </w:rPr>
        <w:t>recursos de naturaleza local aprobados por las legislaturas locales en dicha materia;</w:t>
      </w:r>
    </w:p>
    <w:p w14:paraId="76D3FC7D" w14:textId="77777777" w:rsidR="005D2B67" w:rsidRDefault="005D2B67" w:rsidP="00052688">
      <w:pPr>
        <w:spacing w:after="240"/>
        <w:ind w:left="284" w:right="333"/>
        <w:jc w:val="both"/>
        <w:rPr>
          <w:rFonts w:ascii="Century Gothic" w:hAnsi="Century Gothic" w:cs="Arial"/>
          <w:bCs/>
          <w:sz w:val="24"/>
          <w:szCs w:val="24"/>
        </w:rPr>
      </w:pPr>
      <w:r w:rsidRPr="005D2B67">
        <w:rPr>
          <w:rFonts w:ascii="Century Gothic" w:hAnsi="Century Gothic" w:cs="Arial"/>
          <w:bCs/>
          <w:sz w:val="24"/>
          <w:szCs w:val="24"/>
        </w:rPr>
        <w:t xml:space="preserve">VII. Para los </w:t>
      </w:r>
      <w:r w:rsidRPr="005D2B67">
        <w:rPr>
          <w:rFonts w:ascii="Century Gothic" w:hAnsi="Century Gothic" w:cs="Arial"/>
          <w:b/>
          <w:bCs/>
          <w:sz w:val="24"/>
          <w:szCs w:val="24"/>
        </w:rPr>
        <w:t>sistemas de protección civil</w:t>
      </w:r>
      <w:r w:rsidRPr="005D2B67">
        <w:rPr>
          <w:rFonts w:ascii="Century Gothic" w:hAnsi="Century Gothic" w:cs="Arial"/>
          <w:bCs/>
          <w:sz w:val="24"/>
          <w:szCs w:val="24"/>
        </w:rPr>
        <w:t xml:space="preserve"> en los Estados y el Distrito Federal, siempre y cuando</w:t>
      </w:r>
      <w:r>
        <w:rPr>
          <w:rFonts w:ascii="Century Gothic" w:hAnsi="Century Gothic" w:cs="Arial"/>
          <w:bCs/>
          <w:sz w:val="24"/>
          <w:szCs w:val="24"/>
        </w:rPr>
        <w:t xml:space="preserve"> </w:t>
      </w:r>
      <w:r w:rsidRPr="005D2B67">
        <w:rPr>
          <w:rFonts w:ascii="Century Gothic" w:hAnsi="Century Gothic" w:cs="Arial"/>
          <w:bCs/>
          <w:sz w:val="24"/>
          <w:szCs w:val="24"/>
        </w:rPr>
        <w:t>las aportaciones federales destinadas a este rubro sean adicionales a los recursos de</w:t>
      </w:r>
      <w:r>
        <w:rPr>
          <w:rFonts w:ascii="Century Gothic" w:hAnsi="Century Gothic" w:cs="Arial"/>
          <w:bCs/>
          <w:sz w:val="24"/>
          <w:szCs w:val="24"/>
        </w:rPr>
        <w:t xml:space="preserve"> </w:t>
      </w:r>
      <w:r w:rsidRPr="005D2B67">
        <w:rPr>
          <w:rFonts w:ascii="Century Gothic" w:hAnsi="Century Gothic" w:cs="Arial"/>
          <w:bCs/>
          <w:sz w:val="24"/>
          <w:szCs w:val="24"/>
        </w:rPr>
        <w:t>naturaleza local aprobados por las legislaturas locales en dicha materia;</w:t>
      </w:r>
      <w:r>
        <w:rPr>
          <w:rFonts w:ascii="Century Gothic" w:hAnsi="Century Gothic" w:cs="Arial"/>
          <w:bCs/>
          <w:sz w:val="24"/>
          <w:szCs w:val="24"/>
        </w:rPr>
        <w:t xml:space="preserve"> </w:t>
      </w:r>
    </w:p>
    <w:p w14:paraId="3D8A4331" w14:textId="77777777" w:rsidR="005D2B67" w:rsidRPr="005D2B67" w:rsidRDefault="005D2B67" w:rsidP="00052688">
      <w:pPr>
        <w:spacing w:after="240"/>
        <w:ind w:left="284" w:right="333"/>
        <w:jc w:val="both"/>
        <w:rPr>
          <w:rFonts w:ascii="Century Gothic" w:hAnsi="Century Gothic" w:cs="Arial"/>
          <w:bCs/>
          <w:sz w:val="24"/>
          <w:szCs w:val="24"/>
        </w:rPr>
      </w:pPr>
      <w:r w:rsidRPr="005D2B67">
        <w:rPr>
          <w:rFonts w:ascii="Century Gothic" w:hAnsi="Century Gothic" w:cs="Arial"/>
          <w:bCs/>
          <w:sz w:val="24"/>
          <w:szCs w:val="24"/>
        </w:rPr>
        <w:t xml:space="preserve">VIII. Para </w:t>
      </w:r>
      <w:r w:rsidRPr="005D2B67">
        <w:rPr>
          <w:rFonts w:ascii="Century Gothic" w:hAnsi="Century Gothic" w:cs="Arial"/>
          <w:b/>
          <w:bCs/>
          <w:sz w:val="24"/>
          <w:szCs w:val="24"/>
        </w:rPr>
        <w:t>apoyar la educación pública</w:t>
      </w:r>
      <w:r w:rsidRPr="005D2B67">
        <w:rPr>
          <w:rFonts w:ascii="Century Gothic" w:hAnsi="Century Gothic" w:cs="Arial"/>
          <w:bCs/>
          <w:sz w:val="24"/>
          <w:szCs w:val="24"/>
        </w:rPr>
        <w:t>, siempre y cuando las aportaciones federales destinadas a</w:t>
      </w:r>
      <w:r>
        <w:rPr>
          <w:rFonts w:ascii="Century Gothic" w:hAnsi="Century Gothic" w:cs="Arial"/>
          <w:bCs/>
          <w:sz w:val="24"/>
          <w:szCs w:val="24"/>
        </w:rPr>
        <w:t xml:space="preserve"> </w:t>
      </w:r>
      <w:r w:rsidRPr="005D2B67">
        <w:rPr>
          <w:rFonts w:ascii="Century Gothic" w:hAnsi="Century Gothic" w:cs="Arial"/>
          <w:bCs/>
          <w:sz w:val="24"/>
          <w:szCs w:val="24"/>
        </w:rPr>
        <w:t>este rubro sean adicionales a los recursos de naturaleza local aprobados por las legislaturas</w:t>
      </w:r>
      <w:r>
        <w:rPr>
          <w:rFonts w:ascii="Century Gothic" w:hAnsi="Century Gothic" w:cs="Arial"/>
          <w:bCs/>
          <w:sz w:val="24"/>
          <w:szCs w:val="24"/>
        </w:rPr>
        <w:t xml:space="preserve"> </w:t>
      </w:r>
      <w:r w:rsidRPr="005D2B67">
        <w:rPr>
          <w:rFonts w:ascii="Century Gothic" w:hAnsi="Century Gothic" w:cs="Arial"/>
          <w:bCs/>
          <w:sz w:val="24"/>
          <w:szCs w:val="24"/>
        </w:rPr>
        <w:t>locales para dicha materia y que el monto de los recursos locales se incremente en términos</w:t>
      </w:r>
      <w:r>
        <w:rPr>
          <w:rFonts w:ascii="Century Gothic" w:hAnsi="Century Gothic" w:cs="Arial"/>
          <w:bCs/>
          <w:sz w:val="24"/>
          <w:szCs w:val="24"/>
        </w:rPr>
        <w:t xml:space="preserve"> </w:t>
      </w:r>
      <w:r w:rsidRPr="005D2B67">
        <w:rPr>
          <w:rFonts w:ascii="Century Gothic" w:hAnsi="Century Gothic" w:cs="Arial"/>
          <w:bCs/>
          <w:sz w:val="24"/>
          <w:szCs w:val="24"/>
        </w:rPr>
        <w:t>reales respecto al presupuestado en el año inmediato anterior, y</w:t>
      </w:r>
    </w:p>
    <w:p w14:paraId="7C408B55" w14:textId="77777777" w:rsidR="005D2B67" w:rsidRDefault="005D2B67" w:rsidP="00052688">
      <w:pPr>
        <w:spacing w:after="240"/>
        <w:ind w:left="284" w:right="333"/>
        <w:jc w:val="both"/>
        <w:rPr>
          <w:rFonts w:ascii="Century Gothic" w:hAnsi="Century Gothic" w:cs="Arial"/>
          <w:bCs/>
          <w:sz w:val="24"/>
          <w:szCs w:val="24"/>
        </w:rPr>
      </w:pPr>
      <w:r w:rsidRPr="005D2B67">
        <w:rPr>
          <w:rFonts w:ascii="Century Gothic" w:hAnsi="Century Gothic" w:cs="Arial"/>
          <w:bCs/>
          <w:sz w:val="24"/>
          <w:szCs w:val="24"/>
        </w:rPr>
        <w:t xml:space="preserve">IX. Para destinarlas a fondos constituidos por los Estados y el Distrito Federal para </w:t>
      </w:r>
      <w:r w:rsidRPr="005D2B67">
        <w:rPr>
          <w:rFonts w:ascii="Century Gothic" w:hAnsi="Century Gothic" w:cs="Arial"/>
          <w:b/>
          <w:bCs/>
          <w:sz w:val="24"/>
          <w:szCs w:val="24"/>
        </w:rPr>
        <w:t>apoyar proyectos de infraestructura concesionada o aquéllos donde se combinen recursos públicos y privados</w:t>
      </w:r>
      <w:r w:rsidRPr="005D2B67">
        <w:rPr>
          <w:rFonts w:ascii="Century Gothic" w:hAnsi="Century Gothic" w:cs="Arial"/>
          <w:bCs/>
          <w:sz w:val="24"/>
          <w:szCs w:val="24"/>
        </w:rPr>
        <w:t>; al pago de obras públicas de infraestructura que sean susceptibles de</w:t>
      </w:r>
      <w:r>
        <w:rPr>
          <w:rFonts w:ascii="Century Gothic" w:hAnsi="Century Gothic" w:cs="Arial"/>
          <w:bCs/>
          <w:sz w:val="24"/>
          <w:szCs w:val="24"/>
        </w:rPr>
        <w:t xml:space="preserve"> </w:t>
      </w:r>
      <w:r w:rsidRPr="005D2B67">
        <w:rPr>
          <w:rFonts w:ascii="Century Gothic" w:hAnsi="Century Gothic" w:cs="Arial"/>
          <w:bCs/>
          <w:sz w:val="24"/>
          <w:szCs w:val="24"/>
        </w:rPr>
        <w:t>complementarse con inversión privada, en forma inmediata o futura, así como a estudios,</w:t>
      </w:r>
      <w:r>
        <w:rPr>
          <w:rFonts w:ascii="Century Gothic" w:hAnsi="Century Gothic" w:cs="Arial"/>
          <w:bCs/>
          <w:sz w:val="24"/>
          <w:szCs w:val="24"/>
        </w:rPr>
        <w:t xml:space="preserve"> </w:t>
      </w:r>
      <w:r w:rsidRPr="005D2B67">
        <w:rPr>
          <w:rFonts w:ascii="Century Gothic" w:hAnsi="Century Gothic" w:cs="Arial"/>
          <w:bCs/>
          <w:sz w:val="24"/>
          <w:szCs w:val="24"/>
        </w:rPr>
        <w:t>proyectos, supervisión, liberación del derecho de vía, y otros bienes y servicios relacionados</w:t>
      </w:r>
      <w:r>
        <w:rPr>
          <w:rFonts w:ascii="Century Gothic" w:hAnsi="Century Gothic" w:cs="Arial"/>
          <w:bCs/>
          <w:sz w:val="24"/>
          <w:szCs w:val="24"/>
        </w:rPr>
        <w:t xml:space="preserve"> </w:t>
      </w:r>
      <w:r w:rsidRPr="005D2B67">
        <w:rPr>
          <w:rFonts w:ascii="Century Gothic" w:hAnsi="Century Gothic" w:cs="Arial"/>
          <w:bCs/>
          <w:sz w:val="24"/>
          <w:szCs w:val="24"/>
        </w:rPr>
        <w:t>con las mismas.</w:t>
      </w:r>
      <w:r>
        <w:rPr>
          <w:rFonts w:ascii="Century Gothic" w:hAnsi="Century Gothic" w:cs="Arial"/>
          <w:bCs/>
          <w:sz w:val="24"/>
          <w:szCs w:val="24"/>
        </w:rPr>
        <w:t xml:space="preserve"> (LCF, 2018)</w:t>
      </w:r>
    </w:p>
    <w:p w14:paraId="532E4898" w14:textId="77777777" w:rsidR="006479C0" w:rsidRDefault="00496D60" w:rsidP="00052688">
      <w:pPr>
        <w:spacing w:after="240"/>
        <w:jc w:val="both"/>
        <w:rPr>
          <w:rFonts w:ascii="Century Gothic" w:hAnsi="Century Gothic" w:cs="Arial"/>
          <w:bCs/>
          <w:sz w:val="24"/>
          <w:szCs w:val="24"/>
        </w:rPr>
      </w:pPr>
      <w:r>
        <w:rPr>
          <w:rFonts w:ascii="Century Gothic" w:hAnsi="Century Gothic" w:cs="Arial"/>
          <w:bCs/>
          <w:sz w:val="24"/>
          <w:szCs w:val="24"/>
        </w:rPr>
        <w:lastRenderedPageBreak/>
        <w:t>Como se menciona en la LCF, son varios los rubros en los que se pueden utilizar los recursos del FAFEF, sin embargo uno de las grandes críticas a este fondo es que no cuenta con unos lineamientos específicos que regulen el destino y uso de los recursos, lo que genera poca claridad en el logro de su objetivo.</w:t>
      </w:r>
    </w:p>
    <w:p w14:paraId="31A3CDDB" w14:textId="77777777" w:rsidR="00496D60" w:rsidRDefault="00496D60" w:rsidP="00052688">
      <w:pPr>
        <w:spacing w:after="240"/>
        <w:jc w:val="both"/>
        <w:rPr>
          <w:rFonts w:ascii="Century Gothic" w:hAnsi="Century Gothic" w:cs="Arial"/>
          <w:bCs/>
          <w:sz w:val="24"/>
          <w:szCs w:val="24"/>
        </w:rPr>
      </w:pPr>
      <w:r>
        <w:rPr>
          <w:rFonts w:ascii="Century Gothic" w:hAnsi="Century Gothic" w:cs="Arial"/>
          <w:bCs/>
          <w:sz w:val="24"/>
          <w:szCs w:val="24"/>
        </w:rPr>
        <w:t>En una evaluación realizada en 2015 por CONEVAL, ha manifestado esta falta:</w:t>
      </w:r>
    </w:p>
    <w:p w14:paraId="741D0DD7" w14:textId="77777777" w:rsidR="005D2B67" w:rsidRDefault="006479C0" w:rsidP="00052688">
      <w:pPr>
        <w:spacing w:after="240"/>
        <w:ind w:left="284" w:right="333"/>
        <w:jc w:val="both"/>
        <w:rPr>
          <w:rFonts w:ascii="Century Gothic" w:hAnsi="Century Gothic" w:cs="Arial"/>
          <w:bCs/>
          <w:sz w:val="24"/>
          <w:szCs w:val="24"/>
        </w:rPr>
      </w:pPr>
      <w:r w:rsidRPr="006479C0">
        <w:rPr>
          <w:rFonts w:ascii="Century Gothic" w:hAnsi="Century Gothic" w:cs="Arial"/>
          <w:bCs/>
          <w:sz w:val="24"/>
          <w:szCs w:val="24"/>
        </w:rPr>
        <w:t>Los recursos del FAFEF, tal como se plantea en la LCF, pueden utilizarse para casi cualquier fin. Por lo tanto, no es claro ni preciso cuál es el objetivo de este fondo. Asimismo, si se analiza detenidamente la LCF, varios de los rubros en los que se pueden emplear los recursos no deberían tener un carácter permanente. Por ejemplo, modernizar el Registro Público de la Propiedad de forma indefinida, o sanear el sistema de pensiones. En este sentido, es necesario también cuestionar la generación de incentivos negativos cuando estos recursos se pueden aprovechar para solventar problemas financieros.</w:t>
      </w:r>
      <w:r w:rsidR="00662DF0">
        <w:rPr>
          <w:rFonts w:ascii="Century Gothic" w:hAnsi="Century Gothic" w:cs="Arial"/>
          <w:bCs/>
          <w:sz w:val="24"/>
          <w:szCs w:val="24"/>
        </w:rPr>
        <w:t xml:space="preserve"> (CONEVAL, 2015, p:70)</w:t>
      </w:r>
    </w:p>
    <w:p w14:paraId="19A8F5A8" w14:textId="77777777" w:rsidR="005D2B67" w:rsidRDefault="00496D60" w:rsidP="004261FE">
      <w:pPr>
        <w:spacing w:after="240"/>
        <w:jc w:val="both"/>
        <w:rPr>
          <w:rFonts w:ascii="Century Gothic" w:hAnsi="Century Gothic" w:cs="Arial"/>
          <w:bCs/>
          <w:sz w:val="24"/>
          <w:szCs w:val="24"/>
        </w:rPr>
      </w:pPr>
      <w:r>
        <w:rPr>
          <w:rFonts w:ascii="Century Gothic" w:hAnsi="Century Gothic" w:cs="Arial"/>
          <w:bCs/>
          <w:sz w:val="24"/>
          <w:szCs w:val="24"/>
        </w:rPr>
        <w:t>Bajo este contexto, se concluye que uno de los principales retos que tiene el FAFEF es reglamentar el uso de sus recursos mediante leyes más específicas y detalladas para su operación.</w:t>
      </w:r>
      <w:r w:rsidR="00A554B6">
        <w:rPr>
          <w:rFonts w:ascii="Century Gothic" w:hAnsi="Century Gothic" w:cs="Arial"/>
          <w:bCs/>
          <w:sz w:val="24"/>
          <w:szCs w:val="24"/>
        </w:rPr>
        <w:t>, permitiendo con este tener mayor claridad en su objetivo y por tanto en la planeación del recurso.</w:t>
      </w:r>
    </w:p>
    <w:p w14:paraId="01E4EDF3" w14:textId="77777777" w:rsidR="00052688" w:rsidRPr="00282C90" w:rsidRDefault="00282C90" w:rsidP="00282C90">
      <w:pPr>
        <w:pStyle w:val="Ttulo2"/>
        <w:spacing w:before="0" w:after="240"/>
        <w:ind w:left="284"/>
        <w:jc w:val="both"/>
        <w:rPr>
          <w:rFonts w:ascii="Century Gothic" w:hAnsi="Century Gothic" w:cs="Arial"/>
          <w:color w:val="0E4E7A"/>
          <w:sz w:val="28"/>
          <w:szCs w:val="24"/>
        </w:rPr>
      </w:pPr>
      <w:bookmarkStart w:id="6" w:name="_Toc511859764"/>
      <w:r>
        <w:rPr>
          <w:rFonts w:ascii="Century Gothic" w:hAnsi="Century Gothic"/>
          <w:color w:val="0E4E7A"/>
          <w:sz w:val="28"/>
        </w:rPr>
        <w:t xml:space="preserve">1.2 </w:t>
      </w:r>
      <w:r w:rsidR="00052688" w:rsidRPr="00282C90">
        <w:rPr>
          <w:rFonts w:ascii="Century Gothic" w:hAnsi="Century Gothic"/>
          <w:color w:val="0E4E7A"/>
          <w:sz w:val="28"/>
        </w:rPr>
        <w:t>Operación del FAFEF a través del Programa Presupuestario “Infraestructura no Habitacional” en Colima</w:t>
      </w:r>
      <w:r w:rsidR="00052688" w:rsidRPr="00282C90">
        <w:rPr>
          <w:rFonts w:ascii="Century Gothic" w:hAnsi="Century Gothic" w:cs="Arial"/>
          <w:color w:val="0E4E7A"/>
          <w:sz w:val="28"/>
          <w:szCs w:val="24"/>
        </w:rPr>
        <w:t>, 2017.</w:t>
      </w:r>
      <w:bookmarkEnd w:id="6"/>
    </w:p>
    <w:p w14:paraId="4689346E" w14:textId="77777777" w:rsidR="00534836" w:rsidRDefault="00052688" w:rsidP="00052688">
      <w:pPr>
        <w:autoSpaceDE w:val="0"/>
        <w:autoSpaceDN w:val="0"/>
        <w:adjustRightInd w:val="0"/>
        <w:spacing w:after="240"/>
        <w:jc w:val="both"/>
        <w:rPr>
          <w:rFonts w:ascii="Century Gothic" w:hAnsi="Century Gothic" w:cs="Arial"/>
          <w:bCs/>
          <w:sz w:val="24"/>
          <w:szCs w:val="24"/>
        </w:rPr>
      </w:pPr>
      <w:r w:rsidRPr="00052688">
        <w:rPr>
          <w:rFonts w:ascii="Century Gothic" w:hAnsi="Century Gothic" w:cs="Arial"/>
          <w:bCs/>
          <w:sz w:val="24"/>
          <w:szCs w:val="24"/>
        </w:rPr>
        <w:t xml:space="preserve">Para el Estado de Colima la Secretaria de Infraestructura y Desarrollo Urbano </w:t>
      </w:r>
      <w:r>
        <w:rPr>
          <w:rFonts w:ascii="Century Gothic" w:hAnsi="Century Gothic" w:cs="Arial"/>
          <w:bCs/>
          <w:sz w:val="24"/>
          <w:szCs w:val="24"/>
        </w:rPr>
        <w:t>(</w:t>
      </w:r>
      <w:r w:rsidRPr="00052688">
        <w:rPr>
          <w:rFonts w:ascii="Century Gothic" w:hAnsi="Century Gothic" w:cs="Arial"/>
          <w:bCs/>
          <w:sz w:val="24"/>
          <w:szCs w:val="24"/>
        </w:rPr>
        <w:t>SEIDUR</w:t>
      </w:r>
      <w:r>
        <w:rPr>
          <w:rFonts w:ascii="Century Gothic" w:hAnsi="Century Gothic" w:cs="Arial"/>
          <w:bCs/>
          <w:sz w:val="24"/>
          <w:szCs w:val="24"/>
        </w:rPr>
        <w:t>)</w:t>
      </w:r>
      <w:r w:rsidRPr="00052688">
        <w:rPr>
          <w:rFonts w:ascii="Century Gothic" w:hAnsi="Century Gothic" w:cs="Arial"/>
          <w:bCs/>
          <w:sz w:val="24"/>
          <w:szCs w:val="24"/>
        </w:rPr>
        <w:t xml:space="preserve"> que tiene por objeto “Construir la infraestructura urbana y carretera de carácter estatal mediante la aplicación de diversos recursos financieros a fin de garantizas el bienestar de la población; impulsar la gobernanza metropolitana, así como regular el ordenamiento territorial y el desarrollo urbano en el estado a través de la implementación de planes y programas en la materia que nos permitan un crecimiento sustentable”</w:t>
      </w:r>
      <w:r>
        <w:rPr>
          <w:rStyle w:val="Refdenotaalpie"/>
          <w:rFonts w:ascii="Century Gothic" w:hAnsi="Century Gothic" w:cs="Arial"/>
          <w:bCs/>
          <w:sz w:val="24"/>
          <w:szCs w:val="24"/>
        </w:rPr>
        <w:footnoteReference w:id="4"/>
      </w:r>
      <w:r w:rsidR="0088474D">
        <w:rPr>
          <w:rFonts w:ascii="Century Gothic" w:hAnsi="Century Gothic" w:cs="Arial"/>
          <w:bCs/>
          <w:sz w:val="24"/>
          <w:szCs w:val="24"/>
        </w:rPr>
        <w:t>, en el año 2017</w:t>
      </w:r>
      <w:r w:rsidRPr="00052688">
        <w:rPr>
          <w:rFonts w:ascii="Century Gothic" w:hAnsi="Century Gothic" w:cs="Arial"/>
          <w:bCs/>
          <w:sz w:val="24"/>
          <w:szCs w:val="24"/>
        </w:rPr>
        <w:t xml:space="preserve"> ejerció los recursos </w:t>
      </w:r>
      <w:r w:rsidR="00534836">
        <w:rPr>
          <w:rFonts w:ascii="Century Gothic" w:hAnsi="Century Gothic" w:cs="Arial"/>
          <w:bCs/>
          <w:sz w:val="24"/>
          <w:szCs w:val="24"/>
        </w:rPr>
        <w:t>en distintas obras por más de 564millones de pesos, tal como se detal</w:t>
      </w:r>
      <w:r w:rsidR="00CE695F">
        <w:rPr>
          <w:rFonts w:ascii="Century Gothic" w:hAnsi="Century Gothic" w:cs="Arial"/>
          <w:bCs/>
          <w:sz w:val="24"/>
          <w:szCs w:val="24"/>
        </w:rPr>
        <w:t>l</w:t>
      </w:r>
      <w:r w:rsidR="00534836">
        <w:rPr>
          <w:rFonts w:ascii="Century Gothic" w:hAnsi="Century Gothic" w:cs="Arial"/>
          <w:bCs/>
          <w:sz w:val="24"/>
          <w:szCs w:val="24"/>
        </w:rPr>
        <w:t>a en el siguiente cuadro:</w:t>
      </w:r>
    </w:p>
    <w:tbl>
      <w:tblPr>
        <w:tblW w:w="90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0"/>
        <w:gridCol w:w="2120"/>
        <w:gridCol w:w="1680"/>
        <w:gridCol w:w="1800"/>
        <w:gridCol w:w="1640"/>
      </w:tblGrid>
      <w:tr w:rsidR="00534836" w:rsidRPr="00534836" w14:paraId="49754BCD" w14:textId="77777777" w:rsidTr="007159AD">
        <w:trPr>
          <w:trHeight w:val="326"/>
        </w:trPr>
        <w:tc>
          <w:tcPr>
            <w:tcW w:w="9000" w:type="dxa"/>
            <w:gridSpan w:val="5"/>
            <w:shd w:val="clear" w:color="auto" w:fill="0E4E7A"/>
            <w:vAlign w:val="center"/>
          </w:tcPr>
          <w:p w14:paraId="18AD3FCD" w14:textId="77777777" w:rsidR="00534836" w:rsidRPr="00534836" w:rsidRDefault="003E3B3D" w:rsidP="00534836">
            <w:pPr>
              <w:spacing w:after="0" w:line="240" w:lineRule="auto"/>
              <w:jc w:val="center"/>
              <w:rPr>
                <w:rFonts w:eastAsia="Times New Roman" w:cstheme="minorHAnsi"/>
                <w:b/>
                <w:bCs/>
                <w:color w:val="FFFFFF"/>
                <w:sz w:val="20"/>
                <w:szCs w:val="20"/>
                <w:lang w:eastAsia="es-MX"/>
              </w:rPr>
            </w:pPr>
            <w:r>
              <w:rPr>
                <w:rFonts w:eastAsia="Times New Roman" w:cstheme="minorHAnsi"/>
                <w:b/>
                <w:bCs/>
                <w:color w:val="FFFFFF"/>
                <w:sz w:val="20"/>
                <w:szCs w:val="20"/>
                <w:lang w:eastAsia="es-MX"/>
              </w:rPr>
              <w:lastRenderedPageBreak/>
              <w:t>Cuadro 1.3</w:t>
            </w:r>
            <w:r w:rsidR="00534836" w:rsidRPr="00534836">
              <w:rPr>
                <w:rFonts w:eastAsia="Times New Roman" w:cstheme="minorHAnsi"/>
                <w:b/>
                <w:bCs/>
                <w:color w:val="FFFFFF"/>
                <w:sz w:val="20"/>
                <w:szCs w:val="20"/>
                <w:lang w:eastAsia="es-MX"/>
              </w:rPr>
              <w:t>. Presupuesto SEIDUR 2017, Colima.</w:t>
            </w:r>
          </w:p>
        </w:tc>
      </w:tr>
      <w:tr w:rsidR="00C9516E" w:rsidRPr="00534836" w14:paraId="1F44A77E" w14:textId="77777777" w:rsidTr="00C9516E">
        <w:trPr>
          <w:trHeight w:val="585"/>
        </w:trPr>
        <w:tc>
          <w:tcPr>
            <w:tcW w:w="1760" w:type="dxa"/>
            <w:shd w:val="clear" w:color="auto" w:fill="0E4E7A"/>
            <w:vAlign w:val="center"/>
            <w:hideMark/>
          </w:tcPr>
          <w:p w14:paraId="33E9D762" w14:textId="77777777" w:rsidR="00534836" w:rsidRPr="00534836" w:rsidRDefault="00534836" w:rsidP="00534836">
            <w:pPr>
              <w:spacing w:after="0" w:line="240" w:lineRule="auto"/>
              <w:jc w:val="center"/>
              <w:rPr>
                <w:rFonts w:eastAsia="Times New Roman" w:cstheme="minorHAnsi"/>
                <w:b/>
                <w:bCs/>
                <w:color w:val="FFFFFF"/>
                <w:sz w:val="20"/>
                <w:szCs w:val="20"/>
                <w:lang w:eastAsia="es-MX"/>
              </w:rPr>
            </w:pPr>
            <w:r w:rsidRPr="00534836">
              <w:rPr>
                <w:rFonts w:eastAsia="Times New Roman" w:cstheme="minorHAnsi"/>
                <w:b/>
                <w:bCs/>
                <w:color w:val="FFFFFF"/>
                <w:sz w:val="20"/>
                <w:szCs w:val="20"/>
                <w:lang w:eastAsia="es-MX"/>
              </w:rPr>
              <w:t xml:space="preserve">AUTORIZADO </w:t>
            </w:r>
            <w:r w:rsidRPr="00534836">
              <w:rPr>
                <w:rFonts w:eastAsia="Times New Roman" w:cstheme="minorHAnsi"/>
                <w:b/>
                <w:bCs/>
                <w:color w:val="FFFFFF"/>
                <w:sz w:val="20"/>
                <w:szCs w:val="20"/>
                <w:lang w:eastAsia="es-MX"/>
              </w:rPr>
              <w:br/>
              <w:t xml:space="preserve"> IVA INCLUIDO</w:t>
            </w:r>
          </w:p>
        </w:tc>
        <w:tc>
          <w:tcPr>
            <w:tcW w:w="2120" w:type="dxa"/>
            <w:shd w:val="clear" w:color="auto" w:fill="0E4E7A"/>
            <w:vAlign w:val="center"/>
            <w:hideMark/>
          </w:tcPr>
          <w:p w14:paraId="2CF89143" w14:textId="77777777" w:rsidR="00534836" w:rsidRPr="00534836" w:rsidRDefault="00534836" w:rsidP="00534836">
            <w:pPr>
              <w:spacing w:after="0" w:line="240" w:lineRule="auto"/>
              <w:jc w:val="center"/>
              <w:rPr>
                <w:rFonts w:eastAsia="Times New Roman" w:cstheme="minorHAnsi"/>
                <w:b/>
                <w:bCs/>
                <w:color w:val="FFFFFF"/>
                <w:sz w:val="20"/>
                <w:szCs w:val="20"/>
                <w:lang w:eastAsia="es-MX"/>
              </w:rPr>
            </w:pPr>
            <w:r w:rsidRPr="00534836">
              <w:rPr>
                <w:rFonts w:eastAsia="Times New Roman" w:cstheme="minorHAnsi"/>
                <w:b/>
                <w:bCs/>
                <w:color w:val="FFFFFF"/>
                <w:sz w:val="20"/>
                <w:szCs w:val="20"/>
                <w:lang w:eastAsia="es-MX"/>
              </w:rPr>
              <w:t xml:space="preserve">CONTRATADO </w:t>
            </w:r>
            <w:r w:rsidRPr="00534836">
              <w:rPr>
                <w:rFonts w:eastAsia="Times New Roman" w:cstheme="minorHAnsi"/>
                <w:b/>
                <w:bCs/>
                <w:color w:val="FFFFFF"/>
                <w:sz w:val="20"/>
                <w:szCs w:val="20"/>
                <w:lang w:eastAsia="es-MX"/>
              </w:rPr>
              <w:br/>
              <w:t xml:space="preserve"> IVA INCLUIDO</w:t>
            </w:r>
          </w:p>
        </w:tc>
        <w:tc>
          <w:tcPr>
            <w:tcW w:w="1680" w:type="dxa"/>
            <w:shd w:val="clear" w:color="auto" w:fill="0E4E7A"/>
            <w:vAlign w:val="center"/>
            <w:hideMark/>
          </w:tcPr>
          <w:p w14:paraId="56E975D4" w14:textId="77777777" w:rsidR="00534836" w:rsidRPr="00534836" w:rsidRDefault="00534836" w:rsidP="00534836">
            <w:pPr>
              <w:spacing w:after="0" w:line="240" w:lineRule="auto"/>
              <w:jc w:val="center"/>
              <w:rPr>
                <w:rFonts w:eastAsia="Times New Roman" w:cstheme="minorHAnsi"/>
                <w:b/>
                <w:bCs/>
                <w:color w:val="FFFFFF"/>
                <w:sz w:val="20"/>
                <w:szCs w:val="20"/>
                <w:lang w:eastAsia="es-MX"/>
              </w:rPr>
            </w:pPr>
            <w:r w:rsidRPr="00534836">
              <w:rPr>
                <w:rFonts w:eastAsia="Times New Roman" w:cstheme="minorHAnsi"/>
                <w:b/>
                <w:bCs/>
                <w:color w:val="FFFFFF"/>
                <w:sz w:val="20"/>
                <w:szCs w:val="20"/>
                <w:lang w:eastAsia="es-MX"/>
              </w:rPr>
              <w:t>FACTURADO</w:t>
            </w:r>
            <w:r w:rsidRPr="00534836">
              <w:rPr>
                <w:rFonts w:eastAsia="Times New Roman" w:cstheme="minorHAnsi"/>
                <w:b/>
                <w:bCs/>
                <w:color w:val="FFFFFF"/>
                <w:sz w:val="20"/>
                <w:szCs w:val="20"/>
                <w:lang w:eastAsia="es-MX"/>
              </w:rPr>
              <w:br/>
              <w:t xml:space="preserve"> IVA INCLUIDO</w:t>
            </w:r>
          </w:p>
        </w:tc>
        <w:tc>
          <w:tcPr>
            <w:tcW w:w="1800" w:type="dxa"/>
            <w:shd w:val="clear" w:color="auto" w:fill="0E4E7A"/>
            <w:vAlign w:val="center"/>
            <w:hideMark/>
          </w:tcPr>
          <w:p w14:paraId="555A3296" w14:textId="77777777" w:rsidR="00534836" w:rsidRPr="00534836" w:rsidRDefault="00534836" w:rsidP="00534836">
            <w:pPr>
              <w:spacing w:after="0" w:line="240" w:lineRule="auto"/>
              <w:jc w:val="center"/>
              <w:rPr>
                <w:rFonts w:eastAsia="Times New Roman" w:cstheme="minorHAnsi"/>
                <w:b/>
                <w:bCs/>
                <w:color w:val="FFFFFF"/>
                <w:sz w:val="20"/>
                <w:szCs w:val="20"/>
                <w:lang w:eastAsia="es-MX"/>
              </w:rPr>
            </w:pPr>
            <w:r w:rsidRPr="00534836">
              <w:rPr>
                <w:rFonts w:eastAsia="Times New Roman" w:cstheme="minorHAnsi"/>
                <w:b/>
                <w:bCs/>
                <w:color w:val="FFFFFF"/>
                <w:sz w:val="20"/>
                <w:szCs w:val="20"/>
                <w:lang w:eastAsia="es-MX"/>
              </w:rPr>
              <w:t>POR FACTURAR  IVA INCLUIDO</w:t>
            </w:r>
          </w:p>
        </w:tc>
        <w:tc>
          <w:tcPr>
            <w:tcW w:w="1640" w:type="dxa"/>
            <w:shd w:val="clear" w:color="auto" w:fill="0E4E7A"/>
            <w:vAlign w:val="center"/>
            <w:hideMark/>
          </w:tcPr>
          <w:p w14:paraId="005385E7" w14:textId="77777777" w:rsidR="00534836" w:rsidRPr="00534836" w:rsidRDefault="00534836" w:rsidP="00534836">
            <w:pPr>
              <w:spacing w:after="0" w:line="240" w:lineRule="auto"/>
              <w:jc w:val="center"/>
              <w:rPr>
                <w:rFonts w:eastAsia="Times New Roman" w:cstheme="minorHAnsi"/>
                <w:b/>
                <w:bCs/>
                <w:color w:val="FFFFFF"/>
                <w:sz w:val="20"/>
                <w:szCs w:val="20"/>
                <w:lang w:eastAsia="es-MX"/>
              </w:rPr>
            </w:pPr>
            <w:r w:rsidRPr="00534836">
              <w:rPr>
                <w:rFonts w:eastAsia="Times New Roman" w:cstheme="minorHAnsi"/>
                <w:b/>
                <w:bCs/>
                <w:color w:val="FFFFFF"/>
                <w:sz w:val="20"/>
                <w:szCs w:val="20"/>
                <w:lang w:eastAsia="es-MX"/>
              </w:rPr>
              <w:t>PAGADO  IVA INCLUIDO</w:t>
            </w:r>
          </w:p>
        </w:tc>
      </w:tr>
      <w:tr w:rsidR="00534836" w:rsidRPr="00534836" w14:paraId="02168577" w14:textId="77777777" w:rsidTr="00534836">
        <w:trPr>
          <w:trHeight w:val="420"/>
        </w:trPr>
        <w:tc>
          <w:tcPr>
            <w:tcW w:w="1760" w:type="dxa"/>
            <w:shd w:val="clear" w:color="auto" w:fill="auto"/>
            <w:vAlign w:val="center"/>
            <w:hideMark/>
          </w:tcPr>
          <w:p w14:paraId="27DA4593" w14:textId="77777777" w:rsidR="00534836" w:rsidRPr="00534836" w:rsidRDefault="00534836" w:rsidP="00534836">
            <w:pPr>
              <w:spacing w:after="0" w:line="240" w:lineRule="auto"/>
              <w:jc w:val="right"/>
              <w:rPr>
                <w:rFonts w:eastAsia="Times New Roman" w:cstheme="minorHAnsi"/>
                <w:color w:val="000000"/>
                <w:sz w:val="20"/>
                <w:szCs w:val="20"/>
                <w:lang w:eastAsia="es-MX"/>
              </w:rPr>
            </w:pPr>
            <w:r>
              <w:rPr>
                <w:rFonts w:eastAsia="Times New Roman" w:cstheme="minorHAnsi"/>
                <w:color w:val="000000"/>
                <w:sz w:val="20"/>
                <w:szCs w:val="20"/>
                <w:lang w:eastAsia="es-MX"/>
              </w:rPr>
              <w:t>$</w:t>
            </w:r>
            <w:r w:rsidRPr="00534836">
              <w:rPr>
                <w:rFonts w:eastAsia="Times New Roman" w:cstheme="minorHAnsi"/>
                <w:color w:val="000000"/>
                <w:sz w:val="20"/>
                <w:szCs w:val="20"/>
                <w:lang w:eastAsia="es-MX"/>
              </w:rPr>
              <w:t xml:space="preserve">   491,757,689.76</w:t>
            </w:r>
          </w:p>
        </w:tc>
        <w:tc>
          <w:tcPr>
            <w:tcW w:w="2120" w:type="dxa"/>
            <w:shd w:val="clear" w:color="auto" w:fill="auto"/>
            <w:vAlign w:val="center"/>
            <w:hideMark/>
          </w:tcPr>
          <w:p w14:paraId="7BABCE1F" w14:textId="77777777" w:rsidR="00534836" w:rsidRPr="00534836" w:rsidRDefault="00534836" w:rsidP="00534836">
            <w:pPr>
              <w:spacing w:after="0" w:line="240" w:lineRule="auto"/>
              <w:jc w:val="right"/>
              <w:rPr>
                <w:rFonts w:eastAsia="Times New Roman" w:cstheme="minorHAnsi"/>
                <w:color w:val="000000"/>
                <w:sz w:val="20"/>
                <w:szCs w:val="20"/>
                <w:lang w:eastAsia="es-MX"/>
              </w:rPr>
            </w:pPr>
            <w:r w:rsidRPr="00534836">
              <w:rPr>
                <w:rFonts w:eastAsia="Times New Roman" w:cstheme="minorHAnsi"/>
                <w:color w:val="000000"/>
                <w:sz w:val="20"/>
                <w:szCs w:val="20"/>
                <w:lang w:eastAsia="es-MX"/>
              </w:rPr>
              <w:t>$  564,783,523.13</w:t>
            </w:r>
          </w:p>
        </w:tc>
        <w:tc>
          <w:tcPr>
            <w:tcW w:w="1680" w:type="dxa"/>
            <w:shd w:val="clear" w:color="auto" w:fill="auto"/>
            <w:vAlign w:val="center"/>
            <w:hideMark/>
          </w:tcPr>
          <w:p w14:paraId="090F8489" w14:textId="77777777" w:rsidR="00534836" w:rsidRPr="00534836" w:rsidRDefault="00534836" w:rsidP="00534836">
            <w:pPr>
              <w:spacing w:after="0" w:line="240" w:lineRule="auto"/>
              <w:jc w:val="right"/>
              <w:rPr>
                <w:rFonts w:eastAsia="Times New Roman" w:cstheme="minorHAnsi"/>
                <w:color w:val="000000"/>
                <w:sz w:val="20"/>
                <w:szCs w:val="20"/>
                <w:lang w:eastAsia="es-MX"/>
              </w:rPr>
            </w:pPr>
            <w:r>
              <w:rPr>
                <w:rFonts w:eastAsia="Times New Roman" w:cstheme="minorHAnsi"/>
                <w:color w:val="000000"/>
                <w:sz w:val="20"/>
                <w:szCs w:val="20"/>
                <w:lang w:eastAsia="es-MX"/>
              </w:rPr>
              <w:t xml:space="preserve">$ </w:t>
            </w:r>
            <w:r w:rsidRPr="00534836">
              <w:rPr>
                <w:rFonts w:eastAsia="Times New Roman" w:cstheme="minorHAnsi"/>
                <w:color w:val="000000"/>
                <w:sz w:val="20"/>
                <w:szCs w:val="20"/>
                <w:lang w:eastAsia="es-MX"/>
              </w:rPr>
              <w:t xml:space="preserve"> 493,251,069.68</w:t>
            </w:r>
          </w:p>
        </w:tc>
        <w:tc>
          <w:tcPr>
            <w:tcW w:w="1800" w:type="dxa"/>
            <w:shd w:val="clear" w:color="auto" w:fill="auto"/>
            <w:vAlign w:val="center"/>
            <w:hideMark/>
          </w:tcPr>
          <w:p w14:paraId="335C2641" w14:textId="77777777" w:rsidR="00534836" w:rsidRPr="00534836" w:rsidRDefault="00534836" w:rsidP="00534836">
            <w:pPr>
              <w:spacing w:after="0" w:line="240" w:lineRule="auto"/>
              <w:jc w:val="right"/>
              <w:rPr>
                <w:rFonts w:eastAsia="Times New Roman" w:cstheme="minorHAnsi"/>
                <w:color w:val="000000"/>
                <w:sz w:val="20"/>
                <w:szCs w:val="20"/>
                <w:lang w:eastAsia="es-MX"/>
              </w:rPr>
            </w:pPr>
            <w:r w:rsidRPr="00534836">
              <w:rPr>
                <w:rFonts w:eastAsia="Times New Roman" w:cstheme="minorHAnsi"/>
                <w:color w:val="000000"/>
                <w:sz w:val="20"/>
                <w:szCs w:val="20"/>
                <w:lang w:eastAsia="es-MX"/>
              </w:rPr>
              <w:t>$  71,532,453.43</w:t>
            </w:r>
          </w:p>
        </w:tc>
        <w:tc>
          <w:tcPr>
            <w:tcW w:w="1640" w:type="dxa"/>
            <w:shd w:val="clear" w:color="auto" w:fill="auto"/>
            <w:vAlign w:val="center"/>
            <w:hideMark/>
          </w:tcPr>
          <w:p w14:paraId="71346513" w14:textId="77777777" w:rsidR="00534836" w:rsidRPr="00534836" w:rsidRDefault="00534836" w:rsidP="00534836">
            <w:pPr>
              <w:spacing w:after="0" w:line="240" w:lineRule="auto"/>
              <w:jc w:val="right"/>
              <w:rPr>
                <w:rFonts w:eastAsia="Times New Roman" w:cstheme="minorHAnsi"/>
                <w:color w:val="000000"/>
                <w:sz w:val="20"/>
                <w:szCs w:val="20"/>
                <w:lang w:eastAsia="es-MX"/>
              </w:rPr>
            </w:pPr>
            <w:r>
              <w:rPr>
                <w:rFonts w:eastAsia="Times New Roman" w:cstheme="minorHAnsi"/>
                <w:color w:val="000000"/>
                <w:sz w:val="20"/>
                <w:szCs w:val="20"/>
                <w:lang w:eastAsia="es-MX"/>
              </w:rPr>
              <w:t xml:space="preserve">$ </w:t>
            </w:r>
            <w:r w:rsidRPr="00534836">
              <w:rPr>
                <w:rFonts w:eastAsia="Times New Roman" w:cstheme="minorHAnsi"/>
                <w:color w:val="000000"/>
                <w:sz w:val="20"/>
                <w:szCs w:val="20"/>
                <w:lang w:eastAsia="es-MX"/>
              </w:rPr>
              <w:t>412,983,806.29</w:t>
            </w:r>
          </w:p>
        </w:tc>
      </w:tr>
      <w:tr w:rsidR="00534836" w:rsidRPr="00534836" w14:paraId="799725B9" w14:textId="77777777" w:rsidTr="00534836">
        <w:trPr>
          <w:trHeight w:val="420"/>
        </w:trPr>
        <w:tc>
          <w:tcPr>
            <w:tcW w:w="9000" w:type="dxa"/>
            <w:gridSpan w:val="5"/>
            <w:shd w:val="clear" w:color="auto" w:fill="auto"/>
            <w:vAlign w:val="center"/>
          </w:tcPr>
          <w:p w14:paraId="350AC793" w14:textId="77777777" w:rsidR="00534836" w:rsidRPr="00534836" w:rsidRDefault="00534836" w:rsidP="00534836">
            <w:pPr>
              <w:spacing w:after="0" w:line="240" w:lineRule="auto"/>
              <w:rPr>
                <w:rFonts w:eastAsia="Times New Roman" w:cstheme="minorHAnsi"/>
                <w:color w:val="000000"/>
                <w:sz w:val="20"/>
                <w:szCs w:val="20"/>
                <w:lang w:eastAsia="es-MX"/>
              </w:rPr>
            </w:pPr>
            <w:r>
              <w:rPr>
                <w:rFonts w:eastAsia="Times New Roman" w:cstheme="minorHAnsi"/>
                <w:color w:val="000000"/>
                <w:sz w:val="20"/>
                <w:szCs w:val="20"/>
                <w:lang w:eastAsia="es-MX"/>
              </w:rPr>
              <w:t>Fuente: elaborado por TECSO con base al informe “Resumen Obras 2017” suministrado por la Dependencia</w:t>
            </w:r>
          </w:p>
        </w:tc>
      </w:tr>
    </w:tbl>
    <w:p w14:paraId="368F1A73" w14:textId="77777777" w:rsidR="00534836" w:rsidRPr="00CE695F" w:rsidRDefault="00534836" w:rsidP="00052688">
      <w:pPr>
        <w:autoSpaceDE w:val="0"/>
        <w:autoSpaceDN w:val="0"/>
        <w:adjustRightInd w:val="0"/>
        <w:spacing w:after="240"/>
        <w:jc w:val="both"/>
        <w:rPr>
          <w:rFonts w:ascii="Century Gothic" w:hAnsi="Century Gothic" w:cs="Arial"/>
          <w:bCs/>
          <w:sz w:val="2"/>
          <w:szCs w:val="24"/>
        </w:rPr>
      </w:pPr>
    </w:p>
    <w:p w14:paraId="2AF68B84" w14:textId="77777777" w:rsidR="00534836" w:rsidRDefault="00F90AAD" w:rsidP="00052688">
      <w:pPr>
        <w:autoSpaceDE w:val="0"/>
        <w:autoSpaceDN w:val="0"/>
        <w:adjustRightInd w:val="0"/>
        <w:spacing w:after="240"/>
        <w:jc w:val="both"/>
        <w:rPr>
          <w:rFonts w:ascii="Century Gothic" w:hAnsi="Century Gothic" w:cs="Arial"/>
          <w:bCs/>
          <w:sz w:val="24"/>
          <w:szCs w:val="24"/>
        </w:rPr>
      </w:pPr>
      <w:r>
        <w:rPr>
          <w:rFonts w:ascii="Century Gothic" w:hAnsi="Century Gothic" w:cs="Arial"/>
          <w:bCs/>
          <w:sz w:val="24"/>
          <w:szCs w:val="24"/>
        </w:rPr>
        <w:t>El principal origen de estos recursos proviene de la federación, ya sea de Fondos o por medio de convenios:</w:t>
      </w:r>
    </w:p>
    <w:tbl>
      <w:tblPr>
        <w:tblW w:w="6095" w:type="dxa"/>
        <w:jc w:val="center"/>
        <w:tblCellMar>
          <w:left w:w="70" w:type="dxa"/>
          <w:right w:w="70" w:type="dxa"/>
        </w:tblCellMar>
        <w:tblLook w:val="04A0" w:firstRow="1" w:lastRow="0" w:firstColumn="1" w:lastColumn="0" w:noHBand="0" w:noVBand="1"/>
      </w:tblPr>
      <w:tblGrid>
        <w:gridCol w:w="3113"/>
        <w:gridCol w:w="2982"/>
      </w:tblGrid>
      <w:tr w:rsidR="00C9516E" w:rsidRPr="00C9516E" w14:paraId="3EB4303E" w14:textId="77777777" w:rsidTr="00C9516E">
        <w:trPr>
          <w:trHeight w:val="315"/>
          <w:jc w:val="center"/>
        </w:trPr>
        <w:tc>
          <w:tcPr>
            <w:tcW w:w="6095" w:type="dxa"/>
            <w:gridSpan w:val="2"/>
            <w:tcBorders>
              <w:top w:val="single" w:sz="8" w:space="0" w:color="auto"/>
              <w:left w:val="single" w:sz="8" w:space="0" w:color="auto"/>
              <w:bottom w:val="single" w:sz="8" w:space="0" w:color="auto"/>
              <w:right w:val="single" w:sz="8" w:space="0" w:color="000000"/>
            </w:tcBorders>
            <w:shd w:val="clear" w:color="000000" w:fill="0E4E7A"/>
            <w:noWrap/>
            <w:vAlign w:val="center"/>
            <w:hideMark/>
          </w:tcPr>
          <w:p w14:paraId="4F530358" w14:textId="77777777" w:rsidR="00C9516E" w:rsidRPr="00C9516E" w:rsidRDefault="003E3B3D" w:rsidP="00C9516E">
            <w:pPr>
              <w:spacing w:after="0" w:line="240" w:lineRule="auto"/>
              <w:jc w:val="center"/>
              <w:rPr>
                <w:rFonts w:ascii="Calibri" w:eastAsia="Times New Roman" w:hAnsi="Calibri" w:cs="Calibri"/>
                <w:b/>
                <w:bCs/>
                <w:color w:val="FFFFFF"/>
                <w:lang w:eastAsia="es-MX"/>
              </w:rPr>
            </w:pPr>
            <w:r>
              <w:rPr>
                <w:rFonts w:ascii="Calibri" w:eastAsia="Times New Roman" w:hAnsi="Calibri" w:cs="Calibri"/>
                <w:b/>
                <w:bCs/>
                <w:color w:val="FFFFFF"/>
                <w:lang w:eastAsia="es-MX"/>
              </w:rPr>
              <w:t>Cuadro 1.4</w:t>
            </w:r>
            <w:r w:rsidR="00C9516E" w:rsidRPr="00C9516E">
              <w:rPr>
                <w:rFonts w:ascii="Calibri" w:eastAsia="Times New Roman" w:hAnsi="Calibri" w:cs="Calibri"/>
                <w:b/>
                <w:bCs/>
                <w:color w:val="FFFFFF"/>
                <w:lang w:eastAsia="es-MX"/>
              </w:rPr>
              <w:t>. Origen de los Recursos, SEIDUR 2017</w:t>
            </w:r>
          </w:p>
        </w:tc>
      </w:tr>
      <w:tr w:rsidR="00C9516E" w:rsidRPr="00C9516E" w14:paraId="2F59216A" w14:textId="77777777" w:rsidTr="00C9516E">
        <w:trPr>
          <w:trHeight w:val="315"/>
          <w:jc w:val="center"/>
        </w:trPr>
        <w:tc>
          <w:tcPr>
            <w:tcW w:w="3113" w:type="dxa"/>
            <w:tcBorders>
              <w:top w:val="nil"/>
              <w:left w:val="single" w:sz="8" w:space="0" w:color="auto"/>
              <w:bottom w:val="single" w:sz="8" w:space="0" w:color="auto"/>
              <w:right w:val="single" w:sz="8" w:space="0" w:color="auto"/>
            </w:tcBorders>
            <w:shd w:val="clear" w:color="000000" w:fill="0E4E7A"/>
            <w:noWrap/>
            <w:vAlign w:val="center"/>
            <w:hideMark/>
          </w:tcPr>
          <w:p w14:paraId="21AB9C3B" w14:textId="77777777" w:rsidR="00C9516E" w:rsidRPr="00C9516E" w:rsidRDefault="00C9516E" w:rsidP="00C9516E">
            <w:pPr>
              <w:spacing w:after="0" w:line="240" w:lineRule="auto"/>
              <w:jc w:val="center"/>
              <w:rPr>
                <w:rFonts w:ascii="Calibri" w:eastAsia="Times New Roman" w:hAnsi="Calibri" w:cs="Calibri"/>
                <w:b/>
                <w:bCs/>
                <w:color w:val="FFFFFF"/>
                <w:lang w:eastAsia="es-MX"/>
              </w:rPr>
            </w:pPr>
            <w:r w:rsidRPr="00C9516E">
              <w:rPr>
                <w:rFonts w:ascii="Calibri" w:eastAsia="Times New Roman" w:hAnsi="Calibri" w:cs="Calibri"/>
                <w:b/>
                <w:bCs/>
                <w:color w:val="FFFFFF"/>
                <w:lang w:eastAsia="es-MX"/>
              </w:rPr>
              <w:t>Origen</w:t>
            </w:r>
          </w:p>
        </w:tc>
        <w:tc>
          <w:tcPr>
            <w:tcW w:w="2982" w:type="dxa"/>
            <w:tcBorders>
              <w:top w:val="nil"/>
              <w:left w:val="nil"/>
              <w:bottom w:val="single" w:sz="8" w:space="0" w:color="auto"/>
              <w:right w:val="single" w:sz="8" w:space="0" w:color="auto"/>
            </w:tcBorders>
            <w:shd w:val="clear" w:color="000000" w:fill="0E4E7A"/>
            <w:noWrap/>
            <w:vAlign w:val="center"/>
            <w:hideMark/>
          </w:tcPr>
          <w:p w14:paraId="4F9557E1" w14:textId="77777777" w:rsidR="00C9516E" w:rsidRPr="00C9516E" w:rsidRDefault="00C9516E" w:rsidP="00C9516E">
            <w:pPr>
              <w:spacing w:after="0" w:line="240" w:lineRule="auto"/>
              <w:jc w:val="center"/>
              <w:rPr>
                <w:rFonts w:ascii="Calibri" w:eastAsia="Times New Roman" w:hAnsi="Calibri" w:cs="Calibri"/>
                <w:b/>
                <w:bCs/>
                <w:color w:val="FFFFFF"/>
                <w:lang w:eastAsia="es-MX"/>
              </w:rPr>
            </w:pPr>
            <w:r w:rsidRPr="00C9516E">
              <w:rPr>
                <w:rFonts w:ascii="Calibri" w:eastAsia="Times New Roman" w:hAnsi="Calibri" w:cs="Calibri"/>
                <w:b/>
                <w:bCs/>
                <w:color w:val="FFFFFF"/>
                <w:lang w:eastAsia="es-MX"/>
              </w:rPr>
              <w:t>Monto</w:t>
            </w:r>
          </w:p>
        </w:tc>
      </w:tr>
      <w:tr w:rsidR="00C9516E" w:rsidRPr="00C9516E" w14:paraId="30500C48" w14:textId="77777777" w:rsidTr="00C9516E">
        <w:trPr>
          <w:trHeight w:val="315"/>
          <w:jc w:val="center"/>
        </w:trPr>
        <w:tc>
          <w:tcPr>
            <w:tcW w:w="3113" w:type="dxa"/>
            <w:tcBorders>
              <w:top w:val="nil"/>
              <w:left w:val="single" w:sz="8" w:space="0" w:color="auto"/>
              <w:bottom w:val="single" w:sz="8" w:space="0" w:color="auto"/>
              <w:right w:val="single" w:sz="8" w:space="0" w:color="auto"/>
            </w:tcBorders>
            <w:shd w:val="clear" w:color="auto" w:fill="auto"/>
            <w:noWrap/>
            <w:vAlign w:val="center"/>
            <w:hideMark/>
          </w:tcPr>
          <w:p w14:paraId="0963AEB6" w14:textId="77777777" w:rsidR="00C9516E" w:rsidRPr="00C9516E" w:rsidRDefault="00C9516E" w:rsidP="00C9516E">
            <w:pPr>
              <w:spacing w:after="0" w:line="240" w:lineRule="auto"/>
              <w:rPr>
                <w:rFonts w:ascii="Calibri" w:eastAsia="Times New Roman" w:hAnsi="Calibri" w:cs="Calibri"/>
                <w:color w:val="000000"/>
                <w:lang w:eastAsia="es-MX"/>
              </w:rPr>
            </w:pPr>
            <w:r w:rsidRPr="00C9516E">
              <w:rPr>
                <w:rFonts w:ascii="Calibri" w:eastAsia="Times New Roman" w:hAnsi="Calibri" w:cs="Calibri"/>
                <w:color w:val="000000"/>
                <w:lang w:eastAsia="es-MX"/>
              </w:rPr>
              <w:t>Donación - Embajada Japón</w:t>
            </w:r>
          </w:p>
        </w:tc>
        <w:tc>
          <w:tcPr>
            <w:tcW w:w="2982" w:type="dxa"/>
            <w:tcBorders>
              <w:top w:val="nil"/>
              <w:left w:val="nil"/>
              <w:bottom w:val="single" w:sz="8" w:space="0" w:color="auto"/>
              <w:right w:val="single" w:sz="8" w:space="0" w:color="auto"/>
            </w:tcBorders>
            <w:shd w:val="clear" w:color="auto" w:fill="auto"/>
            <w:noWrap/>
            <w:vAlign w:val="center"/>
            <w:hideMark/>
          </w:tcPr>
          <w:p w14:paraId="50322F5E" w14:textId="77777777" w:rsidR="00C9516E" w:rsidRPr="00C9516E" w:rsidRDefault="00C9516E" w:rsidP="00C9516E">
            <w:pPr>
              <w:spacing w:after="0" w:line="240" w:lineRule="auto"/>
              <w:jc w:val="right"/>
              <w:rPr>
                <w:rFonts w:ascii="Calibri" w:eastAsia="Times New Roman" w:hAnsi="Calibri" w:cs="Calibri"/>
                <w:color w:val="000000"/>
                <w:lang w:eastAsia="es-MX"/>
              </w:rPr>
            </w:pPr>
            <w:r w:rsidRPr="00C9516E">
              <w:rPr>
                <w:rFonts w:ascii="Calibri" w:eastAsia="Times New Roman" w:hAnsi="Calibri" w:cs="Calibri"/>
                <w:color w:val="000000"/>
                <w:lang w:eastAsia="es-MX"/>
              </w:rPr>
              <w:t xml:space="preserve"> $                       1,764,668.51 </w:t>
            </w:r>
          </w:p>
        </w:tc>
      </w:tr>
      <w:tr w:rsidR="00C9516E" w:rsidRPr="00C9516E" w14:paraId="3590CBAF" w14:textId="77777777" w:rsidTr="00C9516E">
        <w:trPr>
          <w:trHeight w:val="315"/>
          <w:jc w:val="center"/>
        </w:trPr>
        <w:tc>
          <w:tcPr>
            <w:tcW w:w="3113" w:type="dxa"/>
            <w:tcBorders>
              <w:top w:val="nil"/>
              <w:left w:val="single" w:sz="8" w:space="0" w:color="auto"/>
              <w:bottom w:val="single" w:sz="8" w:space="0" w:color="auto"/>
              <w:right w:val="single" w:sz="8" w:space="0" w:color="auto"/>
            </w:tcBorders>
            <w:shd w:val="clear" w:color="auto" w:fill="auto"/>
            <w:noWrap/>
            <w:vAlign w:val="center"/>
            <w:hideMark/>
          </w:tcPr>
          <w:p w14:paraId="09F3E58D" w14:textId="77777777" w:rsidR="00C9516E" w:rsidRPr="00C9516E" w:rsidRDefault="00C9516E" w:rsidP="00C9516E">
            <w:pPr>
              <w:spacing w:after="0" w:line="240" w:lineRule="auto"/>
              <w:rPr>
                <w:rFonts w:ascii="Calibri" w:eastAsia="Times New Roman" w:hAnsi="Calibri" w:cs="Calibri"/>
                <w:color w:val="000000"/>
                <w:lang w:eastAsia="es-MX"/>
              </w:rPr>
            </w:pPr>
            <w:r w:rsidRPr="00C9516E">
              <w:rPr>
                <w:rFonts w:ascii="Calibri" w:eastAsia="Times New Roman" w:hAnsi="Calibri" w:cs="Calibri"/>
                <w:color w:val="000000"/>
                <w:lang w:eastAsia="es-MX"/>
              </w:rPr>
              <w:t>Aportaciones Municipales</w:t>
            </w:r>
          </w:p>
        </w:tc>
        <w:tc>
          <w:tcPr>
            <w:tcW w:w="2982" w:type="dxa"/>
            <w:tcBorders>
              <w:top w:val="nil"/>
              <w:left w:val="nil"/>
              <w:bottom w:val="single" w:sz="8" w:space="0" w:color="auto"/>
              <w:right w:val="single" w:sz="8" w:space="0" w:color="auto"/>
            </w:tcBorders>
            <w:shd w:val="clear" w:color="auto" w:fill="auto"/>
            <w:noWrap/>
            <w:vAlign w:val="center"/>
            <w:hideMark/>
          </w:tcPr>
          <w:p w14:paraId="6CB9F8F5" w14:textId="77777777" w:rsidR="00C9516E" w:rsidRPr="00C9516E" w:rsidRDefault="00C9516E" w:rsidP="00C9516E">
            <w:pPr>
              <w:spacing w:after="0" w:line="240" w:lineRule="auto"/>
              <w:jc w:val="right"/>
              <w:rPr>
                <w:rFonts w:ascii="Calibri" w:eastAsia="Times New Roman" w:hAnsi="Calibri" w:cs="Calibri"/>
                <w:color w:val="000000"/>
                <w:lang w:eastAsia="es-MX"/>
              </w:rPr>
            </w:pPr>
            <w:r w:rsidRPr="00C9516E">
              <w:rPr>
                <w:rFonts w:ascii="Calibri" w:eastAsia="Times New Roman" w:hAnsi="Calibri" w:cs="Calibri"/>
                <w:color w:val="000000"/>
                <w:lang w:eastAsia="es-MX"/>
              </w:rPr>
              <w:t xml:space="preserve"> $                       6,008,651.94 </w:t>
            </w:r>
          </w:p>
        </w:tc>
      </w:tr>
      <w:tr w:rsidR="00C9516E" w:rsidRPr="00C9516E" w14:paraId="2D8EF61B" w14:textId="77777777" w:rsidTr="00C9516E">
        <w:trPr>
          <w:trHeight w:val="315"/>
          <w:jc w:val="center"/>
        </w:trPr>
        <w:tc>
          <w:tcPr>
            <w:tcW w:w="3113" w:type="dxa"/>
            <w:tcBorders>
              <w:top w:val="nil"/>
              <w:left w:val="single" w:sz="8" w:space="0" w:color="auto"/>
              <w:bottom w:val="single" w:sz="8" w:space="0" w:color="auto"/>
              <w:right w:val="single" w:sz="8" w:space="0" w:color="auto"/>
            </w:tcBorders>
            <w:shd w:val="clear" w:color="auto" w:fill="auto"/>
            <w:noWrap/>
            <w:vAlign w:val="center"/>
            <w:hideMark/>
          </w:tcPr>
          <w:p w14:paraId="0EE2DC02" w14:textId="77777777" w:rsidR="00C9516E" w:rsidRPr="00C9516E" w:rsidRDefault="00C9516E" w:rsidP="00C9516E">
            <w:pPr>
              <w:spacing w:after="0" w:line="240" w:lineRule="auto"/>
              <w:rPr>
                <w:rFonts w:ascii="Calibri" w:eastAsia="Times New Roman" w:hAnsi="Calibri" w:cs="Calibri"/>
                <w:color w:val="000000"/>
                <w:lang w:eastAsia="es-MX"/>
              </w:rPr>
            </w:pPr>
            <w:r w:rsidRPr="00C9516E">
              <w:rPr>
                <w:rFonts w:ascii="Calibri" w:eastAsia="Times New Roman" w:hAnsi="Calibri" w:cs="Calibri"/>
                <w:color w:val="000000"/>
                <w:lang w:eastAsia="es-MX"/>
              </w:rPr>
              <w:t>Recursos Estatales</w:t>
            </w:r>
          </w:p>
        </w:tc>
        <w:tc>
          <w:tcPr>
            <w:tcW w:w="2982" w:type="dxa"/>
            <w:tcBorders>
              <w:top w:val="nil"/>
              <w:left w:val="nil"/>
              <w:bottom w:val="single" w:sz="8" w:space="0" w:color="auto"/>
              <w:right w:val="single" w:sz="8" w:space="0" w:color="auto"/>
            </w:tcBorders>
            <w:shd w:val="clear" w:color="auto" w:fill="auto"/>
            <w:noWrap/>
            <w:vAlign w:val="center"/>
            <w:hideMark/>
          </w:tcPr>
          <w:p w14:paraId="301EEDA1" w14:textId="77777777" w:rsidR="00C9516E" w:rsidRPr="00C9516E" w:rsidRDefault="00C9516E" w:rsidP="00C9516E">
            <w:pPr>
              <w:spacing w:after="0" w:line="240" w:lineRule="auto"/>
              <w:jc w:val="right"/>
              <w:rPr>
                <w:rFonts w:ascii="Calibri" w:eastAsia="Times New Roman" w:hAnsi="Calibri" w:cs="Calibri"/>
                <w:color w:val="000000"/>
                <w:lang w:eastAsia="es-MX"/>
              </w:rPr>
            </w:pPr>
            <w:r w:rsidRPr="00C9516E">
              <w:rPr>
                <w:rFonts w:ascii="Calibri" w:eastAsia="Times New Roman" w:hAnsi="Calibri" w:cs="Calibri"/>
                <w:color w:val="000000"/>
                <w:lang w:eastAsia="es-MX"/>
              </w:rPr>
              <w:t xml:space="preserve"> $                   147,615,279.92 </w:t>
            </w:r>
          </w:p>
        </w:tc>
      </w:tr>
      <w:tr w:rsidR="00C9516E" w:rsidRPr="00C9516E" w14:paraId="590C0D29" w14:textId="77777777" w:rsidTr="00C9516E">
        <w:trPr>
          <w:trHeight w:val="315"/>
          <w:jc w:val="center"/>
        </w:trPr>
        <w:tc>
          <w:tcPr>
            <w:tcW w:w="3113" w:type="dxa"/>
            <w:tcBorders>
              <w:top w:val="nil"/>
              <w:left w:val="single" w:sz="8" w:space="0" w:color="auto"/>
              <w:bottom w:val="single" w:sz="8" w:space="0" w:color="auto"/>
              <w:right w:val="single" w:sz="8" w:space="0" w:color="auto"/>
            </w:tcBorders>
            <w:shd w:val="clear" w:color="auto" w:fill="auto"/>
            <w:noWrap/>
            <w:vAlign w:val="center"/>
            <w:hideMark/>
          </w:tcPr>
          <w:p w14:paraId="6084419F" w14:textId="77777777" w:rsidR="00C9516E" w:rsidRPr="00C9516E" w:rsidRDefault="00C9516E" w:rsidP="00C9516E">
            <w:pPr>
              <w:spacing w:after="0" w:line="240" w:lineRule="auto"/>
              <w:rPr>
                <w:rFonts w:ascii="Calibri" w:eastAsia="Times New Roman" w:hAnsi="Calibri" w:cs="Calibri"/>
                <w:color w:val="000000"/>
                <w:lang w:eastAsia="es-MX"/>
              </w:rPr>
            </w:pPr>
            <w:r w:rsidRPr="00C9516E">
              <w:rPr>
                <w:rFonts w:ascii="Calibri" w:eastAsia="Times New Roman" w:hAnsi="Calibri" w:cs="Calibri"/>
                <w:color w:val="000000"/>
                <w:lang w:eastAsia="es-MX"/>
              </w:rPr>
              <w:t>Recursos Federales</w:t>
            </w:r>
          </w:p>
        </w:tc>
        <w:tc>
          <w:tcPr>
            <w:tcW w:w="2982" w:type="dxa"/>
            <w:tcBorders>
              <w:top w:val="nil"/>
              <w:left w:val="nil"/>
              <w:bottom w:val="single" w:sz="8" w:space="0" w:color="auto"/>
              <w:right w:val="single" w:sz="8" w:space="0" w:color="auto"/>
            </w:tcBorders>
            <w:shd w:val="clear" w:color="auto" w:fill="auto"/>
            <w:noWrap/>
            <w:vAlign w:val="center"/>
            <w:hideMark/>
          </w:tcPr>
          <w:p w14:paraId="4CD66C78" w14:textId="77777777" w:rsidR="00C9516E" w:rsidRPr="00C9516E" w:rsidRDefault="00C9516E" w:rsidP="00C9516E">
            <w:pPr>
              <w:spacing w:after="0" w:line="240" w:lineRule="auto"/>
              <w:jc w:val="right"/>
              <w:rPr>
                <w:rFonts w:ascii="Calibri" w:eastAsia="Times New Roman" w:hAnsi="Calibri" w:cs="Calibri"/>
                <w:color w:val="000000"/>
                <w:lang w:eastAsia="es-MX"/>
              </w:rPr>
            </w:pPr>
            <w:r w:rsidRPr="00C9516E">
              <w:rPr>
                <w:rFonts w:ascii="Calibri" w:eastAsia="Times New Roman" w:hAnsi="Calibri" w:cs="Calibri"/>
                <w:color w:val="000000"/>
                <w:lang w:eastAsia="es-MX"/>
              </w:rPr>
              <w:t xml:space="preserve"> $                   409,394,922.75 </w:t>
            </w:r>
          </w:p>
        </w:tc>
      </w:tr>
      <w:tr w:rsidR="00C9516E" w:rsidRPr="00C9516E" w14:paraId="57876F36" w14:textId="77777777" w:rsidTr="00C9516E">
        <w:trPr>
          <w:trHeight w:val="315"/>
          <w:jc w:val="center"/>
        </w:trPr>
        <w:tc>
          <w:tcPr>
            <w:tcW w:w="3113" w:type="dxa"/>
            <w:tcBorders>
              <w:top w:val="nil"/>
              <w:left w:val="single" w:sz="8" w:space="0" w:color="auto"/>
              <w:bottom w:val="single" w:sz="8" w:space="0" w:color="auto"/>
              <w:right w:val="single" w:sz="8" w:space="0" w:color="auto"/>
            </w:tcBorders>
            <w:shd w:val="clear" w:color="auto" w:fill="auto"/>
            <w:noWrap/>
            <w:vAlign w:val="center"/>
            <w:hideMark/>
          </w:tcPr>
          <w:p w14:paraId="3E61C85E" w14:textId="77777777" w:rsidR="00C9516E" w:rsidRPr="00C9516E" w:rsidRDefault="00C9516E" w:rsidP="00C9516E">
            <w:pPr>
              <w:spacing w:after="0" w:line="240" w:lineRule="auto"/>
              <w:rPr>
                <w:rFonts w:ascii="Calibri" w:eastAsia="Times New Roman" w:hAnsi="Calibri" w:cs="Calibri"/>
                <w:b/>
                <w:bCs/>
                <w:color w:val="000000"/>
                <w:lang w:eastAsia="es-MX"/>
              </w:rPr>
            </w:pPr>
            <w:r w:rsidRPr="00C9516E">
              <w:rPr>
                <w:rFonts w:ascii="Calibri" w:eastAsia="Times New Roman" w:hAnsi="Calibri" w:cs="Calibri"/>
                <w:b/>
                <w:bCs/>
                <w:color w:val="000000"/>
                <w:lang w:eastAsia="es-MX"/>
              </w:rPr>
              <w:t> Total</w:t>
            </w:r>
          </w:p>
        </w:tc>
        <w:tc>
          <w:tcPr>
            <w:tcW w:w="2982" w:type="dxa"/>
            <w:tcBorders>
              <w:top w:val="nil"/>
              <w:left w:val="nil"/>
              <w:bottom w:val="single" w:sz="8" w:space="0" w:color="auto"/>
              <w:right w:val="single" w:sz="8" w:space="0" w:color="auto"/>
            </w:tcBorders>
            <w:shd w:val="clear" w:color="auto" w:fill="auto"/>
            <w:noWrap/>
            <w:vAlign w:val="center"/>
            <w:hideMark/>
          </w:tcPr>
          <w:p w14:paraId="48509C42" w14:textId="77777777" w:rsidR="00C9516E" w:rsidRPr="00C9516E" w:rsidRDefault="00C9516E" w:rsidP="00C9516E">
            <w:pPr>
              <w:spacing w:after="0" w:line="240" w:lineRule="auto"/>
              <w:jc w:val="right"/>
              <w:rPr>
                <w:rFonts w:ascii="Calibri" w:eastAsia="Times New Roman" w:hAnsi="Calibri" w:cs="Calibri"/>
                <w:b/>
                <w:bCs/>
                <w:color w:val="000000"/>
                <w:lang w:eastAsia="es-MX"/>
              </w:rPr>
            </w:pPr>
            <w:r w:rsidRPr="00C9516E">
              <w:rPr>
                <w:rFonts w:ascii="Calibri" w:eastAsia="Times New Roman" w:hAnsi="Calibri" w:cs="Calibri"/>
                <w:b/>
                <w:bCs/>
                <w:color w:val="000000"/>
                <w:lang w:eastAsia="es-MX"/>
              </w:rPr>
              <w:t xml:space="preserve"> $                   564,783,523.12 </w:t>
            </w:r>
          </w:p>
        </w:tc>
      </w:tr>
      <w:tr w:rsidR="00C9516E" w:rsidRPr="00C9516E" w14:paraId="1402B71A" w14:textId="77777777" w:rsidTr="00C9516E">
        <w:trPr>
          <w:trHeight w:val="315"/>
          <w:jc w:val="center"/>
        </w:trPr>
        <w:tc>
          <w:tcPr>
            <w:tcW w:w="60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C23F4A" w14:textId="77777777" w:rsidR="00C9516E" w:rsidRPr="00C9516E" w:rsidRDefault="00C9516E" w:rsidP="00C9516E">
            <w:pPr>
              <w:spacing w:after="0" w:line="240" w:lineRule="auto"/>
              <w:rPr>
                <w:rFonts w:ascii="Calibri" w:eastAsia="Times New Roman" w:hAnsi="Calibri" w:cs="Calibri"/>
                <w:color w:val="000000"/>
                <w:lang w:eastAsia="es-MX"/>
              </w:rPr>
            </w:pPr>
            <w:r w:rsidRPr="00C9516E">
              <w:rPr>
                <w:rFonts w:ascii="Calibri" w:eastAsia="Times New Roman" w:hAnsi="Calibri" w:cs="Calibri"/>
                <w:color w:val="000000"/>
                <w:lang w:eastAsia="es-MX"/>
              </w:rPr>
              <w:t>Fuente: elaborado por TECSO con base al informe “Resumen Obras 2017” suministrado por la Dependencia</w:t>
            </w:r>
          </w:p>
        </w:tc>
      </w:tr>
    </w:tbl>
    <w:p w14:paraId="47372349" w14:textId="77777777" w:rsidR="00F90AAD" w:rsidRPr="00320D8C" w:rsidRDefault="00F90AAD" w:rsidP="00052688">
      <w:pPr>
        <w:autoSpaceDE w:val="0"/>
        <w:autoSpaceDN w:val="0"/>
        <w:adjustRightInd w:val="0"/>
        <w:spacing w:after="240"/>
        <w:jc w:val="both"/>
        <w:rPr>
          <w:rFonts w:ascii="Century Gothic" w:hAnsi="Century Gothic" w:cs="Arial"/>
          <w:bCs/>
          <w:sz w:val="4"/>
          <w:szCs w:val="24"/>
        </w:rPr>
      </w:pPr>
    </w:p>
    <w:p w14:paraId="295172E6" w14:textId="77777777" w:rsidR="00534836" w:rsidRDefault="00601990" w:rsidP="00052688">
      <w:pPr>
        <w:autoSpaceDE w:val="0"/>
        <w:autoSpaceDN w:val="0"/>
        <w:adjustRightInd w:val="0"/>
        <w:spacing w:after="240"/>
        <w:jc w:val="both"/>
        <w:rPr>
          <w:rFonts w:ascii="Century Gothic" w:hAnsi="Century Gothic" w:cs="Arial"/>
          <w:bCs/>
          <w:sz w:val="24"/>
          <w:szCs w:val="24"/>
        </w:rPr>
      </w:pPr>
      <w:r>
        <w:rPr>
          <w:rFonts w:ascii="Century Gothic" w:hAnsi="Century Gothic" w:cs="Arial"/>
          <w:bCs/>
          <w:sz w:val="24"/>
          <w:szCs w:val="24"/>
        </w:rPr>
        <w:t>El 72</w:t>
      </w:r>
      <w:r w:rsidR="00320D8C">
        <w:rPr>
          <w:rFonts w:ascii="Century Gothic" w:hAnsi="Century Gothic" w:cs="Arial"/>
          <w:bCs/>
          <w:sz w:val="24"/>
          <w:szCs w:val="24"/>
        </w:rPr>
        <w:t>% de los recursos con que operó la SEIDUR en 2017 provienen de fuentes federales, un 26% de recursos estatales, se destaca la donación realizada por la Embajada de Japón con la cual se realizó la “</w:t>
      </w:r>
      <w:r w:rsidR="00320D8C" w:rsidRPr="00320D8C">
        <w:rPr>
          <w:rFonts w:ascii="Century Gothic" w:hAnsi="Century Gothic" w:cs="Arial"/>
          <w:bCs/>
          <w:sz w:val="24"/>
          <w:szCs w:val="24"/>
        </w:rPr>
        <w:t xml:space="preserve">construcción del centro de educación para adultos en el </w:t>
      </w:r>
      <w:r w:rsidR="00320D8C">
        <w:rPr>
          <w:rFonts w:ascii="Century Gothic" w:hAnsi="Century Gothic" w:cs="Arial"/>
          <w:bCs/>
          <w:sz w:val="24"/>
          <w:szCs w:val="24"/>
        </w:rPr>
        <w:t>Municipio d</w:t>
      </w:r>
      <w:r w:rsidR="00320D8C" w:rsidRPr="00320D8C">
        <w:rPr>
          <w:rFonts w:ascii="Century Gothic" w:hAnsi="Century Gothic" w:cs="Arial"/>
          <w:bCs/>
          <w:sz w:val="24"/>
          <w:szCs w:val="24"/>
        </w:rPr>
        <w:t>e Armería</w:t>
      </w:r>
      <w:r w:rsidR="00320D8C">
        <w:rPr>
          <w:rFonts w:ascii="Century Gothic" w:hAnsi="Century Gothic" w:cs="Arial"/>
          <w:bCs/>
          <w:sz w:val="24"/>
          <w:szCs w:val="24"/>
        </w:rPr>
        <w:t>”</w:t>
      </w:r>
      <w:r w:rsidR="00320D8C" w:rsidRPr="00320D8C">
        <w:rPr>
          <w:rFonts w:ascii="Century Gothic" w:hAnsi="Century Gothic" w:cs="Arial"/>
          <w:bCs/>
          <w:sz w:val="24"/>
          <w:szCs w:val="24"/>
        </w:rPr>
        <w:t>.</w:t>
      </w:r>
    </w:p>
    <w:p w14:paraId="34B1B10E" w14:textId="77777777" w:rsidR="00B82E36" w:rsidRDefault="00B82E36" w:rsidP="005F517E">
      <w:pPr>
        <w:autoSpaceDE w:val="0"/>
        <w:autoSpaceDN w:val="0"/>
        <w:adjustRightInd w:val="0"/>
        <w:spacing w:after="240"/>
        <w:jc w:val="both"/>
        <w:rPr>
          <w:rFonts w:ascii="Century Gothic" w:hAnsi="Century Gothic" w:cs="Arial"/>
          <w:bCs/>
          <w:sz w:val="24"/>
          <w:szCs w:val="24"/>
        </w:rPr>
      </w:pPr>
      <w:r>
        <w:rPr>
          <w:rFonts w:ascii="Century Gothic" w:hAnsi="Century Gothic" w:cs="Arial"/>
          <w:bCs/>
          <w:sz w:val="24"/>
          <w:szCs w:val="24"/>
        </w:rPr>
        <w:t xml:space="preserve">Dado que uno de los objetos de la evaluación es analizar el uso de los recursos del </w:t>
      </w:r>
      <w:r w:rsidRPr="00B82E36">
        <w:rPr>
          <w:rFonts w:ascii="Century Gothic" w:hAnsi="Century Gothic" w:cs="Arial"/>
          <w:b/>
          <w:bCs/>
          <w:sz w:val="24"/>
          <w:szCs w:val="24"/>
        </w:rPr>
        <w:t>Fondo para el Fortalecimiento de las Entidades Federativas</w:t>
      </w:r>
      <w:r w:rsidRPr="00B82E36">
        <w:rPr>
          <w:rFonts w:ascii="Century Gothic" w:hAnsi="Century Gothic" w:cs="Arial"/>
          <w:bCs/>
          <w:sz w:val="24"/>
          <w:szCs w:val="24"/>
        </w:rPr>
        <w:t xml:space="preserve"> (FAFEF)</w:t>
      </w:r>
      <w:r>
        <w:rPr>
          <w:rFonts w:ascii="Century Gothic" w:hAnsi="Century Gothic" w:cs="Arial"/>
          <w:bCs/>
          <w:sz w:val="24"/>
          <w:szCs w:val="24"/>
        </w:rPr>
        <w:t>, se revisara a detalle en específico las obras que se ejecutaron con dicho fondo.</w:t>
      </w:r>
    </w:p>
    <w:p w14:paraId="1FE23536" w14:textId="77777777" w:rsidR="00B82E36" w:rsidRDefault="007159AD" w:rsidP="005F517E">
      <w:pPr>
        <w:autoSpaceDE w:val="0"/>
        <w:autoSpaceDN w:val="0"/>
        <w:adjustRightInd w:val="0"/>
        <w:spacing w:after="240"/>
        <w:jc w:val="both"/>
        <w:rPr>
          <w:rFonts w:ascii="Century Gothic" w:hAnsi="Century Gothic" w:cs="Arial"/>
          <w:bCs/>
          <w:sz w:val="24"/>
          <w:szCs w:val="24"/>
        </w:rPr>
      </w:pPr>
      <w:r>
        <w:rPr>
          <w:rFonts w:ascii="Century Gothic" w:hAnsi="Century Gothic" w:cs="Arial"/>
          <w:bCs/>
          <w:sz w:val="24"/>
          <w:szCs w:val="24"/>
        </w:rPr>
        <w:t xml:space="preserve">La inversión realizada por la SEIDUR proveniente del FAFEF fue por </w:t>
      </w:r>
      <w:r w:rsidR="00C726A8">
        <w:rPr>
          <w:rFonts w:ascii="Century Gothic" w:hAnsi="Century Gothic" w:cs="Arial"/>
          <w:bCs/>
          <w:sz w:val="24"/>
          <w:szCs w:val="24"/>
        </w:rPr>
        <w:t>$2</w:t>
      </w:r>
      <w:r w:rsidRPr="00B82E36">
        <w:rPr>
          <w:rFonts w:ascii="Century Gothic" w:hAnsi="Century Gothic" w:cs="Arial"/>
          <w:bCs/>
          <w:sz w:val="24"/>
          <w:szCs w:val="24"/>
        </w:rPr>
        <w:t>1,499,988.82</w:t>
      </w:r>
      <w:r>
        <w:rPr>
          <w:rFonts w:ascii="Century Gothic" w:hAnsi="Century Gothic" w:cs="Arial"/>
          <w:bCs/>
          <w:sz w:val="24"/>
          <w:szCs w:val="24"/>
        </w:rPr>
        <w:t>, para la modernización de una unidad deportiva, como se ilustra en el siguiente cuadro:</w:t>
      </w:r>
    </w:p>
    <w:tbl>
      <w:tblPr>
        <w:tblW w:w="8868" w:type="dxa"/>
        <w:tblInd w:w="55" w:type="dxa"/>
        <w:tblCellMar>
          <w:left w:w="70" w:type="dxa"/>
          <w:right w:w="70" w:type="dxa"/>
        </w:tblCellMar>
        <w:tblLook w:val="04A0" w:firstRow="1" w:lastRow="0" w:firstColumn="1" w:lastColumn="0" w:noHBand="0" w:noVBand="1"/>
      </w:tblPr>
      <w:tblGrid>
        <w:gridCol w:w="1291"/>
        <w:gridCol w:w="2552"/>
        <w:gridCol w:w="1701"/>
        <w:gridCol w:w="1559"/>
        <w:gridCol w:w="1765"/>
      </w:tblGrid>
      <w:tr w:rsidR="00B82E36" w:rsidRPr="00B82E36" w14:paraId="21289098" w14:textId="77777777" w:rsidTr="00B82E36">
        <w:trPr>
          <w:trHeight w:val="300"/>
        </w:trPr>
        <w:tc>
          <w:tcPr>
            <w:tcW w:w="8868" w:type="dxa"/>
            <w:gridSpan w:val="5"/>
            <w:tcBorders>
              <w:top w:val="single" w:sz="4" w:space="0" w:color="auto"/>
              <w:left w:val="single" w:sz="4" w:space="0" w:color="auto"/>
              <w:bottom w:val="single" w:sz="4" w:space="0" w:color="auto"/>
              <w:right w:val="single" w:sz="4" w:space="0" w:color="auto"/>
            </w:tcBorders>
            <w:shd w:val="clear" w:color="000000" w:fill="0E4E7A"/>
            <w:noWrap/>
            <w:vAlign w:val="bottom"/>
            <w:hideMark/>
          </w:tcPr>
          <w:p w14:paraId="44202B43" w14:textId="77777777" w:rsidR="00B82E36" w:rsidRPr="00B82E36" w:rsidRDefault="003E3B3D" w:rsidP="00B82E36">
            <w:pPr>
              <w:spacing w:after="0" w:line="240" w:lineRule="auto"/>
              <w:jc w:val="center"/>
              <w:rPr>
                <w:rFonts w:ascii="Calibri" w:eastAsia="Times New Roman" w:hAnsi="Calibri" w:cs="Calibri"/>
                <w:b/>
                <w:bCs/>
                <w:color w:val="FFFFFF"/>
                <w:lang w:eastAsia="es-MX"/>
              </w:rPr>
            </w:pPr>
            <w:r>
              <w:rPr>
                <w:rFonts w:ascii="Calibri" w:eastAsia="Times New Roman" w:hAnsi="Calibri" w:cs="Calibri"/>
                <w:b/>
                <w:bCs/>
                <w:color w:val="FFFFFF"/>
                <w:lang w:eastAsia="es-MX"/>
              </w:rPr>
              <w:t>Cuadro 1.5</w:t>
            </w:r>
            <w:r w:rsidR="00B82E36" w:rsidRPr="00B82E36">
              <w:rPr>
                <w:rFonts w:ascii="Calibri" w:eastAsia="Times New Roman" w:hAnsi="Calibri" w:cs="Calibri"/>
                <w:b/>
                <w:bCs/>
                <w:color w:val="FFFFFF"/>
                <w:lang w:eastAsia="es-MX"/>
              </w:rPr>
              <w:t>. Inversión del FAFEF 2017, SEIDUR</w:t>
            </w:r>
          </w:p>
        </w:tc>
      </w:tr>
      <w:tr w:rsidR="007159AD" w:rsidRPr="00B82E36" w14:paraId="31C59376" w14:textId="77777777" w:rsidTr="007159AD">
        <w:trPr>
          <w:trHeight w:val="283"/>
        </w:trPr>
        <w:tc>
          <w:tcPr>
            <w:tcW w:w="1291" w:type="dxa"/>
            <w:tcBorders>
              <w:top w:val="nil"/>
              <w:left w:val="single" w:sz="4" w:space="0" w:color="auto"/>
              <w:bottom w:val="single" w:sz="4" w:space="0" w:color="auto"/>
              <w:right w:val="single" w:sz="4" w:space="0" w:color="auto"/>
            </w:tcBorders>
            <w:shd w:val="clear" w:color="000000" w:fill="0E4E7A"/>
            <w:vAlign w:val="center"/>
            <w:hideMark/>
          </w:tcPr>
          <w:p w14:paraId="2C3FD63C" w14:textId="77777777" w:rsidR="00B82E36" w:rsidRPr="00B82E36" w:rsidRDefault="00B82E36" w:rsidP="00B82E36">
            <w:pPr>
              <w:spacing w:after="0" w:line="240" w:lineRule="auto"/>
              <w:jc w:val="center"/>
              <w:rPr>
                <w:rFonts w:ascii="Arial Narrow" w:eastAsia="Times New Roman" w:hAnsi="Arial Narrow" w:cs="Calibri"/>
                <w:b/>
                <w:bCs/>
                <w:color w:val="FFFFFF"/>
                <w:sz w:val="16"/>
                <w:szCs w:val="16"/>
                <w:lang w:eastAsia="es-MX"/>
              </w:rPr>
            </w:pPr>
            <w:r w:rsidRPr="00B82E36">
              <w:rPr>
                <w:rFonts w:ascii="Arial Narrow" w:eastAsia="Times New Roman" w:hAnsi="Arial Narrow" w:cs="Calibri"/>
                <w:b/>
                <w:bCs/>
                <w:color w:val="FFFFFF"/>
                <w:sz w:val="16"/>
                <w:szCs w:val="16"/>
                <w:lang w:eastAsia="es-MX"/>
              </w:rPr>
              <w:t>MUNICIPIO</w:t>
            </w:r>
          </w:p>
        </w:tc>
        <w:tc>
          <w:tcPr>
            <w:tcW w:w="2552" w:type="dxa"/>
            <w:tcBorders>
              <w:top w:val="nil"/>
              <w:left w:val="nil"/>
              <w:bottom w:val="single" w:sz="4" w:space="0" w:color="auto"/>
              <w:right w:val="single" w:sz="4" w:space="0" w:color="auto"/>
            </w:tcBorders>
            <w:shd w:val="clear" w:color="000000" w:fill="0E4E7A"/>
            <w:vAlign w:val="center"/>
            <w:hideMark/>
          </w:tcPr>
          <w:p w14:paraId="280A8C6C" w14:textId="77777777" w:rsidR="00B82E36" w:rsidRPr="00B82E36" w:rsidRDefault="00B82E36" w:rsidP="00B82E36">
            <w:pPr>
              <w:spacing w:after="0" w:line="240" w:lineRule="auto"/>
              <w:jc w:val="center"/>
              <w:rPr>
                <w:rFonts w:ascii="Arial Narrow" w:eastAsia="Times New Roman" w:hAnsi="Arial Narrow" w:cs="Calibri"/>
                <w:b/>
                <w:bCs/>
                <w:color w:val="FFFFFF"/>
                <w:sz w:val="16"/>
                <w:szCs w:val="16"/>
                <w:lang w:eastAsia="es-MX"/>
              </w:rPr>
            </w:pPr>
            <w:r w:rsidRPr="00B82E36">
              <w:rPr>
                <w:rFonts w:ascii="Arial Narrow" w:eastAsia="Times New Roman" w:hAnsi="Arial Narrow" w:cs="Calibri"/>
                <w:b/>
                <w:bCs/>
                <w:color w:val="FFFFFF"/>
                <w:sz w:val="16"/>
                <w:szCs w:val="16"/>
                <w:lang w:eastAsia="es-MX"/>
              </w:rPr>
              <w:t>NOMBRE DEL PROYECTO</w:t>
            </w:r>
          </w:p>
        </w:tc>
        <w:tc>
          <w:tcPr>
            <w:tcW w:w="1701" w:type="dxa"/>
            <w:tcBorders>
              <w:top w:val="nil"/>
              <w:left w:val="nil"/>
              <w:bottom w:val="single" w:sz="4" w:space="0" w:color="auto"/>
              <w:right w:val="single" w:sz="4" w:space="0" w:color="auto"/>
            </w:tcBorders>
            <w:shd w:val="clear" w:color="000000" w:fill="0E4E7A"/>
            <w:vAlign w:val="center"/>
            <w:hideMark/>
          </w:tcPr>
          <w:p w14:paraId="37B9CFCB" w14:textId="77777777" w:rsidR="00B82E36" w:rsidRPr="00B82E36" w:rsidRDefault="00B82E36" w:rsidP="00B82E36">
            <w:pPr>
              <w:spacing w:after="0" w:line="240" w:lineRule="auto"/>
              <w:jc w:val="center"/>
              <w:rPr>
                <w:rFonts w:ascii="Arial Narrow" w:eastAsia="Times New Roman" w:hAnsi="Arial Narrow" w:cs="Calibri"/>
                <w:b/>
                <w:bCs/>
                <w:color w:val="FFFFFF"/>
                <w:sz w:val="16"/>
                <w:szCs w:val="16"/>
                <w:lang w:eastAsia="es-MX"/>
              </w:rPr>
            </w:pPr>
            <w:r w:rsidRPr="00B82E36">
              <w:rPr>
                <w:rFonts w:ascii="Arial Narrow" w:eastAsia="Times New Roman" w:hAnsi="Arial Narrow" w:cs="Calibri"/>
                <w:b/>
                <w:bCs/>
                <w:color w:val="FFFFFF"/>
                <w:sz w:val="16"/>
                <w:szCs w:val="16"/>
                <w:lang w:eastAsia="es-MX"/>
              </w:rPr>
              <w:t xml:space="preserve">CONTRATADO </w:t>
            </w:r>
            <w:r w:rsidRPr="00B82E36">
              <w:rPr>
                <w:rFonts w:ascii="Arial Narrow" w:eastAsia="Times New Roman" w:hAnsi="Arial Narrow" w:cs="Calibri"/>
                <w:b/>
                <w:bCs/>
                <w:color w:val="FFFFFF"/>
                <w:sz w:val="16"/>
                <w:szCs w:val="16"/>
                <w:lang w:eastAsia="es-MX"/>
              </w:rPr>
              <w:br/>
            </w:r>
            <w:r w:rsidRPr="00B82E36">
              <w:rPr>
                <w:rFonts w:ascii="Arial Narrow" w:eastAsia="Times New Roman" w:hAnsi="Arial Narrow" w:cs="Calibri"/>
                <w:b/>
                <w:bCs/>
                <w:color w:val="FFFFFF"/>
                <w:sz w:val="14"/>
                <w:szCs w:val="14"/>
                <w:lang w:eastAsia="es-MX"/>
              </w:rPr>
              <w:t xml:space="preserve"> IVA INCLUIDO</w:t>
            </w:r>
          </w:p>
        </w:tc>
        <w:tc>
          <w:tcPr>
            <w:tcW w:w="1559" w:type="dxa"/>
            <w:tcBorders>
              <w:top w:val="nil"/>
              <w:left w:val="nil"/>
              <w:bottom w:val="single" w:sz="4" w:space="0" w:color="auto"/>
              <w:right w:val="single" w:sz="4" w:space="0" w:color="auto"/>
            </w:tcBorders>
            <w:shd w:val="clear" w:color="000000" w:fill="0E4E7A"/>
            <w:vAlign w:val="center"/>
            <w:hideMark/>
          </w:tcPr>
          <w:p w14:paraId="6E65804D" w14:textId="77777777" w:rsidR="00B82E36" w:rsidRPr="00B82E36" w:rsidRDefault="00B82E36" w:rsidP="00B82E36">
            <w:pPr>
              <w:spacing w:after="0" w:line="240" w:lineRule="auto"/>
              <w:jc w:val="center"/>
              <w:rPr>
                <w:rFonts w:ascii="Arial Narrow" w:eastAsia="Times New Roman" w:hAnsi="Arial Narrow" w:cs="Calibri"/>
                <w:b/>
                <w:bCs/>
                <w:color w:val="FFFFFF"/>
                <w:sz w:val="16"/>
                <w:szCs w:val="16"/>
                <w:lang w:eastAsia="es-MX"/>
              </w:rPr>
            </w:pPr>
            <w:r w:rsidRPr="00B82E36">
              <w:rPr>
                <w:rFonts w:ascii="Arial Narrow" w:eastAsia="Times New Roman" w:hAnsi="Arial Narrow" w:cs="Calibri"/>
                <w:b/>
                <w:bCs/>
                <w:color w:val="FFFFFF"/>
                <w:sz w:val="16"/>
                <w:szCs w:val="16"/>
                <w:lang w:eastAsia="es-MX"/>
              </w:rPr>
              <w:t>INVERSIÓN FAFEF</w:t>
            </w:r>
          </w:p>
        </w:tc>
        <w:tc>
          <w:tcPr>
            <w:tcW w:w="1765" w:type="dxa"/>
            <w:tcBorders>
              <w:top w:val="nil"/>
              <w:left w:val="nil"/>
              <w:bottom w:val="single" w:sz="4" w:space="0" w:color="auto"/>
              <w:right w:val="single" w:sz="4" w:space="0" w:color="auto"/>
            </w:tcBorders>
            <w:shd w:val="clear" w:color="000000" w:fill="0E4E7A"/>
            <w:vAlign w:val="center"/>
            <w:hideMark/>
          </w:tcPr>
          <w:p w14:paraId="46F7F6D8" w14:textId="77777777" w:rsidR="00B82E36" w:rsidRPr="00B82E36" w:rsidRDefault="00B82E36" w:rsidP="00B82E36">
            <w:pPr>
              <w:spacing w:after="0" w:line="240" w:lineRule="auto"/>
              <w:jc w:val="center"/>
              <w:rPr>
                <w:rFonts w:ascii="Arial Narrow" w:eastAsia="Times New Roman" w:hAnsi="Arial Narrow" w:cs="Calibri"/>
                <w:b/>
                <w:bCs/>
                <w:color w:val="FFFFFF"/>
                <w:sz w:val="16"/>
                <w:szCs w:val="16"/>
                <w:lang w:eastAsia="es-MX"/>
              </w:rPr>
            </w:pPr>
            <w:r w:rsidRPr="00B82E36">
              <w:rPr>
                <w:rFonts w:ascii="Arial Narrow" w:eastAsia="Times New Roman" w:hAnsi="Arial Narrow" w:cs="Calibri"/>
                <w:b/>
                <w:bCs/>
                <w:color w:val="FFFFFF"/>
                <w:sz w:val="16"/>
                <w:szCs w:val="16"/>
                <w:lang w:eastAsia="es-MX"/>
              </w:rPr>
              <w:t>INVERSION ESTATAL (PNG)</w:t>
            </w:r>
          </w:p>
        </w:tc>
      </w:tr>
      <w:tr w:rsidR="007145E2" w:rsidRPr="00B82E36" w14:paraId="58356017" w14:textId="77777777" w:rsidTr="007145E2">
        <w:trPr>
          <w:trHeight w:val="1020"/>
        </w:trPr>
        <w:tc>
          <w:tcPr>
            <w:tcW w:w="1291" w:type="dxa"/>
            <w:tcBorders>
              <w:top w:val="nil"/>
              <w:left w:val="single" w:sz="4" w:space="0" w:color="auto"/>
              <w:bottom w:val="single" w:sz="4" w:space="0" w:color="auto"/>
              <w:right w:val="single" w:sz="4" w:space="0" w:color="auto"/>
            </w:tcBorders>
            <w:shd w:val="clear" w:color="auto" w:fill="auto"/>
            <w:vAlign w:val="center"/>
            <w:hideMark/>
          </w:tcPr>
          <w:p w14:paraId="03B6EB4A" w14:textId="77777777" w:rsidR="00B82E36" w:rsidRPr="00B82E36" w:rsidRDefault="007159AD" w:rsidP="007159AD">
            <w:pPr>
              <w:spacing w:after="0" w:line="240" w:lineRule="auto"/>
              <w:jc w:val="center"/>
              <w:rPr>
                <w:rFonts w:eastAsia="Times New Roman" w:cstheme="minorHAnsi"/>
                <w:color w:val="000000"/>
                <w:sz w:val="20"/>
                <w:lang w:eastAsia="es-MX"/>
              </w:rPr>
            </w:pPr>
            <w:r w:rsidRPr="007159AD">
              <w:rPr>
                <w:rFonts w:eastAsia="Times New Roman" w:cstheme="minorHAnsi"/>
                <w:color w:val="000000"/>
                <w:sz w:val="20"/>
                <w:lang w:eastAsia="es-MX"/>
              </w:rPr>
              <w:t>Colima</w:t>
            </w:r>
          </w:p>
        </w:tc>
        <w:tc>
          <w:tcPr>
            <w:tcW w:w="2552" w:type="dxa"/>
            <w:tcBorders>
              <w:top w:val="nil"/>
              <w:left w:val="nil"/>
              <w:bottom w:val="single" w:sz="4" w:space="0" w:color="auto"/>
              <w:right w:val="single" w:sz="4" w:space="0" w:color="auto"/>
            </w:tcBorders>
            <w:shd w:val="clear" w:color="auto" w:fill="auto"/>
            <w:vAlign w:val="center"/>
            <w:hideMark/>
          </w:tcPr>
          <w:p w14:paraId="1B6D2C0F" w14:textId="77777777" w:rsidR="00B82E36" w:rsidRPr="00B82E36" w:rsidRDefault="00927474" w:rsidP="007159AD">
            <w:pPr>
              <w:spacing w:after="0" w:line="240" w:lineRule="auto"/>
              <w:jc w:val="both"/>
              <w:rPr>
                <w:rFonts w:eastAsia="Times New Roman" w:cstheme="minorHAnsi"/>
                <w:sz w:val="20"/>
                <w:lang w:eastAsia="es-MX"/>
              </w:rPr>
            </w:pPr>
            <w:hyperlink r:id="rId12" w:anchor="RANGE!SEIDUR_PNG_016_2017" w:history="1">
              <w:r w:rsidR="007159AD" w:rsidRPr="007159AD">
                <w:rPr>
                  <w:rFonts w:eastAsia="Times New Roman" w:cstheme="minorHAnsi"/>
                  <w:sz w:val="20"/>
                  <w:lang w:eastAsia="es-MX"/>
                </w:rPr>
                <w:t>Modernización de la unidad deportiva José María Morelos, Colima, col. (2 etapa)</w:t>
              </w:r>
            </w:hyperlink>
          </w:p>
        </w:tc>
        <w:tc>
          <w:tcPr>
            <w:tcW w:w="1701" w:type="dxa"/>
            <w:tcBorders>
              <w:top w:val="nil"/>
              <w:left w:val="nil"/>
              <w:bottom w:val="single" w:sz="4" w:space="0" w:color="auto"/>
              <w:right w:val="single" w:sz="4" w:space="0" w:color="auto"/>
            </w:tcBorders>
            <w:shd w:val="clear" w:color="auto" w:fill="auto"/>
            <w:vAlign w:val="center"/>
            <w:hideMark/>
          </w:tcPr>
          <w:p w14:paraId="463FFB70" w14:textId="77777777" w:rsidR="00B82E36" w:rsidRPr="00B82E36" w:rsidRDefault="00B82E36" w:rsidP="007159AD">
            <w:pPr>
              <w:spacing w:after="0" w:line="240" w:lineRule="auto"/>
              <w:jc w:val="right"/>
              <w:rPr>
                <w:rFonts w:eastAsia="Times New Roman" w:cstheme="minorHAnsi"/>
                <w:color w:val="000000"/>
                <w:sz w:val="20"/>
                <w:lang w:eastAsia="es-MX"/>
              </w:rPr>
            </w:pPr>
            <w:r w:rsidRPr="00B82E36">
              <w:rPr>
                <w:rFonts w:eastAsia="Times New Roman" w:cstheme="minorHAnsi"/>
                <w:color w:val="000000"/>
                <w:sz w:val="20"/>
                <w:lang w:eastAsia="es-MX"/>
              </w:rPr>
              <w:t xml:space="preserve"> $ 25,000,000.00 </w:t>
            </w: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1F9DD62D" w14:textId="77777777" w:rsidR="00B82E36" w:rsidRPr="00B82E36" w:rsidRDefault="00B82E36" w:rsidP="007159AD">
            <w:pPr>
              <w:spacing w:after="0" w:line="240" w:lineRule="auto"/>
              <w:jc w:val="right"/>
              <w:rPr>
                <w:rFonts w:eastAsia="Times New Roman" w:cstheme="minorHAnsi"/>
                <w:color w:val="000000"/>
                <w:sz w:val="20"/>
                <w:lang w:eastAsia="es-MX"/>
              </w:rPr>
            </w:pPr>
            <w:r w:rsidRPr="00B82E36">
              <w:rPr>
                <w:rFonts w:eastAsia="Times New Roman" w:cstheme="minorHAnsi"/>
                <w:color w:val="000000"/>
                <w:sz w:val="20"/>
                <w:lang w:eastAsia="es-MX"/>
              </w:rPr>
              <w:t xml:space="preserve"> $ 21,499,988.82 </w:t>
            </w:r>
          </w:p>
        </w:tc>
        <w:tc>
          <w:tcPr>
            <w:tcW w:w="1765" w:type="dxa"/>
            <w:tcBorders>
              <w:top w:val="nil"/>
              <w:left w:val="nil"/>
              <w:bottom w:val="single" w:sz="4" w:space="0" w:color="auto"/>
              <w:right w:val="single" w:sz="4" w:space="0" w:color="auto"/>
            </w:tcBorders>
            <w:shd w:val="clear" w:color="auto" w:fill="auto"/>
            <w:vAlign w:val="center"/>
            <w:hideMark/>
          </w:tcPr>
          <w:p w14:paraId="052E31B3" w14:textId="77777777" w:rsidR="00B82E36" w:rsidRPr="00B82E36" w:rsidRDefault="007159AD" w:rsidP="007159AD">
            <w:pPr>
              <w:spacing w:after="0" w:line="240" w:lineRule="auto"/>
              <w:jc w:val="right"/>
              <w:rPr>
                <w:rFonts w:eastAsia="Times New Roman" w:cstheme="minorHAnsi"/>
                <w:color w:val="000000"/>
                <w:sz w:val="20"/>
                <w:lang w:eastAsia="es-MX"/>
              </w:rPr>
            </w:pPr>
            <w:r>
              <w:rPr>
                <w:rFonts w:eastAsia="Times New Roman" w:cstheme="minorHAnsi"/>
                <w:color w:val="000000"/>
                <w:sz w:val="20"/>
                <w:lang w:eastAsia="es-MX"/>
              </w:rPr>
              <w:t xml:space="preserve"> $ </w:t>
            </w:r>
            <w:r w:rsidR="00B82E36" w:rsidRPr="00B82E36">
              <w:rPr>
                <w:rFonts w:eastAsia="Times New Roman" w:cstheme="minorHAnsi"/>
                <w:color w:val="000000"/>
                <w:sz w:val="20"/>
                <w:lang w:eastAsia="es-MX"/>
              </w:rPr>
              <w:t xml:space="preserve">3,500,011.30 </w:t>
            </w:r>
          </w:p>
        </w:tc>
      </w:tr>
      <w:tr w:rsidR="00B82E36" w:rsidRPr="00B82E36" w14:paraId="26CDD7CB" w14:textId="77777777" w:rsidTr="00B82E36">
        <w:trPr>
          <w:trHeight w:val="300"/>
        </w:trPr>
        <w:tc>
          <w:tcPr>
            <w:tcW w:w="886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437D0" w14:textId="77777777" w:rsidR="00B82E36" w:rsidRPr="00B82E36" w:rsidRDefault="00B82E36" w:rsidP="007159AD">
            <w:pPr>
              <w:spacing w:after="0" w:line="240" w:lineRule="auto"/>
              <w:rPr>
                <w:rFonts w:eastAsia="Times New Roman" w:cstheme="minorHAnsi"/>
                <w:color w:val="000000"/>
                <w:lang w:eastAsia="es-MX"/>
              </w:rPr>
            </w:pPr>
            <w:r w:rsidRPr="00B82E36">
              <w:rPr>
                <w:rFonts w:eastAsia="Times New Roman" w:cstheme="minorHAnsi"/>
                <w:color w:val="000000"/>
                <w:sz w:val="20"/>
                <w:lang w:eastAsia="es-MX"/>
              </w:rPr>
              <w:t>Fuente: elaborado por TECSO con base al informe “Resumen Obras 2017” suministrado por la Dependencia</w:t>
            </w:r>
          </w:p>
        </w:tc>
      </w:tr>
    </w:tbl>
    <w:p w14:paraId="41DC472F" w14:textId="77777777" w:rsidR="00B82E36" w:rsidRDefault="00C726A8" w:rsidP="005F517E">
      <w:pPr>
        <w:autoSpaceDE w:val="0"/>
        <w:autoSpaceDN w:val="0"/>
        <w:adjustRightInd w:val="0"/>
        <w:spacing w:after="240"/>
        <w:jc w:val="both"/>
        <w:rPr>
          <w:rFonts w:ascii="Century Gothic" w:hAnsi="Century Gothic" w:cs="Arial"/>
          <w:bCs/>
          <w:sz w:val="24"/>
          <w:szCs w:val="24"/>
        </w:rPr>
      </w:pPr>
      <w:r>
        <w:rPr>
          <w:rFonts w:ascii="Century Gothic" w:hAnsi="Century Gothic" w:cs="Arial"/>
          <w:bCs/>
          <w:sz w:val="24"/>
          <w:szCs w:val="24"/>
        </w:rPr>
        <w:lastRenderedPageBreak/>
        <w:t xml:space="preserve">Esta obra surge como parte del compromiso del gobierno estatal con </w:t>
      </w:r>
      <w:r w:rsidR="00DE7C17">
        <w:rPr>
          <w:rFonts w:ascii="Century Gothic" w:hAnsi="Century Gothic" w:cs="Arial"/>
          <w:bCs/>
          <w:sz w:val="24"/>
          <w:szCs w:val="24"/>
        </w:rPr>
        <w:t>el “</w:t>
      </w:r>
      <w:r w:rsidR="00DE7C17" w:rsidRPr="00DE7C17">
        <w:rPr>
          <w:rFonts w:ascii="Century Gothic" w:hAnsi="Century Gothic" w:cs="Arial"/>
          <w:b/>
          <w:bCs/>
          <w:sz w:val="24"/>
          <w:szCs w:val="24"/>
        </w:rPr>
        <w:t>deporte como un pilar del desarrollo</w:t>
      </w:r>
      <w:r w:rsidR="00DE7C17">
        <w:rPr>
          <w:rFonts w:ascii="Century Gothic" w:hAnsi="Century Gothic" w:cs="Arial"/>
          <w:bCs/>
          <w:sz w:val="24"/>
          <w:szCs w:val="24"/>
        </w:rPr>
        <w:t>”, tuvo un costo total de 25</w:t>
      </w:r>
      <w:r>
        <w:rPr>
          <w:rFonts w:ascii="Century Gothic" w:hAnsi="Century Gothic" w:cs="Arial"/>
          <w:bCs/>
          <w:sz w:val="24"/>
          <w:szCs w:val="24"/>
        </w:rPr>
        <w:t xml:space="preserve"> millones de pesos, </w:t>
      </w:r>
      <w:r w:rsidR="00585EAF">
        <w:rPr>
          <w:rFonts w:ascii="Century Gothic" w:hAnsi="Century Gothic" w:cs="Arial"/>
          <w:bCs/>
          <w:sz w:val="24"/>
          <w:szCs w:val="24"/>
        </w:rPr>
        <w:t>financiados principalmente con el FAFEF,</w:t>
      </w:r>
      <w:r w:rsidR="00AA5DFF">
        <w:rPr>
          <w:rFonts w:ascii="Century Gothic" w:hAnsi="Century Gothic" w:cs="Arial"/>
          <w:bCs/>
          <w:sz w:val="24"/>
          <w:szCs w:val="24"/>
        </w:rPr>
        <w:t xml:space="preserve"> </w:t>
      </w:r>
      <w:r w:rsidR="00585EAF">
        <w:rPr>
          <w:rFonts w:ascii="Century Gothic" w:hAnsi="Century Gothic" w:cs="Arial"/>
          <w:bCs/>
          <w:sz w:val="24"/>
          <w:szCs w:val="24"/>
        </w:rPr>
        <w:t>86%, y lo demás fue financiado con recursos estatales.</w:t>
      </w:r>
    </w:p>
    <w:p w14:paraId="3AA3B802" w14:textId="77777777" w:rsidR="00B82E36" w:rsidRDefault="00AA5DFF" w:rsidP="00C726A8">
      <w:pPr>
        <w:autoSpaceDE w:val="0"/>
        <w:autoSpaceDN w:val="0"/>
        <w:adjustRightInd w:val="0"/>
        <w:spacing w:after="240"/>
        <w:jc w:val="both"/>
        <w:rPr>
          <w:rFonts w:ascii="Century Gothic" w:hAnsi="Century Gothic" w:cs="Arial"/>
          <w:bCs/>
          <w:sz w:val="24"/>
          <w:szCs w:val="24"/>
        </w:rPr>
      </w:pPr>
      <w:r>
        <w:rPr>
          <w:rFonts w:ascii="Century Gothic" w:hAnsi="Century Gothic" w:cs="Arial"/>
          <w:bCs/>
          <w:sz w:val="24"/>
          <w:szCs w:val="24"/>
        </w:rPr>
        <w:t>En cuanto al cumplimiento normativo por el uso de los recursos, e</w:t>
      </w:r>
      <w:r w:rsidR="00585EAF">
        <w:rPr>
          <w:rFonts w:ascii="Century Gothic" w:hAnsi="Century Gothic" w:cs="Arial"/>
          <w:bCs/>
          <w:sz w:val="24"/>
          <w:szCs w:val="24"/>
        </w:rPr>
        <w:t xml:space="preserve">ste tipo de obra </w:t>
      </w:r>
      <w:r>
        <w:rPr>
          <w:rFonts w:ascii="Century Gothic" w:hAnsi="Century Gothic" w:cs="Arial"/>
          <w:bCs/>
          <w:sz w:val="24"/>
          <w:szCs w:val="24"/>
        </w:rPr>
        <w:t>está</w:t>
      </w:r>
      <w:r w:rsidR="00585EAF">
        <w:rPr>
          <w:rFonts w:ascii="Century Gothic" w:hAnsi="Century Gothic" w:cs="Arial"/>
          <w:bCs/>
          <w:sz w:val="24"/>
          <w:szCs w:val="24"/>
        </w:rPr>
        <w:t xml:space="preserve"> contemplada en lo que estipula la LCF es su artículo 47, en el numeral </w:t>
      </w:r>
      <w:r w:rsidR="00C726A8" w:rsidRPr="005D2B67">
        <w:rPr>
          <w:rFonts w:ascii="Century Gothic" w:hAnsi="Century Gothic" w:cs="Arial"/>
          <w:bCs/>
          <w:sz w:val="24"/>
          <w:szCs w:val="24"/>
        </w:rPr>
        <w:t xml:space="preserve">I. </w:t>
      </w:r>
      <w:r w:rsidR="00585EAF">
        <w:rPr>
          <w:rFonts w:ascii="Century Gothic" w:hAnsi="Century Gothic" w:cs="Arial"/>
          <w:bCs/>
          <w:sz w:val="24"/>
          <w:szCs w:val="24"/>
        </w:rPr>
        <w:t>“</w:t>
      </w:r>
      <w:r w:rsidR="00C726A8" w:rsidRPr="005D2B67">
        <w:rPr>
          <w:rFonts w:ascii="Century Gothic" w:hAnsi="Century Gothic" w:cs="Arial"/>
          <w:bCs/>
          <w:sz w:val="24"/>
          <w:szCs w:val="24"/>
        </w:rPr>
        <w:t xml:space="preserve">A la </w:t>
      </w:r>
      <w:r w:rsidR="00C726A8" w:rsidRPr="005D2B67">
        <w:rPr>
          <w:rFonts w:ascii="Century Gothic" w:hAnsi="Century Gothic" w:cs="Arial"/>
          <w:b/>
          <w:bCs/>
          <w:sz w:val="24"/>
          <w:szCs w:val="24"/>
        </w:rPr>
        <w:t>inversión en infraestructura física</w:t>
      </w:r>
      <w:r w:rsidR="00C726A8" w:rsidRPr="005D2B67">
        <w:rPr>
          <w:rFonts w:ascii="Century Gothic" w:hAnsi="Century Gothic" w:cs="Arial"/>
          <w:bCs/>
          <w:sz w:val="24"/>
          <w:szCs w:val="24"/>
        </w:rPr>
        <w:t>, incluyendo la construcción, reconstrucción,</w:t>
      </w:r>
      <w:r w:rsidR="00C726A8">
        <w:rPr>
          <w:rFonts w:ascii="Century Gothic" w:hAnsi="Century Gothic" w:cs="Arial"/>
          <w:bCs/>
          <w:sz w:val="24"/>
          <w:szCs w:val="24"/>
        </w:rPr>
        <w:t xml:space="preserve"> </w:t>
      </w:r>
      <w:r w:rsidR="00C726A8" w:rsidRPr="005D2B67">
        <w:rPr>
          <w:rFonts w:ascii="Century Gothic" w:hAnsi="Century Gothic" w:cs="Arial"/>
          <w:bCs/>
          <w:sz w:val="24"/>
          <w:szCs w:val="24"/>
        </w:rPr>
        <w:t>ampliación, mantenimiento y conservación de infraestructura</w:t>
      </w:r>
      <w:r w:rsidR="00585EAF">
        <w:rPr>
          <w:rFonts w:ascii="Century Gothic" w:hAnsi="Century Gothic" w:cs="Arial"/>
          <w:bCs/>
          <w:sz w:val="24"/>
          <w:szCs w:val="24"/>
        </w:rPr>
        <w:t xml:space="preserve">”, </w:t>
      </w:r>
      <w:r>
        <w:rPr>
          <w:rFonts w:ascii="Century Gothic" w:hAnsi="Century Gothic" w:cs="Arial"/>
          <w:bCs/>
          <w:sz w:val="24"/>
          <w:szCs w:val="24"/>
        </w:rPr>
        <w:t>por tanto</w:t>
      </w:r>
      <w:r w:rsidRPr="00AA5DFF">
        <w:rPr>
          <w:rFonts w:ascii="Century Gothic" w:hAnsi="Century Gothic" w:cs="Arial"/>
          <w:b/>
          <w:bCs/>
          <w:sz w:val="24"/>
          <w:szCs w:val="24"/>
        </w:rPr>
        <w:t xml:space="preserve"> su inversión es pertinente.</w:t>
      </w:r>
    </w:p>
    <w:p w14:paraId="35D6E7B7" w14:textId="77777777" w:rsidR="005F517E" w:rsidRDefault="00AA5DFF" w:rsidP="005F517E">
      <w:pPr>
        <w:autoSpaceDE w:val="0"/>
        <w:autoSpaceDN w:val="0"/>
        <w:adjustRightInd w:val="0"/>
        <w:spacing w:after="240"/>
        <w:jc w:val="both"/>
        <w:rPr>
          <w:rFonts w:ascii="Century Gothic" w:hAnsi="Century Gothic" w:cs="Arial"/>
          <w:bCs/>
          <w:sz w:val="24"/>
          <w:szCs w:val="24"/>
        </w:rPr>
      </w:pPr>
      <w:r>
        <w:rPr>
          <w:rFonts w:ascii="Century Gothic" w:hAnsi="Century Gothic" w:cs="Arial"/>
          <w:bCs/>
          <w:sz w:val="24"/>
          <w:szCs w:val="24"/>
        </w:rPr>
        <w:t xml:space="preserve">Otro tema a analizar es la inversión en infraestructura según los programas presupuestarios, ante ello se tiene que </w:t>
      </w:r>
      <w:r w:rsidR="005F517E" w:rsidRPr="005F517E">
        <w:rPr>
          <w:rFonts w:ascii="Century Gothic" w:hAnsi="Century Gothic" w:cs="Arial"/>
          <w:bCs/>
          <w:sz w:val="24"/>
          <w:szCs w:val="24"/>
        </w:rPr>
        <w:t xml:space="preserve">la </w:t>
      </w:r>
      <w:r w:rsidR="005F517E">
        <w:rPr>
          <w:rFonts w:ascii="Century Gothic" w:hAnsi="Century Gothic" w:cs="Arial"/>
          <w:bCs/>
          <w:sz w:val="24"/>
          <w:szCs w:val="24"/>
        </w:rPr>
        <w:t>SEIDUR se cuenta con ocho</w:t>
      </w:r>
      <w:r w:rsidR="005F517E" w:rsidRPr="005F517E">
        <w:rPr>
          <w:rFonts w:ascii="Century Gothic" w:hAnsi="Century Gothic" w:cs="Arial"/>
          <w:bCs/>
          <w:sz w:val="24"/>
          <w:szCs w:val="24"/>
        </w:rPr>
        <w:t xml:space="preserve"> sectores diferentes a atender, los cuales tienen características diferentes, debido a lo cual cada uno de ellos cuenta con</w:t>
      </w:r>
      <w:r w:rsidR="005F517E">
        <w:rPr>
          <w:rFonts w:ascii="Century Gothic" w:hAnsi="Century Gothic" w:cs="Arial"/>
          <w:bCs/>
          <w:sz w:val="24"/>
          <w:szCs w:val="24"/>
        </w:rPr>
        <w:t xml:space="preserve"> su programa presupuestario y su respectiva Matriz de I</w:t>
      </w:r>
      <w:r w:rsidR="005F517E" w:rsidRPr="005F517E">
        <w:rPr>
          <w:rFonts w:ascii="Century Gothic" w:hAnsi="Century Gothic" w:cs="Arial"/>
          <w:bCs/>
          <w:sz w:val="24"/>
          <w:szCs w:val="24"/>
        </w:rPr>
        <w:t xml:space="preserve">ndicadores de </w:t>
      </w:r>
      <w:r w:rsidR="005F517E">
        <w:rPr>
          <w:rFonts w:ascii="Century Gothic" w:hAnsi="Century Gothic" w:cs="Arial"/>
          <w:bCs/>
          <w:sz w:val="24"/>
          <w:szCs w:val="24"/>
        </w:rPr>
        <w:t>R</w:t>
      </w:r>
      <w:r w:rsidR="005F517E" w:rsidRPr="005F517E">
        <w:rPr>
          <w:rFonts w:ascii="Century Gothic" w:hAnsi="Century Gothic" w:cs="Arial"/>
          <w:bCs/>
          <w:sz w:val="24"/>
          <w:szCs w:val="24"/>
        </w:rPr>
        <w:t xml:space="preserve">esultados </w:t>
      </w:r>
      <w:r w:rsidR="005F517E">
        <w:rPr>
          <w:rFonts w:ascii="Century Gothic" w:hAnsi="Century Gothic" w:cs="Arial"/>
          <w:bCs/>
          <w:sz w:val="24"/>
          <w:szCs w:val="24"/>
        </w:rPr>
        <w:t xml:space="preserve">(MIR). De estos, seis </w:t>
      </w:r>
      <w:r w:rsidR="005F517E" w:rsidRPr="005F517E">
        <w:rPr>
          <w:rFonts w:ascii="Century Gothic" w:hAnsi="Century Gothic" w:cs="Arial"/>
          <w:bCs/>
          <w:sz w:val="24"/>
          <w:szCs w:val="24"/>
        </w:rPr>
        <w:t xml:space="preserve">se utilizan para </w:t>
      </w:r>
      <w:r w:rsidR="005F517E">
        <w:rPr>
          <w:rFonts w:ascii="Century Gothic" w:hAnsi="Century Gothic" w:cs="Arial"/>
          <w:bCs/>
          <w:sz w:val="24"/>
          <w:szCs w:val="24"/>
        </w:rPr>
        <w:t xml:space="preserve">las obras que tienen que ver con </w:t>
      </w:r>
      <w:r w:rsidR="005F517E" w:rsidRPr="005F517E">
        <w:rPr>
          <w:rFonts w:ascii="Century Gothic" w:hAnsi="Century Gothic" w:cs="Arial"/>
          <w:bCs/>
          <w:sz w:val="24"/>
          <w:szCs w:val="24"/>
        </w:rPr>
        <w:t>infraestructura</w:t>
      </w:r>
      <w:r w:rsidR="005F517E">
        <w:rPr>
          <w:rFonts w:ascii="Century Gothic" w:hAnsi="Century Gothic" w:cs="Arial"/>
          <w:bCs/>
          <w:sz w:val="24"/>
          <w:szCs w:val="24"/>
        </w:rPr>
        <w:t xml:space="preserve"> y los otros dos se </w:t>
      </w:r>
      <w:r w:rsidR="005F517E" w:rsidRPr="005F517E">
        <w:rPr>
          <w:rFonts w:ascii="Century Gothic" w:hAnsi="Century Gothic" w:cs="Arial"/>
          <w:bCs/>
          <w:sz w:val="24"/>
          <w:szCs w:val="24"/>
        </w:rPr>
        <w:t>utilizan para fines administrativos</w:t>
      </w:r>
      <w:r w:rsidR="005F517E">
        <w:rPr>
          <w:rFonts w:ascii="Century Gothic" w:hAnsi="Century Gothic" w:cs="Arial"/>
          <w:bCs/>
          <w:sz w:val="24"/>
          <w:szCs w:val="24"/>
        </w:rPr>
        <w:t>, los programas son:</w:t>
      </w:r>
    </w:p>
    <w:p w14:paraId="108419CC" w14:textId="77777777" w:rsidR="001C3142" w:rsidRPr="00BE0ED5" w:rsidRDefault="001C3142" w:rsidP="00AA5DFF">
      <w:pPr>
        <w:pStyle w:val="Prrafodelista"/>
        <w:numPr>
          <w:ilvl w:val="0"/>
          <w:numId w:val="19"/>
        </w:numPr>
        <w:autoSpaceDE w:val="0"/>
        <w:autoSpaceDN w:val="0"/>
        <w:adjustRightInd w:val="0"/>
        <w:spacing w:after="120"/>
        <w:ind w:left="714" w:hanging="357"/>
        <w:contextualSpacing w:val="0"/>
        <w:jc w:val="both"/>
        <w:rPr>
          <w:rFonts w:ascii="Century Gothic" w:hAnsi="Century Gothic" w:cs="Arial"/>
          <w:bCs/>
          <w:sz w:val="24"/>
          <w:szCs w:val="24"/>
        </w:rPr>
      </w:pPr>
      <w:r w:rsidRPr="00BE0ED5">
        <w:rPr>
          <w:rFonts w:ascii="Century Gothic" w:hAnsi="Century Gothic" w:cs="Arial"/>
          <w:bCs/>
          <w:sz w:val="24"/>
          <w:szCs w:val="24"/>
        </w:rPr>
        <w:t>92.</w:t>
      </w:r>
      <w:r w:rsidR="00BE0ED5" w:rsidRPr="00BE0ED5">
        <w:rPr>
          <w:rFonts w:ascii="Century Gothic" w:hAnsi="Century Gothic" w:cs="Arial"/>
          <w:bCs/>
          <w:sz w:val="24"/>
          <w:szCs w:val="24"/>
        </w:rPr>
        <w:t xml:space="preserve"> Planeación y Conducción de la Política de Infraestructura Estatal</w:t>
      </w:r>
    </w:p>
    <w:p w14:paraId="36DE5112" w14:textId="77777777" w:rsidR="001C3142" w:rsidRPr="00BE0ED5" w:rsidRDefault="001C3142" w:rsidP="00AA5DFF">
      <w:pPr>
        <w:pStyle w:val="Prrafodelista"/>
        <w:numPr>
          <w:ilvl w:val="0"/>
          <w:numId w:val="19"/>
        </w:numPr>
        <w:autoSpaceDE w:val="0"/>
        <w:autoSpaceDN w:val="0"/>
        <w:adjustRightInd w:val="0"/>
        <w:spacing w:after="120"/>
        <w:ind w:left="714" w:hanging="357"/>
        <w:contextualSpacing w:val="0"/>
        <w:jc w:val="both"/>
        <w:rPr>
          <w:rFonts w:ascii="Century Gothic" w:hAnsi="Century Gothic" w:cs="Arial"/>
          <w:bCs/>
          <w:sz w:val="24"/>
          <w:szCs w:val="24"/>
        </w:rPr>
      </w:pPr>
      <w:r w:rsidRPr="00BE0ED5">
        <w:rPr>
          <w:rFonts w:ascii="Century Gothic" w:hAnsi="Century Gothic" w:cs="Arial"/>
          <w:bCs/>
          <w:sz w:val="24"/>
          <w:szCs w:val="24"/>
        </w:rPr>
        <w:t>93.</w:t>
      </w:r>
      <w:r w:rsidR="00BE0ED5" w:rsidRPr="00BE0ED5">
        <w:rPr>
          <w:rFonts w:ascii="Century Gothic" w:hAnsi="Century Gothic" w:cs="Arial"/>
          <w:bCs/>
          <w:sz w:val="24"/>
          <w:szCs w:val="24"/>
        </w:rPr>
        <w:t xml:space="preserve"> Apoyo Parque Regional</w:t>
      </w:r>
    </w:p>
    <w:p w14:paraId="09D8EE98" w14:textId="77777777" w:rsidR="005F517E" w:rsidRPr="00BE0ED5" w:rsidRDefault="005F517E" w:rsidP="00AA5DFF">
      <w:pPr>
        <w:pStyle w:val="Prrafodelista"/>
        <w:numPr>
          <w:ilvl w:val="0"/>
          <w:numId w:val="19"/>
        </w:numPr>
        <w:autoSpaceDE w:val="0"/>
        <w:autoSpaceDN w:val="0"/>
        <w:adjustRightInd w:val="0"/>
        <w:spacing w:after="120"/>
        <w:ind w:left="714" w:hanging="357"/>
        <w:contextualSpacing w:val="0"/>
        <w:jc w:val="both"/>
        <w:rPr>
          <w:rFonts w:ascii="Century Gothic" w:hAnsi="Century Gothic" w:cs="Arial"/>
          <w:b/>
          <w:bCs/>
          <w:sz w:val="24"/>
          <w:szCs w:val="24"/>
        </w:rPr>
      </w:pPr>
      <w:r w:rsidRPr="00BE0ED5">
        <w:rPr>
          <w:rFonts w:ascii="Century Gothic" w:hAnsi="Century Gothic" w:cs="Arial"/>
          <w:b/>
          <w:bCs/>
          <w:sz w:val="24"/>
          <w:szCs w:val="24"/>
        </w:rPr>
        <w:t>94.- Infraestructura desarrollo económico</w:t>
      </w:r>
    </w:p>
    <w:p w14:paraId="6245E288" w14:textId="77777777" w:rsidR="005F517E" w:rsidRPr="00BE0ED5" w:rsidRDefault="005F517E" w:rsidP="00AA5DFF">
      <w:pPr>
        <w:pStyle w:val="Prrafodelista"/>
        <w:numPr>
          <w:ilvl w:val="0"/>
          <w:numId w:val="19"/>
        </w:numPr>
        <w:autoSpaceDE w:val="0"/>
        <w:autoSpaceDN w:val="0"/>
        <w:adjustRightInd w:val="0"/>
        <w:spacing w:after="120"/>
        <w:ind w:left="714" w:hanging="357"/>
        <w:contextualSpacing w:val="0"/>
        <w:jc w:val="both"/>
        <w:rPr>
          <w:rFonts w:ascii="Century Gothic" w:hAnsi="Century Gothic" w:cs="Arial"/>
          <w:b/>
          <w:bCs/>
          <w:sz w:val="24"/>
          <w:szCs w:val="24"/>
        </w:rPr>
      </w:pPr>
      <w:r w:rsidRPr="00BE0ED5">
        <w:rPr>
          <w:rFonts w:ascii="Century Gothic" w:hAnsi="Century Gothic" w:cs="Arial"/>
          <w:b/>
          <w:bCs/>
          <w:sz w:val="24"/>
          <w:szCs w:val="24"/>
        </w:rPr>
        <w:t>95.- infraestructura manejo de residuos solidos</w:t>
      </w:r>
    </w:p>
    <w:p w14:paraId="2E1066C8" w14:textId="77777777" w:rsidR="005F517E" w:rsidRPr="00BE0ED5" w:rsidRDefault="005F517E" w:rsidP="00AA5DFF">
      <w:pPr>
        <w:pStyle w:val="Prrafodelista"/>
        <w:numPr>
          <w:ilvl w:val="0"/>
          <w:numId w:val="19"/>
        </w:numPr>
        <w:autoSpaceDE w:val="0"/>
        <w:autoSpaceDN w:val="0"/>
        <w:adjustRightInd w:val="0"/>
        <w:spacing w:after="120"/>
        <w:ind w:left="714" w:hanging="357"/>
        <w:contextualSpacing w:val="0"/>
        <w:jc w:val="both"/>
        <w:rPr>
          <w:rFonts w:ascii="Century Gothic" w:hAnsi="Century Gothic" w:cs="Arial"/>
          <w:b/>
          <w:bCs/>
          <w:sz w:val="24"/>
          <w:szCs w:val="24"/>
        </w:rPr>
      </w:pPr>
      <w:r w:rsidRPr="00BE0ED5">
        <w:rPr>
          <w:rFonts w:ascii="Century Gothic" w:hAnsi="Century Gothic" w:cs="Arial"/>
          <w:b/>
          <w:bCs/>
          <w:sz w:val="24"/>
          <w:szCs w:val="24"/>
        </w:rPr>
        <w:t>96.- infraestructura social</w:t>
      </w:r>
    </w:p>
    <w:p w14:paraId="4643C54C" w14:textId="77777777" w:rsidR="005F517E" w:rsidRPr="00BE0ED5" w:rsidRDefault="005F517E" w:rsidP="00AA5DFF">
      <w:pPr>
        <w:pStyle w:val="Prrafodelista"/>
        <w:numPr>
          <w:ilvl w:val="0"/>
          <w:numId w:val="19"/>
        </w:numPr>
        <w:autoSpaceDE w:val="0"/>
        <w:autoSpaceDN w:val="0"/>
        <w:adjustRightInd w:val="0"/>
        <w:spacing w:after="120"/>
        <w:ind w:left="714" w:hanging="357"/>
        <w:contextualSpacing w:val="0"/>
        <w:jc w:val="both"/>
        <w:rPr>
          <w:rFonts w:ascii="Century Gothic" w:hAnsi="Century Gothic" w:cs="Arial"/>
          <w:b/>
          <w:bCs/>
          <w:sz w:val="24"/>
          <w:szCs w:val="24"/>
        </w:rPr>
      </w:pPr>
      <w:r w:rsidRPr="00BE0ED5">
        <w:rPr>
          <w:rFonts w:ascii="Century Gothic" w:hAnsi="Century Gothic" w:cs="Arial"/>
          <w:b/>
          <w:bCs/>
          <w:sz w:val="24"/>
          <w:szCs w:val="24"/>
        </w:rPr>
        <w:t>97.-infraestructura hidráulica</w:t>
      </w:r>
    </w:p>
    <w:p w14:paraId="30F4C8C1" w14:textId="77777777" w:rsidR="005F517E" w:rsidRPr="00BE0ED5" w:rsidRDefault="005F517E" w:rsidP="00AA5DFF">
      <w:pPr>
        <w:pStyle w:val="Prrafodelista"/>
        <w:numPr>
          <w:ilvl w:val="0"/>
          <w:numId w:val="19"/>
        </w:numPr>
        <w:autoSpaceDE w:val="0"/>
        <w:autoSpaceDN w:val="0"/>
        <w:adjustRightInd w:val="0"/>
        <w:spacing w:after="120"/>
        <w:ind w:left="714" w:hanging="357"/>
        <w:contextualSpacing w:val="0"/>
        <w:jc w:val="both"/>
        <w:rPr>
          <w:rFonts w:ascii="Century Gothic" w:hAnsi="Century Gothic" w:cs="Arial"/>
          <w:b/>
          <w:bCs/>
          <w:sz w:val="24"/>
          <w:szCs w:val="24"/>
        </w:rPr>
      </w:pPr>
      <w:r w:rsidRPr="00BE0ED5">
        <w:rPr>
          <w:rFonts w:ascii="Century Gothic" w:hAnsi="Century Gothic" w:cs="Arial"/>
          <w:b/>
          <w:bCs/>
          <w:sz w:val="24"/>
          <w:szCs w:val="24"/>
        </w:rPr>
        <w:t xml:space="preserve">98.-Infraestructura carretera </w:t>
      </w:r>
    </w:p>
    <w:p w14:paraId="39C66D47" w14:textId="77777777" w:rsidR="005F517E" w:rsidRPr="00BE0ED5" w:rsidRDefault="005F517E" w:rsidP="005F517E">
      <w:pPr>
        <w:pStyle w:val="Prrafodelista"/>
        <w:numPr>
          <w:ilvl w:val="0"/>
          <w:numId w:val="19"/>
        </w:numPr>
        <w:autoSpaceDE w:val="0"/>
        <w:autoSpaceDN w:val="0"/>
        <w:adjustRightInd w:val="0"/>
        <w:spacing w:after="240"/>
        <w:jc w:val="both"/>
        <w:rPr>
          <w:rFonts w:ascii="Century Gothic" w:hAnsi="Century Gothic" w:cs="Arial"/>
          <w:b/>
          <w:bCs/>
          <w:sz w:val="24"/>
          <w:szCs w:val="24"/>
        </w:rPr>
      </w:pPr>
      <w:r w:rsidRPr="00BE0ED5">
        <w:rPr>
          <w:rFonts w:ascii="Century Gothic" w:hAnsi="Century Gothic" w:cs="Arial"/>
          <w:b/>
          <w:bCs/>
          <w:sz w:val="24"/>
          <w:szCs w:val="24"/>
        </w:rPr>
        <w:t>99.- Infraestructura no habitacional.</w:t>
      </w:r>
    </w:p>
    <w:p w14:paraId="0C5B1C7B" w14:textId="77777777" w:rsidR="005F517E" w:rsidRDefault="001C3142" w:rsidP="005F517E">
      <w:pPr>
        <w:autoSpaceDE w:val="0"/>
        <w:autoSpaceDN w:val="0"/>
        <w:adjustRightInd w:val="0"/>
        <w:spacing w:after="240"/>
        <w:jc w:val="both"/>
        <w:rPr>
          <w:rFonts w:ascii="Century Gothic" w:hAnsi="Century Gothic" w:cs="Arial"/>
          <w:bCs/>
          <w:sz w:val="24"/>
          <w:szCs w:val="24"/>
        </w:rPr>
      </w:pPr>
      <w:r>
        <w:rPr>
          <w:rFonts w:ascii="Century Gothic" w:hAnsi="Century Gothic" w:cs="Arial"/>
          <w:bCs/>
          <w:sz w:val="24"/>
          <w:szCs w:val="24"/>
        </w:rPr>
        <w:t>Bajo este entendido los recursos se destinaron en diversas obras, asociadas a los programas presupuestarios</w:t>
      </w:r>
      <w:r w:rsidR="00AA5DFF">
        <w:rPr>
          <w:rFonts w:ascii="Century Gothic" w:hAnsi="Century Gothic" w:cs="Arial"/>
          <w:bCs/>
          <w:sz w:val="24"/>
          <w:szCs w:val="24"/>
        </w:rPr>
        <w:t xml:space="preserve"> que lleva a cabo la SEIDUR</w:t>
      </w:r>
      <w:r>
        <w:rPr>
          <w:rFonts w:ascii="Century Gothic" w:hAnsi="Century Gothic" w:cs="Arial"/>
          <w:bCs/>
          <w:sz w:val="24"/>
          <w:szCs w:val="24"/>
        </w:rPr>
        <w:t>, tal como se detalla a continuación:</w:t>
      </w:r>
    </w:p>
    <w:p w14:paraId="1E604C70" w14:textId="77777777" w:rsidR="00AA5DFF" w:rsidRDefault="00AA5DFF" w:rsidP="005F517E">
      <w:pPr>
        <w:autoSpaceDE w:val="0"/>
        <w:autoSpaceDN w:val="0"/>
        <w:adjustRightInd w:val="0"/>
        <w:spacing w:after="240"/>
        <w:jc w:val="both"/>
        <w:rPr>
          <w:rFonts w:ascii="Century Gothic" w:hAnsi="Century Gothic" w:cs="Arial"/>
          <w:bCs/>
          <w:sz w:val="24"/>
          <w:szCs w:val="24"/>
        </w:rPr>
      </w:pPr>
    </w:p>
    <w:p w14:paraId="6F612F8A" w14:textId="77777777" w:rsidR="00AA5DFF" w:rsidRDefault="00AA5DFF" w:rsidP="005F517E">
      <w:pPr>
        <w:autoSpaceDE w:val="0"/>
        <w:autoSpaceDN w:val="0"/>
        <w:adjustRightInd w:val="0"/>
        <w:spacing w:after="240"/>
        <w:jc w:val="both"/>
        <w:rPr>
          <w:rFonts w:ascii="Century Gothic" w:hAnsi="Century Gothic" w:cs="Arial"/>
          <w:bCs/>
          <w:sz w:val="24"/>
          <w:szCs w:val="24"/>
        </w:rPr>
      </w:pPr>
    </w:p>
    <w:tbl>
      <w:tblPr>
        <w:tblW w:w="7577" w:type="dxa"/>
        <w:jc w:val="center"/>
        <w:tblCellMar>
          <w:left w:w="70" w:type="dxa"/>
          <w:right w:w="70" w:type="dxa"/>
        </w:tblCellMar>
        <w:tblLook w:val="04A0" w:firstRow="1" w:lastRow="0" w:firstColumn="1" w:lastColumn="0" w:noHBand="0" w:noVBand="1"/>
      </w:tblPr>
      <w:tblGrid>
        <w:gridCol w:w="4394"/>
        <w:gridCol w:w="2422"/>
        <w:gridCol w:w="761"/>
      </w:tblGrid>
      <w:tr w:rsidR="001C3142" w:rsidRPr="001C3142" w14:paraId="370E95E3" w14:textId="77777777" w:rsidTr="001C3142">
        <w:trPr>
          <w:trHeight w:val="300"/>
          <w:jc w:val="center"/>
        </w:trPr>
        <w:tc>
          <w:tcPr>
            <w:tcW w:w="7577" w:type="dxa"/>
            <w:gridSpan w:val="3"/>
            <w:tcBorders>
              <w:top w:val="single" w:sz="4" w:space="0" w:color="auto"/>
              <w:left w:val="single" w:sz="4" w:space="0" w:color="auto"/>
              <w:bottom w:val="single" w:sz="4" w:space="0" w:color="auto"/>
              <w:right w:val="single" w:sz="4" w:space="0" w:color="auto"/>
            </w:tcBorders>
            <w:shd w:val="clear" w:color="000000" w:fill="0E4E7A"/>
            <w:noWrap/>
            <w:vAlign w:val="center"/>
            <w:hideMark/>
          </w:tcPr>
          <w:p w14:paraId="7E69AC94" w14:textId="77777777" w:rsidR="001C3142" w:rsidRPr="001C3142" w:rsidRDefault="003E3B3D" w:rsidP="001C3142">
            <w:pPr>
              <w:spacing w:after="0" w:line="240" w:lineRule="auto"/>
              <w:jc w:val="center"/>
              <w:rPr>
                <w:rFonts w:ascii="Calibri" w:eastAsia="Times New Roman" w:hAnsi="Calibri" w:cs="Calibri"/>
                <w:b/>
                <w:bCs/>
                <w:color w:val="FFFFFF"/>
                <w:lang w:eastAsia="es-MX"/>
              </w:rPr>
            </w:pPr>
            <w:r>
              <w:rPr>
                <w:rFonts w:ascii="Calibri" w:eastAsia="Times New Roman" w:hAnsi="Calibri" w:cs="Calibri"/>
                <w:b/>
                <w:bCs/>
                <w:color w:val="FFFFFF"/>
                <w:lang w:eastAsia="es-MX"/>
              </w:rPr>
              <w:t>Cuadro 1.6</w:t>
            </w:r>
            <w:r w:rsidR="001C3142" w:rsidRPr="001C3142">
              <w:rPr>
                <w:rFonts w:ascii="Calibri" w:eastAsia="Times New Roman" w:hAnsi="Calibri" w:cs="Calibri"/>
                <w:b/>
                <w:bCs/>
                <w:color w:val="FFFFFF"/>
                <w:lang w:eastAsia="es-MX"/>
              </w:rPr>
              <w:t>. Inversión por Programa</w:t>
            </w:r>
            <w:r w:rsidR="001C3142">
              <w:rPr>
                <w:rFonts w:ascii="Calibri" w:eastAsia="Times New Roman" w:hAnsi="Calibri" w:cs="Calibri"/>
                <w:b/>
                <w:bCs/>
                <w:color w:val="FFFFFF"/>
                <w:lang w:eastAsia="es-MX"/>
              </w:rPr>
              <w:t xml:space="preserve"> </w:t>
            </w:r>
            <w:r w:rsidR="001C3142" w:rsidRPr="001C3142">
              <w:rPr>
                <w:rFonts w:ascii="Calibri" w:eastAsia="Times New Roman" w:hAnsi="Calibri" w:cs="Calibri"/>
                <w:b/>
                <w:bCs/>
                <w:color w:val="FFFFFF"/>
                <w:lang w:eastAsia="es-MX"/>
              </w:rPr>
              <w:t>Presupuestario SEIDUR 2017</w:t>
            </w:r>
          </w:p>
        </w:tc>
      </w:tr>
      <w:tr w:rsidR="001C3142" w:rsidRPr="001C3142" w14:paraId="079AB37B" w14:textId="77777777" w:rsidTr="001C3142">
        <w:trPr>
          <w:trHeight w:val="300"/>
          <w:jc w:val="center"/>
        </w:trPr>
        <w:tc>
          <w:tcPr>
            <w:tcW w:w="4394" w:type="dxa"/>
            <w:tcBorders>
              <w:top w:val="nil"/>
              <w:left w:val="single" w:sz="4" w:space="0" w:color="auto"/>
              <w:bottom w:val="single" w:sz="4" w:space="0" w:color="auto"/>
              <w:right w:val="single" w:sz="4" w:space="0" w:color="auto"/>
            </w:tcBorders>
            <w:shd w:val="clear" w:color="000000" w:fill="0E4E7A"/>
            <w:noWrap/>
            <w:vAlign w:val="center"/>
            <w:hideMark/>
          </w:tcPr>
          <w:p w14:paraId="45990380" w14:textId="77777777" w:rsidR="001C3142" w:rsidRPr="001C3142" w:rsidRDefault="001C3142" w:rsidP="001C3142">
            <w:pPr>
              <w:spacing w:after="0" w:line="240" w:lineRule="auto"/>
              <w:jc w:val="center"/>
              <w:rPr>
                <w:rFonts w:ascii="Calibri" w:eastAsia="Times New Roman" w:hAnsi="Calibri" w:cs="Calibri"/>
                <w:b/>
                <w:bCs/>
                <w:color w:val="FFFFFF"/>
                <w:lang w:eastAsia="es-MX"/>
              </w:rPr>
            </w:pPr>
            <w:r w:rsidRPr="001C3142">
              <w:rPr>
                <w:rFonts w:ascii="Calibri" w:eastAsia="Times New Roman" w:hAnsi="Calibri" w:cs="Calibri"/>
                <w:b/>
                <w:bCs/>
                <w:color w:val="FFFFFF"/>
                <w:lang w:eastAsia="es-MX"/>
              </w:rPr>
              <w:lastRenderedPageBreak/>
              <w:t>Programa Presupuestario</w:t>
            </w:r>
          </w:p>
        </w:tc>
        <w:tc>
          <w:tcPr>
            <w:tcW w:w="2422" w:type="dxa"/>
            <w:tcBorders>
              <w:top w:val="nil"/>
              <w:left w:val="nil"/>
              <w:bottom w:val="single" w:sz="4" w:space="0" w:color="auto"/>
              <w:right w:val="single" w:sz="4" w:space="0" w:color="auto"/>
            </w:tcBorders>
            <w:shd w:val="clear" w:color="000000" w:fill="0E4E7A"/>
            <w:noWrap/>
            <w:vAlign w:val="center"/>
            <w:hideMark/>
          </w:tcPr>
          <w:p w14:paraId="1A281DC5" w14:textId="77777777" w:rsidR="001C3142" w:rsidRPr="001C3142" w:rsidRDefault="001C3142" w:rsidP="001C3142">
            <w:pPr>
              <w:spacing w:after="0" w:line="240" w:lineRule="auto"/>
              <w:jc w:val="center"/>
              <w:rPr>
                <w:rFonts w:ascii="Calibri" w:eastAsia="Times New Roman" w:hAnsi="Calibri" w:cs="Calibri"/>
                <w:b/>
                <w:bCs/>
                <w:color w:val="FFFFFF"/>
                <w:lang w:eastAsia="es-MX"/>
              </w:rPr>
            </w:pPr>
            <w:r w:rsidRPr="001C3142">
              <w:rPr>
                <w:rFonts w:ascii="Calibri" w:eastAsia="Times New Roman" w:hAnsi="Calibri" w:cs="Calibri"/>
                <w:b/>
                <w:bCs/>
                <w:color w:val="FFFFFF"/>
                <w:lang w:eastAsia="es-MX"/>
              </w:rPr>
              <w:t>Monto</w:t>
            </w:r>
          </w:p>
        </w:tc>
        <w:tc>
          <w:tcPr>
            <w:tcW w:w="761" w:type="dxa"/>
            <w:tcBorders>
              <w:top w:val="nil"/>
              <w:left w:val="nil"/>
              <w:bottom w:val="single" w:sz="4" w:space="0" w:color="auto"/>
              <w:right w:val="single" w:sz="4" w:space="0" w:color="auto"/>
            </w:tcBorders>
            <w:shd w:val="clear" w:color="000000" w:fill="0E4E7A"/>
            <w:noWrap/>
            <w:vAlign w:val="center"/>
            <w:hideMark/>
          </w:tcPr>
          <w:p w14:paraId="100AC0FF" w14:textId="77777777" w:rsidR="001C3142" w:rsidRPr="001C3142" w:rsidRDefault="001C3142" w:rsidP="001C3142">
            <w:pPr>
              <w:spacing w:after="0" w:line="240" w:lineRule="auto"/>
              <w:jc w:val="center"/>
              <w:rPr>
                <w:rFonts w:ascii="Calibri" w:eastAsia="Times New Roman" w:hAnsi="Calibri" w:cs="Calibri"/>
                <w:b/>
                <w:bCs/>
                <w:color w:val="FFFFFF"/>
                <w:lang w:eastAsia="es-MX"/>
              </w:rPr>
            </w:pPr>
            <w:r w:rsidRPr="001C3142">
              <w:rPr>
                <w:rFonts w:ascii="Calibri" w:eastAsia="Times New Roman" w:hAnsi="Calibri" w:cs="Calibri"/>
                <w:b/>
                <w:bCs/>
                <w:color w:val="FFFFFF"/>
                <w:lang w:eastAsia="es-MX"/>
              </w:rPr>
              <w:t>%</w:t>
            </w:r>
          </w:p>
        </w:tc>
      </w:tr>
      <w:tr w:rsidR="001C3142" w:rsidRPr="001C3142" w14:paraId="56B4047F" w14:textId="77777777" w:rsidTr="001C3142">
        <w:trPr>
          <w:trHeight w:val="300"/>
          <w:jc w:val="center"/>
        </w:trPr>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54E43C0A" w14:textId="77777777" w:rsidR="001C3142" w:rsidRPr="001C3142" w:rsidRDefault="001C3142" w:rsidP="001C3142">
            <w:pPr>
              <w:spacing w:after="0" w:line="240" w:lineRule="auto"/>
              <w:rPr>
                <w:rFonts w:ascii="Calibri" w:eastAsia="Times New Roman" w:hAnsi="Calibri" w:cs="Calibri"/>
                <w:color w:val="000000"/>
                <w:lang w:eastAsia="es-MX"/>
              </w:rPr>
            </w:pPr>
            <w:r w:rsidRPr="001C3142">
              <w:rPr>
                <w:rFonts w:ascii="Calibri" w:eastAsia="Times New Roman" w:hAnsi="Calibri" w:cs="Calibri"/>
                <w:color w:val="000000"/>
                <w:lang w:eastAsia="es-MX"/>
              </w:rPr>
              <w:t>Infraestructura Desarrollo Económico</w:t>
            </w:r>
          </w:p>
        </w:tc>
        <w:tc>
          <w:tcPr>
            <w:tcW w:w="2422" w:type="dxa"/>
            <w:tcBorders>
              <w:top w:val="nil"/>
              <w:left w:val="nil"/>
              <w:bottom w:val="single" w:sz="4" w:space="0" w:color="auto"/>
              <w:right w:val="single" w:sz="4" w:space="0" w:color="auto"/>
            </w:tcBorders>
            <w:shd w:val="clear" w:color="auto" w:fill="auto"/>
            <w:noWrap/>
            <w:vAlign w:val="bottom"/>
            <w:hideMark/>
          </w:tcPr>
          <w:p w14:paraId="52E03AFA" w14:textId="77777777" w:rsidR="001C3142" w:rsidRPr="001C3142" w:rsidRDefault="001C3142" w:rsidP="001C3142">
            <w:pPr>
              <w:spacing w:after="0" w:line="240" w:lineRule="auto"/>
              <w:jc w:val="right"/>
              <w:rPr>
                <w:rFonts w:ascii="Calibri" w:eastAsia="Times New Roman" w:hAnsi="Calibri" w:cs="Calibri"/>
                <w:color w:val="000000"/>
                <w:lang w:eastAsia="es-MX"/>
              </w:rPr>
            </w:pPr>
            <w:r w:rsidRPr="001C3142">
              <w:rPr>
                <w:rFonts w:ascii="Calibri" w:eastAsia="Times New Roman" w:hAnsi="Calibri" w:cs="Calibri"/>
                <w:color w:val="000000"/>
                <w:lang w:eastAsia="es-MX"/>
              </w:rPr>
              <w:t xml:space="preserve"> $         194,674,948.93 </w:t>
            </w:r>
          </w:p>
        </w:tc>
        <w:tc>
          <w:tcPr>
            <w:tcW w:w="761" w:type="dxa"/>
            <w:tcBorders>
              <w:top w:val="nil"/>
              <w:left w:val="nil"/>
              <w:bottom w:val="single" w:sz="4" w:space="0" w:color="auto"/>
              <w:right w:val="single" w:sz="4" w:space="0" w:color="auto"/>
            </w:tcBorders>
            <w:shd w:val="clear" w:color="auto" w:fill="auto"/>
            <w:noWrap/>
            <w:vAlign w:val="bottom"/>
            <w:hideMark/>
          </w:tcPr>
          <w:p w14:paraId="7F435F82" w14:textId="77777777" w:rsidR="001C3142" w:rsidRPr="001C3142" w:rsidRDefault="001C3142" w:rsidP="001C3142">
            <w:pPr>
              <w:spacing w:after="0" w:line="240" w:lineRule="auto"/>
              <w:jc w:val="center"/>
              <w:rPr>
                <w:rFonts w:ascii="Calibri" w:eastAsia="Times New Roman" w:hAnsi="Calibri" w:cs="Calibri"/>
                <w:color w:val="000000"/>
                <w:lang w:eastAsia="es-MX"/>
              </w:rPr>
            </w:pPr>
            <w:r w:rsidRPr="001C3142">
              <w:rPr>
                <w:rFonts w:ascii="Calibri" w:eastAsia="Times New Roman" w:hAnsi="Calibri" w:cs="Calibri"/>
                <w:color w:val="000000"/>
                <w:lang w:eastAsia="es-MX"/>
              </w:rPr>
              <w:t>34%</w:t>
            </w:r>
          </w:p>
        </w:tc>
      </w:tr>
      <w:tr w:rsidR="001C3142" w:rsidRPr="001C3142" w14:paraId="42496D64" w14:textId="77777777" w:rsidTr="001C3142">
        <w:trPr>
          <w:trHeight w:val="300"/>
          <w:jc w:val="center"/>
        </w:trPr>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531D6928" w14:textId="77777777" w:rsidR="001C3142" w:rsidRPr="001C3142" w:rsidRDefault="001C3142" w:rsidP="001C3142">
            <w:pPr>
              <w:spacing w:after="0" w:line="240" w:lineRule="auto"/>
              <w:rPr>
                <w:rFonts w:ascii="Calibri" w:eastAsia="Times New Roman" w:hAnsi="Calibri" w:cs="Calibri"/>
                <w:color w:val="000000"/>
                <w:lang w:eastAsia="es-MX"/>
              </w:rPr>
            </w:pPr>
            <w:r w:rsidRPr="001C3142">
              <w:rPr>
                <w:rFonts w:ascii="Calibri" w:eastAsia="Times New Roman" w:hAnsi="Calibri" w:cs="Calibri"/>
                <w:color w:val="000000"/>
                <w:lang w:eastAsia="es-MX"/>
              </w:rPr>
              <w:t>Infraestructura Carretera</w:t>
            </w:r>
          </w:p>
        </w:tc>
        <w:tc>
          <w:tcPr>
            <w:tcW w:w="2422" w:type="dxa"/>
            <w:tcBorders>
              <w:top w:val="nil"/>
              <w:left w:val="nil"/>
              <w:bottom w:val="single" w:sz="4" w:space="0" w:color="auto"/>
              <w:right w:val="single" w:sz="4" w:space="0" w:color="auto"/>
            </w:tcBorders>
            <w:shd w:val="clear" w:color="auto" w:fill="auto"/>
            <w:noWrap/>
            <w:vAlign w:val="bottom"/>
            <w:hideMark/>
          </w:tcPr>
          <w:p w14:paraId="2A580863" w14:textId="77777777" w:rsidR="001C3142" w:rsidRPr="001C3142" w:rsidRDefault="001C3142" w:rsidP="001C3142">
            <w:pPr>
              <w:spacing w:after="0" w:line="240" w:lineRule="auto"/>
              <w:jc w:val="right"/>
              <w:rPr>
                <w:rFonts w:ascii="Calibri" w:eastAsia="Times New Roman" w:hAnsi="Calibri" w:cs="Calibri"/>
                <w:color w:val="000000"/>
                <w:lang w:eastAsia="es-MX"/>
              </w:rPr>
            </w:pPr>
            <w:r w:rsidRPr="001C3142">
              <w:rPr>
                <w:rFonts w:ascii="Calibri" w:eastAsia="Times New Roman" w:hAnsi="Calibri" w:cs="Calibri"/>
                <w:color w:val="000000"/>
                <w:lang w:eastAsia="es-MX"/>
              </w:rPr>
              <w:t xml:space="preserve"> $         140,768,946.64 </w:t>
            </w:r>
          </w:p>
        </w:tc>
        <w:tc>
          <w:tcPr>
            <w:tcW w:w="761" w:type="dxa"/>
            <w:tcBorders>
              <w:top w:val="nil"/>
              <w:left w:val="nil"/>
              <w:bottom w:val="single" w:sz="4" w:space="0" w:color="auto"/>
              <w:right w:val="single" w:sz="4" w:space="0" w:color="auto"/>
            </w:tcBorders>
            <w:shd w:val="clear" w:color="auto" w:fill="auto"/>
            <w:noWrap/>
            <w:vAlign w:val="bottom"/>
            <w:hideMark/>
          </w:tcPr>
          <w:p w14:paraId="0E46842D" w14:textId="77777777" w:rsidR="001C3142" w:rsidRPr="001C3142" w:rsidRDefault="001C3142" w:rsidP="001C3142">
            <w:pPr>
              <w:spacing w:after="0" w:line="240" w:lineRule="auto"/>
              <w:jc w:val="center"/>
              <w:rPr>
                <w:rFonts w:ascii="Calibri" w:eastAsia="Times New Roman" w:hAnsi="Calibri" w:cs="Calibri"/>
                <w:color w:val="000000"/>
                <w:lang w:eastAsia="es-MX"/>
              </w:rPr>
            </w:pPr>
            <w:r w:rsidRPr="001C3142">
              <w:rPr>
                <w:rFonts w:ascii="Calibri" w:eastAsia="Times New Roman" w:hAnsi="Calibri" w:cs="Calibri"/>
                <w:color w:val="000000"/>
                <w:lang w:eastAsia="es-MX"/>
              </w:rPr>
              <w:t>25%</w:t>
            </w:r>
          </w:p>
        </w:tc>
      </w:tr>
      <w:tr w:rsidR="001C3142" w:rsidRPr="001C3142" w14:paraId="4F8D4D3A" w14:textId="77777777" w:rsidTr="00BE0ED5">
        <w:trPr>
          <w:trHeight w:val="300"/>
          <w:jc w:val="center"/>
        </w:trPr>
        <w:tc>
          <w:tcPr>
            <w:tcW w:w="4394"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5F67444" w14:textId="77777777" w:rsidR="001C3142" w:rsidRPr="001C3142" w:rsidRDefault="001C3142" w:rsidP="001C3142">
            <w:pPr>
              <w:spacing w:after="0" w:line="240" w:lineRule="auto"/>
              <w:rPr>
                <w:rFonts w:ascii="Calibri" w:eastAsia="Times New Roman" w:hAnsi="Calibri" w:cs="Calibri"/>
                <w:color w:val="000000"/>
                <w:lang w:eastAsia="es-MX"/>
              </w:rPr>
            </w:pPr>
            <w:r w:rsidRPr="001C3142">
              <w:rPr>
                <w:rFonts w:ascii="Calibri" w:eastAsia="Times New Roman" w:hAnsi="Calibri" w:cs="Calibri"/>
                <w:color w:val="000000"/>
                <w:lang w:eastAsia="es-MX"/>
              </w:rPr>
              <w:t>Infraestructura No Habitacional</w:t>
            </w:r>
          </w:p>
        </w:tc>
        <w:tc>
          <w:tcPr>
            <w:tcW w:w="2422" w:type="dxa"/>
            <w:tcBorders>
              <w:top w:val="nil"/>
              <w:left w:val="nil"/>
              <w:bottom w:val="single" w:sz="4" w:space="0" w:color="auto"/>
              <w:right w:val="single" w:sz="4" w:space="0" w:color="auto"/>
            </w:tcBorders>
            <w:shd w:val="clear" w:color="auto" w:fill="BFBFBF" w:themeFill="background1" w:themeFillShade="BF"/>
            <w:noWrap/>
            <w:vAlign w:val="bottom"/>
            <w:hideMark/>
          </w:tcPr>
          <w:p w14:paraId="2AD70D80" w14:textId="77777777" w:rsidR="001C3142" w:rsidRPr="001C3142" w:rsidRDefault="001C3142" w:rsidP="001C3142">
            <w:pPr>
              <w:spacing w:after="0" w:line="240" w:lineRule="auto"/>
              <w:jc w:val="right"/>
              <w:rPr>
                <w:rFonts w:ascii="Calibri" w:eastAsia="Times New Roman" w:hAnsi="Calibri" w:cs="Calibri"/>
                <w:color w:val="000000"/>
                <w:lang w:eastAsia="es-MX"/>
              </w:rPr>
            </w:pPr>
            <w:r w:rsidRPr="001C3142">
              <w:rPr>
                <w:rFonts w:ascii="Calibri" w:eastAsia="Times New Roman" w:hAnsi="Calibri" w:cs="Calibri"/>
                <w:color w:val="000000"/>
                <w:lang w:eastAsia="es-MX"/>
              </w:rPr>
              <w:t xml:space="preserve"> $         122,863,187.57 </w:t>
            </w:r>
          </w:p>
        </w:tc>
        <w:tc>
          <w:tcPr>
            <w:tcW w:w="761" w:type="dxa"/>
            <w:tcBorders>
              <w:top w:val="nil"/>
              <w:left w:val="nil"/>
              <w:bottom w:val="single" w:sz="4" w:space="0" w:color="auto"/>
              <w:right w:val="single" w:sz="4" w:space="0" w:color="auto"/>
            </w:tcBorders>
            <w:shd w:val="clear" w:color="auto" w:fill="BFBFBF" w:themeFill="background1" w:themeFillShade="BF"/>
            <w:noWrap/>
            <w:vAlign w:val="bottom"/>
            <w:hideMark/>
          </w:tcPr>
          <w:p w14:paraId="172DB534" w14:textId="77777777" w:rsidR="001C3142" w:rsidRPr="001C3142" w:rsidRDefault="001C3142" w:rsidP="001C3142">
            <w:pPr>
              <w:spacing w:after="0" w:line="240" w:lineRule="auto"/>
              <w:jc w:val="center"/>
              <w:rPr>
                <w:rFonts w:ascii="Calibri" w:eastAsia="Times New Roman" w:hAnsi="Calibri" w:cs="Calibri"/>
                <w:color w:val="000000"/>
                <w:lang w:eastAsia="es-MX"/>
              </w:rPr>
            </w:pPr>
            <w:r w:rsidRPr="001C3142">
              <w:rPr>
                <w:rFonts w:ascii="Calibri" w:eastAsia="Times New Roman" w:hAnsi="Calibri" w:cs="Calibri"/>
                <w:color w:val="000000"/>
                <w:lang w:eastAsia="es-MX"/>
              </w:rPr>
              <w:t>22%</w:t>
            </w:r>
          </w:p>
        </w:tc>
      </w:tr>
      <w:tr w:rsidR="001C3142" w:rsidRPr="001C3142" w14:paraId="1C253F73" w14:textId="77777777" w:rsidTr="001C3142">
        <w:trPr>
          <w:trHeight w:val="300"/>
          <w:jc w:val="center"/>
        </w:trPr>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7AD892E4" w14:textId="77777777" w:rsidR="001C3142" w:rsidRPr="001C3142" w:rsidRDefault="001C3142" w:rsidP="001C3142">
            <w:pPr>
              <w:spacing w:after="0" w:line="240" w:lineRule="auto"/>
              <w:rPr>
                <w:rFonts w:ascii="Calibri" w:eastAsia="Times New Roman" w:hAnsi="Calibri" w:cs="Calibri"/>
                <w:color w:val="000000"/>
                <w:lang w:eastAsia="es-MX"/>
              </w:rPr>
            </w:pPr>
            <w:r w:rsidRPr="001C3142">
              <w:rPr>
                <w:rFonts w:ascii="Calibri" w:eastAsia="Times New Roman" w:hAnsi="Calibri" w:cs="Calibri"/>
                <w:color w:val="000000"/>
                <w:lang w:eastAsia="es-MX"/>
              </w:rPr>
              <w:t>Infraestructura Hidráulica</w:t>
            </w:r>
          </w:p>
        </w:tc>
        <w:tc>
          <w:tcPr>
            <w:tcW w:w="2422" w:type="dxa"/>
            <w:tcBorders>
              <w:top w:val="nil"/>
              <w:left w:val="nil"/>
              <w:bottom w:val="single" w:sz="4" w:space="0" w:color="auto"/>
              <w:right w:val="single" w:sz="4" w:space="0" w:color="auto"/>
            </w:tcBorders>
            <w:shd w:val="clear" w:color="auto" w:fill="auto"/>
            <w:noWrap/>
            <w:vAlign w:val="bottom"/>
            <w:hideMark/>
          </w:tcPr>
          <w:p w14:paraId="61883973" w14:textId="77777777" w:rsidR="001C3142" w:rsidRPr="001C3142" w:rsidRDefault="001C3142" w:rsidP="001C3142">
            <w:pPr>
              <w:spacing w:after="0" w:line="240" w:lineRule="auto"/>
              <w:jc w:val="right"/>
              <w:rPr>
                <w:rFonts w:ascii="Calibri" w:eastAsia="Times New Roman" w:hAnsi="Calibri" w:cs="Calibri"/>
                <w:color w:val="000000"/>
                <w:lang w:eastAsia="es-MX"/>
              </w:rPr>
            </w:pPr>
            <w:r w:rsidRPr="001C3142">
              <w:rPr>
                <w:rFonts w:ascii="Calibri" w:eastAsia="Times New Roman" w:hAnsi="Calibri" w:cs="Calibri"/>
                <w:color w:val="000000"/>
                <w:lang w:eastAsia="es-MX"/>
              </w:rPr>
              <w:t xml:space="preserve"> $            73,917,302.82 </w:t>
            </w:r>
          </w:p>
        </w:tc>
        <w:tc>
          <w:tcPr>
            <w:tcW w:w="761" w:type="dxa"/>
            <w:tcBorders>
              <w:top w:val="nil"/>
              <w:left w:val="nil"/>
              <w:bottom w:val="single" w:sz="4" w:space="0" w:color="auto"/>
              <w:right w:val="single" w:sz="4" w:space="0" w:color="auto"/>
            </w:tcBorders>
            <w:shd w:val="clear" w:color="auto" w:fill="auto"/>
            <w:noWrap/>
            <w:vAlign w:val="bottom"/>
            <w:hideMark/>
          </w:tcPr>
          <w:p w14:paraId="4210DE19" w14:textId="77777777" w:rsidR="001C3142" w:rsidRPr="001C3142" w:rsidRDefault="001C3142" w:rsidP="001C3142">
            <w:pPr>
              <w:spacing w:after="0" w:line="240" w:lineRule="auto"/>
              <w:jc w:val="center"/>
              <w:rPr>
                <w:rFonts w:ascii="Calibri" w:eastAsia="Times New Roman" w:hAnsi="Calibri" w:cs="Calibri"/>
                <w:color w:val="000000"/>
                <w:lang w:eastAsia="es-MX"/>
              </w:rPr>
            </w:pPr>
            <w:r w:rsidRPr="001C3142">
              <w:rPr>
                <w:rFonts w:ascii="Calibri" w:eastAsia="Times New Roman" w:hAnsi="Calibri" w:cs="Calibri"/>
                <w:color w:val="000000"/>
                <w:lang w:eastAsia="es-MX"/>
              </w:rPr>
              <w:t>13%</w:t>
            </w:r>
          </w:p>
        </w:tc>
      </w:tr>
      <w:tr w:rsidR="001C3142" w:rsidRPr="001C3142" w14:paraId="38F384F4" w14:textId="77777777" w:rsidTr="001C3142">
        <w:trPr>
          <w:trHeight w:val="300"/>
          <w:jc w:val="center"/>
        </w:trPr>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5BFFD480" w14:textId="77777777" w:rsidR="001C3142" w:rsidRPr="001C3142" w:rsidRDefault="001C3142" w:rsidP="001C3142">
            <w:pPr>
              <w:spacing w:after="0" w:line="240" w:lineRule="auto"/>
              <w:rPr>
                <w:rFonts w:ascii="Calibri" w:eastAsia="Times New Roman" w:hAnsi="Calibri" w:cs="Calibri"/>
                <w:color w:val="000000"/>
                <w:lang w:eastAsia="es-MX"/>
              </w:rPr>
            </w:pPr>
            <w:r w:rsidRPr="001C3142">
              <w:rPr>
                <w:rFonts w:ascii="Calibri" w:eastAsia="Times New Roman" w:hAnsi="Calibri" w:cs="Calibri"/>
                <w:color w:val="000000"/>
                <w:lang w:eastAsia="es-MX"/>
              </w:rPr>
              <w:t>Infraestructura Social</w:t>
            </w:r>
          </w:p>
        </w:tc>
        <w:tc>
          <w:tcPr>
            <w:tcW w:w="2422" w:type="dxa"/>
            <w:tcBorders>
              <w:top w:val="nil"/>
              <w:left w:val="nil"/>
              <w:bottom w:val="single" w:sz="4" w:space="0" w:color="auto"/>
              <w:right w:val="single" w:sz="4" w:space="0" w:color="auto"/>
            </w:tcBorders>
            <w:shd w:val="clear" w:color="auto" w:fill="auto"/>
            <w:noWrap/>
            <w:vAlign w:val="bottom"/>
            <w:hideMark/>
          </w:tcPr>
          <w:p w14:paraId="00881569" w14:textId="77777777" w:rsidR="001C3142" w:rsidRPr="001C3142" w:rsidRDefault="001C3142" w:rsidP="001C3142">
            <w:pPr>
              <w:spacing w:after="0" w:line="240" w:lineRule="auto"/>
              <w:jc w:val="right"/>
              <w:rPr>
                <w:rFonts w:ascii="Calibri" w:eastAsia="Times New Roman" w:hAnsi="Calibri" w:cs="Calibri"/>
                <w:color w:val="000000"/>
                <w:lang w:eastAsia="es-MX"/>
              </w:rPr>
            </w:pPr>
            <w:r w:rsidRPr="001C3142">
              <w:rPr>
                <w:rFonts w:ascii="Calibri" w:eastAsia="Times New Roman" w:hAnsi="Calibri" w:cs="Calibri"/>
                <w:color w:val="000000"/>
                <w:lang w:eastAsia="es-MX"/>
              </w:rPr>
              <w:t xml:space="preserve"> $            21,550,067.71 </w:t>
            </w:r>
          </w:p>
        </w:tc>
        <w:tc>
          <w:tcPr>
            <w:tcW w:w="761" w:type="dxa"/>
            <w:tcBorders>
              <w:top w:val="nil"/>
              <w:left w:val="nil"/>
              <w:bottom w:val="single" w:sz="4" w:space="0" w:color="auto"/>
              <w:right w:val="single" w:sz="4" w:space="0" w:color="auto"/>
            </w:tcBorders>
            <w:shd w:val="clear" w:color="auto" w:fill="auto"/>
            <w:noWrap/>
            <w:vAlign w:val="bottom"/>
            <w:hideMark/>
          </w:tcPr>
          <w:p w14:paraId="7FAA07A0" w14:textId="77777777" w:rsidR="001C3142" w:rsidRPr="001C3142" w:rsidRDefault="001C3142" w:rsidP="001C3142">
            <w:pPr>
              <w:spacing w:after="0" w:line="240" w:lineRule="auto"/>
              <w:jc w:val="center"/>
              <w:rPr>
                <w:rFonts w:ascii="Calibri" w:eastAsia="Times New Roman" w:hAnsi="Calibri" w:cs="Calibri"/>
                <w:color w:val="000000"/>
                <w:lang w:eastAsia="es-MX"/>
              </w:rPr>
            </w:pPr>
            <w:r w:rsidRPr="001C3142">
              <w:rPr>
                <w:rFonts w:ascii="Calibri" w:eastAsia="Times New Roman" w:hAnsi="Calibri" w:cs="Calibri"/>
                <w:color w:val="000000"/>
                <w:lang w:eastAsia="es-MX"/>
              </w:rPr>
              <w:t>4%</w:t>
            </w:r>
          </w:p>
        </w:tc>
      </w:tr>
      <w:tr w:rsidR="001C3142" w:rsidRPr="001C3142" w14:paraId="2912BE66" w14:textId="77777777" w:rsidTr="001C3142">
        <w:trPr>
          <w:trHeight w:val="300"/>
          <w:jc w:val="center"/>
        </w:trPr>
        <w:tc>
          <w:tcPr>
            <w:tcW w:w="4394" w:type="dxa"/>
            <w:tcBorders>
              <w:top w:val="nil"/>
              <w:left w:val="single" w:sz="4" w:space="0" w:color="auto"/>
              <w:bottom w:val="single" w:sz="4" w:space="0" w:color="auto"/>
              <w:right w:val="single" w:sz="4" w:space="0" w:color="auto"/>
            </w:tcBorders>
            <w:shd w:val="clear" w:color="000000" w:fill="F2F2F2"/>
            <w:noWrap/>
            <w:vAlign w:val="center"/>
            <w:hideMark/>
          </w:tcPr>
          <w:p w14:paraId="7140655F" w14:textId="77777777" w:rsidR="001C3142" w:rsidRPr="001C3142" w:rsidRDefault="001C3142" w:rsidP="001C3142">
            <w:pPr>
              <w:spacing w:after="0" w:line="240" w:lineRule="auto"/>
              <w:rPr>
                <w:rFonts w:ascii="Calibri" w:eastAsia="Times New Roman" w:hAnsi="Calibri" w:cs="Calibri"/>
                <w:color w:val="000000"/>
                <w:lang w:eastAsia="es-MX"/>
              </w:rPr>
            </w:pPr>
            <w:r w:rsidRPr="001C3142">
              <w:rPr>
                <w:rFonts w:ascii="Calibri" w:eastAsia="Times New Roman" w:hAnsi="Calibri" w:cs="Calibri"/>
                <w:color w:val="000000"/>
                <w:lang w:eastAsia="es-MX"/>
              </w:rPr>
              <w:t>No asociados a Programa (Fideicomiso)</w:t>
            </w:r>
          </w:p>
        </w:tc>
        <w:tc>
          <w:tcPr>
            <w:tcW w:w="2422" w:type="dxa"/>
            <w:tcBorders>
              <w:top w:val="nil"/>
              <w:left w:val="nil"/>
              <w:bottom w:val="single" w:sz="4" w:space="0" w:color="auto"/>
              <w:right w:val="single" w:sz="4" w:space="0" w:color="auto"/>
            </w:tcBorders>
            <w:shd w:val="clear" w:color="000000" w:fill="F2F2F2"/>
            <w:noWrap/>
            <w:vAlign w:val="bottom"/>
            <w:hideMark/>
          </w:tcPr>
          <w:p w14:paraId="4E7DDA75" w14:textId="77777777" w:rsidR="001C3142" w:rsidRPr="001C3142" w:rsidRDefault="001C3142" w:rsidP="001C3142">
            <w:pPr>
              <w:spacing w:after="0" w:line="240" w:lineRule="auto"/>
              <w:jc w:val="right"/>
              <w:rPr>
                <w:rFonts w:ascii="Calibri" w:eastAsia="Times New Roman" w:hAnsi="Calibri" w:cs="Calibri"/>
                <w:color w:val="000000"/>
                <w:lang w:eastAsia="es-MX"/>
              </w:rPr>
            </w:pPr>
            <w:r w:rsidRPr="001C3142">
              <w:rPr>
                <w:rFonts w:ascii="Calibri" w:eastAsia="Times New Roman" w:hAnsi="Calibri" w:cs="Calibri"/>
                <w:color w:val="000000"/>
                <w:lang w:eastAsia="es-MX"/>
              </w:rPr>
              <w:t xml:space="preserve"> $            11,009,069.46 </w:t>
            </w:r>
          </w:p>
        </w:tc>
        <w:tc>
          <w:tcPr>
            <w:tcW w:w="761" w:type="dxa"/>
            <w:tcBorders>
              <w:top w:val="nil"/>
              <w:left w:val="nil"/>
              <w:bottom w:val="single" w:sz="4" w:space="0" w:color="auto"/>
              <w:right w:val="single" w:sz="4" w:space="0" w:color="auto"/>
            </w:tcBorders>
            <w:shd w:val="clear" w:color="auto" w:fill="auto"/>
            <w:noWrap/>
            <w:vAlign w:val="bottom"/>
            <w:hideMark/>
          </w:tcPr>
          <w:p w14:paraId="4D32988A" w14:textId="77777777" w:rsidR="001C3142" w:rsidRPr="001C3142" w:rsidRDefault="001C3142" w:rsidP="001C3142">
            <w:pPr>
              <w:spacing w:after="0" w:line="240" w:lineRule="auto"/>
              <w:jc w:val="center"/>
              <w:rPr>
                <w:rFonts w:ascii="Calibri" w:eastAsia="Times New Roman" w:hAnsi="Calibri" w:cs="Calibri"/>
                <w:color w:val="000000"/>
                <w:lang w:eastAsia="es-MX"/>
              </w:rPr>
            </w:pPr>
            <w:r w:rsidRPr="001C3142">
              <w:rPr>
                <w:rFonts w:ascii="Calibri" w:eastAsia="Times New Roman" w:hAnsi="Calibri" w:cs="Calibri"/>
                <w:color w:val="000000"/>
                <w:lang w:eastAsia="es-MX"/>
              </w:rPr>
              <w:t>2%</w:t>
            </w:r>
          </w:p>
        </w:tc>
      </w:tr>
      <w:tr w:rsidR="001C3142" w:rsidRPr="001C3142" w14:paraId="7C4E8D4E" w14:textId="77777777" w:rsidTr="001C3142">
        <w:trPr>
          <w:trHeight w:val="300"/>
          <w:jc w:val="center"/>
        </w:trPr>
        <w:tc>
          <w:tcPr>
            <w:tcW w:w="4394" w:type="dxa"/>
            <w:tcBorders>
              <w:top w:val="nil"/>
              <w:left w:val="single" w:sz="4" w:space="0" w:color="auto"/>
              <w:bottom w:val="single" w:sz="4" w:space="0" w:color="auto"/>
              <w:right w:val="single" w:sz="4" w:space="0" w:color="auto"/>
            </w:tcBorders>
            <w:shd w:val="clear" w:color="auto" w:fill="auto"/>
            <w:noWrap/>
            <w:vAlign w:val="center"/>
            <w:hideMark/>
          </w:tcPr>
          <w:p w14:paraId="4F1F27D8" w14:textId="77777777" w:rsidR="001C3142" w:rsidRPr="001C3142" w:rsidRDefault="001C3142" w:rsidP="001C3142">
            <w:pPr>
              <w:spacing w:after="0" w:line="240" w:lineRule="auto"/>
              <w:rPr>
                <w:rFonts w:ascii="Calibri" w:eastAsia="Times New Roman" w:hAnsi="Calibri" w:cs="Calibri"/>
                <w:b/>
                <w:bCs/>
                <w:color w:val="000000"/>
                <w:lang w:eastAsia="es-MX"/>
              </w:rPr>
            </w:pPr>
            <w:r w:rsidRPr="001C3142">
              <w:rPr>
                <w:rFonts w:ascii="Calibri" w:eastAsia="Times New Roman" w:hAnsi="Calibri" w:cs="Calibri"/>
                <w:b/>
                <w:bCs/>
                <w:color w:val="000000"/>
                <w:lang w:eastAsia="es-MX"/>
              </w:rPr>
              <w:t>Total</w:t>
            </w:r>
          </w:p>
        </w:tc>
        <w:tc>
          <w:tcPr>
            <w:tcW w:w="2422" w:type="dxa"/>
            <w:tcBorders>
              <w:top w:val="nil"/>
              <w:left w:val="nil"/>
              <w:bottom w:val="single" w:sz="4" w:space="0" w:color="auto"/>
              <w:right w:val="single" w:sz="4" w:space="0" w:color="auto"/>
            </w:tcBorders>
            <w:shd w:val="clear" w:color="auto" w:fill="auto"/>
            <w:noWrap/>
            <w:vAlign w:val="bottom"/>
            <w:hideMark/>
          </w:tcPr>
          <w:p w14:paraId="79486CAC" w14:textId="77777777" w:rsidR="001C3142" w:rsidRPr="001C3142" w:rsidRDefault="001C3142" w:rsidP="001C3142">
            <w:pPr>
              <w:spacing w:after="0" w:line="240" w:lineRule="auto"/>
              <w:jc w:val="right"/>
              <w:rPr>
                <w:rFonts w:ascii="Calibri" w:eastAsia="Times New Roman" w:hAnsi="Calibri" w:cs="Calibri"/>
                <w:b/>
                <w:bCs/>
                <w:color w:val="000000"/>
                <w:lang w:eastAsia="es-MX"/>
              </w:rPr>
            </w:pPr>
            <w:r w:rsidRPr="001C3142">
              <w:rPr>
                <w:rFonts w:ascii="Calibri" w:eastAsia="Times New Roman" w:hAnsi="Calibri" w:cs="Calibri"/>
                <w:b/>
                <w:bCs/>
                <w:color w:val="000000"/>
                <w:lang w:eastAsia="es-MX"/>
              </w:rPr>
              <w:t xml:space="preserve"> $         564,783,523.13 </w:t>
            </w:r>
          </w:p>
        </w:tc>
        <w:tc>
          <w:tcPr>
            <w:tcW w:w="761" w:type="dxa"/>
            <w:tcBorders>
              <w:top w:val="nil"/>
              <w:left w:val="nil"/>
              <w:bottom w:val="single" w:sz="4" w:space="0" w:color="auto"/>
              <w:right w:val="single" w:sz="4" w:space="0" w:color="auto"/>
            </w:tcBorders>
            <w:shd w:val="clear" w:color="auto" w:fill="auto"/>
            <w:noWrap/>
            <w:vAlign w:val="bottom"/>
            <w:hideMark/>
          </w:tcPr>
          <w:p w14:paraId="6A7DEF34" w14:textId="77777777" w:rsidR="001C3142" w:rsidRPr="001C3142" w:rsidRDefault="001C3142" w:rsidP="001C3142">
            <w:pPr>
              <w:spacing w:after="0" w:line="240" w:lineRule="auto"/>
              <w:jc w:val="center"/>
              <w:rPr>
                <w:rFonts w:ascii="Calibri" w:eastAsia="Times New Roman" w:hAnsi="Calibri" w:cs="Calibri"/>
                <w:b/>
                <w:bCs/>
                <w:color w:val="000000"/>
                <w:lang w:eastAsia="es-MX"/>
              </w:rPr>
            </w:pPr>
            <w:r w:rsidRPr="001C3142">
              <w:rPr>
                <w:rFonts w:ascii="Calibri" w:eastAsia="Times New Roman" w:hAnsi="Calibri" w:cs="Calibri"/>
                <w:b/>
                <w:bCs/>
                <w:color w:val="000000"/>
                <w:lang w:eastAsia="es-MX"/>
              </w:rPr>
              <w:t>100%</w:t>
            </w:r>
          </w:p>
        </w:tc>
      </w:tr>
      <w:tr w:rsidR="001C3142" w:rsidRPr="001C3142" w14:paraId="6891BE5B" w14:textId="77777777" w:rsidTr="00E57119">
        <w:trPr>
          <w:trHeight w:val="365"/>
          <w:jc w:val="center"/>
        </w:trPr>
        <w:tc>
          <w:tcPr>
            <w:tcW w:w="75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FED5B" w14:textId="77777777" w:rsidR="001C3142" w:rsidRPr="001C3142" w:rsidRDefault="001C3142" w:rsidP="007C5EE3">
            <w:pPr>
              <w:spacing w:after="0" w:line="240" w:lineRule="auto"/>
              <w:rPr>
                <w:rFonts w:ascii="Calibri" w:eastAsia="Times New Roman" w:hAnsi="Calibri" w:cs="Calibri"/>
                <w:color w:val="000000"/>
                <w:lang w:eastAsia="es-MX"/>
              </w:rPr>
            </w:pPr>
            <w:r w:rsidRPr="001C3142">
              <w:rPr>
                <w:rFonts w:ascii="Calibri" w:eastAsia="Times New Roman" w:hAnsi="Calibri" w:cs="Calibri"/>
                <w:color w:val="000000"/>
                <w:lang w:eastAsia="es-MX"/>
              </w:rPr>
              <w:t>Fuente: elaborado por TECSO con base al informe “Resumen Obras 2017” suministrado por la Dependencia</w:t>
            </w:r>
          </w:p>
        </w:tc>
      </w:tr>
    </w:tbl>
    <w:p w14:paraId="3A40A477" w14:textId="77777777" w:rsidR="005F517E" w:rsidRPr="00BE0ED5" w:rsidRDefault="005F517E" w:rsidP="005F517E">
      <w:pPr>
        <w:autoSpaceDE w:val="0"/>
        <w:autoSpaceDN w:val="0"/>
        <w:adjustRightInd w:val="0"/>
        <w:spacing w:after="240"/>
        <w:jc w:val="both"/>
        <w:rPr>
          <w:rFonts w:ascii="Century Gothic" w:hAnsi="Century Gothic" w:cs="Arial"/>
          <w:bCs/>
          <w:sz w:val="10"/>
          <w:szCs w:val="24"/>
        </w:rPr>
      </w:pPr>
    </w:p>
    <w:p w14:paraId="5CF24949" w14:textId="77777777" w:rsidR="008D34E8" w:rsidRDefault="008D34E8" w:rsidP="00052688">
      <w:pPr>
        <w:autoSpaceDE w:val="0"/>
        <w:autoSpaceDN w:val="0"/>
        <w:adjustRightInd w:val="0"/>
        <w:spacing w:after="240"/>
        <w:jc w:val="both"/>
        <w:rPr>
          <w:rFonts w:ascii="Century Gothic" w:hAnsi="Century Gothic" w:cs="Arial"/>
          <w:bCs/>
          <w:sz w:val="24"/>
          <w:szCs w:val="24"/>
        </w:rPr>
      </w:pPr>
      <w:r>
        <w:rPr>
          <w:rFonts w:ascii="Century Gothic" w:hAnsi="Century Gothic" w:cs="Arial"/>
          <w:bCs/>
          <w:sz w:val="24"/>
          <w:szCs w:val="24"/>
        </w:rPr>
        <w:t>La principal inversión se realizó en el programa</w:t>
      </w:r>
      <w:r w:rsidR="00E57119">
        <w:rPr>
          <w:rFonts w:ascii="Century Gothic" w:hAnsi="Century Gothic" w:cs="Arial"/>
          <w:bCs/>
          <w:sz w:val="24"/>
          <w:szCs w:val="24"/>
        </w:rPr>
        <w:t xml:space="preserve"> presupuestario</w:t>
      </w:r>
      <w:r>
        <w:rPr>
          <w:rFonts w:ascii="Century Gothic" w:hAnsi="Century Gothic" w:cs="Arial"/>
          <w:bCs/>
          <w:sz w:val="24"/>
          <w:szCs w:val="24"/>
        </w:rPr>
        <w:t xml:space="preserve"> “Infraestructura para el Desarrollo Económico”, con el 34% de los recursos, los cuales se encaminaron en obras enfocadas al desarrollo turístico tales como paseos turísticos, andadores, parques, modernización de vialidades.</w:t>
      </w:r>
      <w:r w:rsidR="00B82E36">
        <w:rPr>
          <w:rFonts w:ascii="Century Gothic" w:hAnsi="Century Gothic" w:cs="Arial"/>
          <w:bCs/>
          <w:sz w:val="24"/>
          <w:szCs w:val="24"/>
        </w:rPr>
        <w:t xml:space="preserve"> Luego se tiene la inversión en el programa de “Infraestructura Carretera”, 25%; y el otro de mayor importancia es el programa de “Infraestructura no Habitacional”, con el 13% de inversión.</w:t>
      </w:r>
    </w:p>
    <w:p w14:paraId="55F2707A" w14:textId="77777777" w:rsidR="00545067" w:rsidRPr="00BE0ED5" w:rsidRDefault="00545067" w:rsidP="00545067">
      <w:pPr>
        <w:spacing w:after="240"/>
        <w:jc w:val="both"/>
        <w:rPr>
          <w:rFonts w:ascii="Century Gothic" w:hAnsi="Century Gothic" w:cs="Arial"/>
          <w:bCs/>
          <w:sz w:val="24"/>
          <w:szCs w:val="24"/>
        </w:rPr>
      </w:pPr>
      <w:r w:rsidRPr="00545067">
        <w:rPr>
          <w:rFonts w:ascii="Century Gothic" w:hAnsi="Century Gothic" w:cs="Arial"/>
          <w:bCs/>
          <w:sz w:val="24"/>
          <w:szCs w:val="24"/>
        </w:rPr>
        <w:t xml:space="preserve">Dado que la Evaluación </w:t>
      </w:r>
      <w:r>
        <w:rPr>
          <w:rFonts w:ascii="Century Gothic" w:hAnsi="Century Gothic" w:cs="Arial"/>
          <w:bCs/>
          <w:sz w:val="24"/>
          <w:szCs w:val="24"/>
        </w:rPr>
        <w:t xml:space="preserve">es </w:t>
      </w:r>
      <w:r w:rsidRPr="00545067">
        <w:rPr>
          <w:rFonts w:ascii="Century Gothic" w:hAnsi="Century Gothic" w:cs="Arial"/>
          <w:bCs/>
          <w:sz w:val="24"/>
          <w:szCs w:val="24"/>
        </w:rPr>
        <w:t xml:space="preserve">de Consistencia y Resultados, al Fondo “Fondo para el Fortalecimiento de las Entidades Federativas (FAFEF).” a través del programa presupuestario: </w:t>
      </w:r>
      <w:r w:rsidRPr="00545067">
        <w:rPr>
          <w:rFonts w:ascii="Century Gothic" w:hAnsi="Century Gothic" w:cs="Arial"/>
          <w:b/>
          <w:bCs/>
          <w:sz w:val="24"/>
          <w:szCs w:val="24"/>
        </w:rPr>
        <w:t>Infraestructura no Habitacional</w:t>
      </w:r>
      <w:r w:rsidRPr="00545067">
        <w:rPr>
          <w:rFonts w:ascii="Century Gothic" w:hAnsi="Century Gothic" w:cs="Arial"/>
          <w:bCs/>
          <w:sz w:val="24"/>
          <w:szCs w:val="24"/>
        </w:rPr>
        <w:t xml:space="preserve">, para el ejercicio fiscal 2017, el análisis se centrara en las obras realizadas </w:t>
      </w:r>
      <w:r>
        <w:rPr>
          <w:rFonts w:ascii="Century Gothic" w:hAnsi="Century Gothic" w:cs="Arial"/>
          <w:bCs/>
          <w:sz w:val="24"/>
          <w:szCs w:val="24"/>
        </w:rPr>
        <w:t>en dicho programa</w:t>
      </w:r>
      <w:r w:rsidR="00BE0ED5" w:rsidRPr="00BE0ED5">
        <w:rPr>
          <w:rFonts w:ascii="Century Gothic" w:hAnsi="Century Gothic" w:cs="Arial"/>
          <w:bCs/>
          <w:sz w:val="24"/>
          <w:szCs w:val="24"/>
        </w:rPr>
        <w:t xml:space="preserve">, así en el siguiente apartado se presenta a detalle el análisis referente al </w:t>
      </w:r>
      <w:r w:rsidR="00BE0ED5" w:rsidRPr="00545067">
        <w:rPr>
          <w:rFonts w:ascii="Century Gothic" w:hAnsi="Century Gothic" w:cs="Arial"/>
          <w:bCs/>
          <w:sz w:val="24"/>
          <w:szCs w:val="24"/>
        </w:rPr>
        <w:t xml:space="preserve">programa presupuestario: </w:t>
      </w:r>
      <w:r w:rsidR="00BE0ED5" w:rsidRPr="00BE0ED5">
        <w:rPr>
          <w:rFonts w:ascii="Century Gothic" w:hAnsi="Century Gothic" w:cs="Arial"/>
          <w:bCs/>
          <w:sz w:val="24"/>
          <w:szCs w:val="24"/>
        </w:rPr>
        <w:t>Infraestructura no Habitacional</w:t>
      </w:r>
      <w:r w:rsidR="00BE0ED5">
        <w:rPr>
          <w:rFonts w:ascii="Century Gothic" w:hAnsi="Century Gothic" w:cs="Arial"/>
          <w:bCs/>
          <w:sz w:val="24"/>
          <w:szCs w:val="24"/>
        </w:rPr>
        <w:t>.</w:t>
      </w:r>
    </w:p>
    <w:bookmarkEnd w:id="3"/>
    <w:p w14:paraId="50D1D4EE" w14:textId="77777777" w:rsidR="00320E21" w:rsidRDefault="00320E21">
      <w:r>
        <w:br w:type="page"/>
      </w:r>
    </w:p>
    <w:p w14:paraId="1CE29BC9" w14:textId="77777777" w:rsidR="00312319" w:rsidRDefault="00312319" w:rsidP="00312319">
      <w:pPr>
        <w:pStyle w:val="Ttulo1"/>
        <w:numPr>
          <w:ilvl w:val="0"/>
          <w:numId w:val="21"/>
        </w:numPr>
        <w:spacing w:before="0" w:after="240"/>
        <w:jc w:val="both"/>
        <w:rPr>
          <w:rFonts w:ascii="Century Gothic" w:hAnsi="Century Gothic"/>
          <w:b/>
          <w:color w:val="0E4E7A"/>
        </w:rPr>
      </w:pPr>
      <w:bookmarkStart w:id="7" w:name="_Toc511859765"/>
      <w:bookmarkStart w:id="8" w:name="_Toc505364420"/>
      <w:r>
        <w:rPr>
          <w:rFonts w:ascii="Century Gothic" w:hAnsi="Century Gothic"/>
          <w:b/>
          <w:color w:val="0E4E7A"/>
        </w:rPr>
        <w:lastRenderedPageBreak/>
        <w:t>Análisis de la Consistencia y Resultados del programa Presupuestario “Infraestructura no Habitacional”</w:t>
      </w:r>
      <w:bookmarkEnd w:id="7"/>
    </w:p>
    <w:p w14:paraId="3C7F2205" w14:textId="77777777" w:rsidR="002031D6" w:rsidRPr="00312319" w:rsidRDefault="001E2EAB" w:rsidP="00312319">
      <w:pPr>
        <w:pStyle w:val="Ttulo2"/>
        <w:spacing w:before="0" w:after="240"/>
        <w:rPr>
          <w:rFonts w:ascii="Century Gothic" w:hAnsi="Century Gothic"/>
          <w:color w:val="0E4E7A"/>
          <w:sz w:val="28"/>
        </w:rPr>
      </w:pPr>
      <w:bookmarkStart w:id="9" w:name="_Toc511859766"/>
      <w:r w:rsidRPr="00312319">
        <w:rPr>
          <w:rFonts w:ascii="Century Gothic" w:hAnsi="Century Gothic"/>
          <w:color w:val="0E4E7A"/>
          <w:sz w:val="28"/>
        </w:rPr>
        <w:t>Características del programa</w:t>
      </w:r>
      <w:r w:rsidR="002031D6" w:rsidRPr="00312319">
        <w:rPr>
          <w:rFonts w:ascii="Century Gothic" w:hAnsi="Century Gothic"/>
          <w:color w:val="0E4E7A"/>
          <w:sz w:val="28"/>
        </w:rPr>
        <w:t>.</w:t>
      </w:r>
      <w:bookmarkEnd w:id="8"/>
      <w:bookmarkEnd w:id="9"/>
    </w:p>
    <w:p w14:paraId="7448F5E7" w14:textId="77777777" w:rsidR="0001183A" w:rsidRDefault="007D1412" w:rsidP="007D1412">
      <w:pPr>
        <w:spacing w:after="240"/>
        <w:jc w:val="both"/>
        <w:rPr>
          <w:rFonts w:ascii="Century Gothic" w:hAnsi="Century Gothic"/>
          <w:sz w:val="24"/>
          <w:szCs w:val="24"/>
          <w:lang w:val="es-ES_tradnl"/>
        </w:rPr>
      </w:pPr>
      <w:r w:rsidRPr="007D1412">
        <w:rPr>
          <w:rFonts w:ascii="Century Gothic" w:hAnsi="Century Gothic"/>
          <w:sz w:val="24"/>
          <w:szCs w:val="24"/>
          <w:lang w:val="es-ES_tradnl"/>
        </w:rPr>
        <w:t xml:space="preserve">Para el año 2016 la SEIDUR en su estructura programática contaba </w:t>
      </w:r>
      <w:r w:rsidR="00033188">
        <w:rPr>
          <w:rFonts w:ascii="Century Gothic" w:hAnsi="Century Gothic"/>
          <w:sz w:val="24"/>
          <w:szCs w:val="24"/>
          <w:lang w:val="es-ES_tradnl"/>
        </w:rPr>
        <w:t>con un só</w:t>
      </w:r>
      <w:r w:rsidRPr="007D1412">
        <w:rPr>
          <w:rFonts w:ascii="Century Gothic" w:hAnsi="Century Gothic"/>
          <w:sz w:val="24"/>
          <w:szCs w:val="24"/>
          <w:lang w:val="es-ES_tradnl"/>
        </w:rPr>
        <w:t>lo programa presupuestario “</w:t>
      </w:r>
      <w:r w:rsidRPr="007D1412">
        <w:rPr>
          <w:rFonts w:ascii="Century Gothic" w:hAnsi="Century Gothic"/>
          <w:b/>
          <w:sz w:val="24"/>
          <w:szCs w:val="24"/>
        </w:rPr>
        <w:t>Construcción, Modernización y Mantenimiento de la Infraestructura para el Desarrollo</w:t>
      </w:r>
      <w:r w:rsidRPr="007D1412">
        <w:rPr>
          <w:rFonts w:ascii="Century Gothic" w:hAnsi="Century Gothic"/>
          <w:sz w:val="24"/>
          <w:szCs w:val="24"/>
        </w:rPr>
        <w:t xml:space="preserve">”, </w:t>
      </w:r>
      <w:r w:rsidRPr="007D1412">
        <w:rPr>
          <w:rFonts w:ascii="Century Gothic" w:hAnsi="Century Gothic"/>
          <w:sz w:val="24"/>
          <w:szCs w:val="24"/>
          <w:lang w:val="es-ES_tradnl"/>
        </w:rPr>
        <w:t xml:space="preserve">para 2017 esto se restructuro y como se mencionó en el apartado anterior se desarrollaron ocho programas, de los cuales seis están </w:t>
      </w:r>
      <w:r w:rsidR="00033188">
        <w:rPr>
          <w:rFonts w:ascii="Century Gothic" w:hAnsi="Century Gothic"/>
          <w:sz w:val="24"/>
          <w:szCs w:val="24"/>
          <w:lang w:val="es-ES_tradnl"/>
        </w:rPr>
        <w:t>enfocados a infraestructura:</w:t>
      </w:r>
    </w:p>
    <w:p w14:paraId="2E0E81D3" w14:textId="77777777" w:rsidR="00033188" w:rsidRPr="00033188" w:rsidRDefault="00033188" w:rsidP="00E0152E">
      <w:pPr>
        <w:pStyle w:val="Prrafodelista"/>
        <w:numPr>
          <w:ilvl w:val="0"/>
          <w:numId w:val="19"/>
        </w:numPr>
        <w:autoSpaceDE w:val="0"/>
        <w:autoSpaceDN w:val="0"/>
        <w:adjustRightInd w:val="0"/>
        <w:spacing w:after="80"/>
        <w:ind w:left="714" w:hanging="357"/>
        <w:contextualSpacing w:val="0"/>
        <w:jc w:val="both"/>
        <w:rPr>
          <w:rFonts w:ascii="Century Gothic" w:hAnsi="Century Gothic" w:cs="Arial"/>
          <w:bCs/>
          <w:sz w:val="24"/>
          <w:szCs w:val="24"/>
        </w:rPr>
      </w:pPr>
      <w:r w:rsidRPr="00033188">
        <w:rPr>
          <w:rFonts w:ascii="Century Gothic" w:hAnsi="Century Gothic" w:cs="Arial"/>
          <w:bCs/>
          <w:sz w:val="24"/>
          <w:szCs w:val="24"/>
        </w:rPr>
        <w:t>94.- Infraestructura desarrollo económico</w:t>
      </w:r>
    </w:p>
    <w:p w14:paraId="7D974C7F" w14:textId="77777777" w:rsidR="00033188" w:rsidRPr="00033188" w:rsidRDefault="00033188" w:rsidP="00E0152E">
      <w:pPr>
        <w:pStyle w:val="Prrafodelista"/>
        <w:numPr>
          <w:ilvl w:val="0"/>
          <w:numId w:val="19"/>
        </w:numPr>
        <w:autoSpaceDE w:val="0"/>
        <w:autoSpaceDN w:val="0"/>
        <w:adjustRightInd w:val="0"/>
        <w:spacing w:after="80"/>
        <w:ind w:left="714" w:hanging="357"/>
        <w:contextualSpacing w:val="0"/>
        <w:jc w:val="both"/>
        <w:rPr>
          <w:rFonts w:ascii="Century Gothic" w:hAnsi="Century Gothic" w:cs="Arial"/>
          <w:bCs/>
          <w:sz w:val="24"/>
          <w:szCs w:val="24"/>
        </w:rPr>
      </w:pPr>
      <w:r w:rsidRPr="00033188">
        <w:rPr>
          <w:rFonts w:ascii="Century Gothic" w:hAnsi="Century Gothic" w:cs="Arial"/>
          <w:bCs/>
          <w:sz w:val="24"/>
          <w:szCs w:val="24"/>
        </w:rPr>
        <w:t>95.- infraestructura manejo de residuos solidos</w:t>
      </w:r>
    </w:p>
    <w:p w14:paraId="305EA3F7" w14:textId="77777777" w:rsidR="00033188" w:rsidRPr="00033188" w:rsidRDefault="00033188" w:rsidP="00E0152E">
      <w:pPr>
        <w:pStyle w:val="Prrafodelista"/>
        <w:numPr>
          <w:ilvl w:val="0"/>
          <w:numId w:val="19"/>
        </w:numPr>
        <w:autoSpaceDE w:val="0"/>
        <w:autoSpaceDN w:val="0"/>
        <w:adjustRightInd w:val="0"/>
        <w:spacing w:after="80"/>
        <w:ind w:left="714" w:hanging="357"/>
        <w:contextualSpacing w:val="0"/>
        <w:jc w:val="both"/>
        <w:rPr>
          <w:rFonts w:ascii="Century Gothic" w:hAnsi="Century Gothic" w:cs="Arial"/>
          <w:bCs/>
          <w:sz w:val="24"/>
          <w:szCs w:val="24"/>
        </w:rPr>
      </w:pPr>
      <w:r w:rsidRPr="00033188">
        <w:rPr>
          <w:rFonts w:ascii="Century Gothic" w:hAnsi="Century Gothic" w:cs="Arial"/>
          <w:bCs/>
          <w:sz w:val="24"/>
          <w:szCs w:val="24"/>
        </w:rPr>
        <w:t>96.- infraestructura social</w:t>
      </w:r>
    </w:p>
    <w:p w14:paraId="39C51013" w14:textId="77777777" w:rsidR="00033188" w:rsidRPr="00033188" w:rsidRDefault="00033188" w:rsidP="00E0152E">
      <w:pPr>
        <w:pStyle w:val="Prrafodelista"/>
        <w:numPr>
          <w:ilvl w:val="0"/>
          <w:numId w:val="19"/>
        </w:numPr>
        <w:autoSpaceDE w:val="0"/>
        <w:autoSpaceDN w:val="0"/>
        <w:adjustRightInd w:val="0"/>
        <w:spacing w:after="80"/>
        <w:ind w:left="714" w:hanging="357"/>
        <w:contextualSpacing w:val="0"/>
        <w:jc w:val="both"/>
        <w:rPr>
          <w:rFonts w:ascii="Century Gothic" w:hAnsi="Century Gothic" w:cs="Arial"/>
          <w:bCs/>
          <w:sz w:val="24"/>
          <w:szCs w:val="24"/>
        </w:rPr>
      </w:pPr>
      <w:r w:rsidRPr="00033188">
        <w:rPr>
          <w:rFonts w:ascii="Century Gothic" w:hAnsi="Century Gothic" w:cs="Arial"/>
          <w:bCs/>
          <w:sz w:val="24"/>
          <w:szCs w:val="24"/>
        </w:rPr>
        <w:t>97.-infraestructura hidráulica</w:t>
      </w:r>
    </w:p>
    <w:p w14:paraId="58067E78" w14:textId="77777777" w:rsidR="00033188" w:rsidRPr="00033188" w:rsidRDefault="00033188" w:rsidP="00E0152E">
      <w:pPr>
        <w:pStyle w:val="Prrafodelista"/>
        <w:numPr>
          <w:ilvl w:val="0"/>
          <w:numId w:val="19"/>
        </w:numPr>
        <w:autoSpaceDE w:val="0"/>
        <w:autoSpaceDN w:val="0"/>
        <w:adjustRightInd w:val="0"/>
        <w:spacing w:after="80"/>
        <w:ind w:left="714" w:hanging="357"/>
        <w:contextualSpacing w:val="0"/>
        <w:jc w:val="both"/>
        <w:rPr>
          <w:rFonts w:ascii="Century Gothic" w:hAnsi="Century Gothic" w:cs="Arial"/>
          <w:bCs/>
          <w:sz w:val="24"/>
          <w:szCs w:val="24"/>
        </w:rPr>
      </w:pPr>
      <w:r w:rsidRPr="00033188">
        <w:rPr>
          <w:rFonts w:ascii="Century Gothic" w:hAnsi="Century Gothic" w:cs="Arial"/>
          <w:bCs/>
          <w:sz w:val="24"/>
          <w:szCs w:val="24"/>
        </w:rPr>
        <w:t xml:space="preserve">98.-Infraestructura carretera </w:t>
      </w:r>
    </w:p>
    <w:p w14:paraId="0C2EAC12" w14:textId="77777777" w:rsidR="00033188" w:rsidRPr="00033188" w:rsidRDefault="00033188" w:rsidP="00033188">
      <w:pPr>
        <w:pStyle w:val="Prrafodelista"/>
        <w:numPr>
          <w:ilvl w:val="0"/>
          <w:numId w:val="19"/>
        </w:numPr>
        <w:autoSpaceDE w:val="0"/>
        <w:autoSpaceDN w:val="0"/>
        <w:adjustRightInd w:val="0"/>
        <w:spacing w:after="240"/>
        <w:jc w:val="both"/>
        <w:rPr>
          <w:rFonts w:ascii="Century Gothic" w:hAnsi="Century Gothic" w:cs="Arial"/>
          <w:bCs/>
          <w:sz w:val="24"/>
          <w:szCs w:val="24"/>
        </w:rPr>
      </w:pPr>
      <w:r w:rsidRPr="00033188">
        <w:rPr>
          <w:rFonts w:ascii="Century Gothic" w:hAnsi="Century Gothic" w:cs="Arial"/>
          <w:bCs/>
          <w:sz w:val="24"/>
          <w:szCs w:val="24"/>
        </w:rPr>
        <w:t xml:space="preserve">99.- </w:t>
      </w:r>
      <w:r w:rsidRPr="00033188">
        <w:rPr>
          <w:rFonts w:ascii="Century Gothic" w:hAnsi="Century Gothic" w:cs="Arial"/>
          <w:b/>
          <w:bCs/>
          <w:sz w:val="24"/>
          <w:szCs w:val="24"/>
        </w:rPr>
        <w:t>Infraestructura no habitacional.</w:t>
      </w:r>
    </w:p>
    <w:p w14:paraId="758BE648" w14:textId="77777777" w:rsidR="00E57119" w:rsidRPr="007D1412" w:rsidRDefault="00E57119" w:rsidP="00E57119">
      <w:pPr>
        <w:spacing w:after="240"/>
        <w:jc w:val="both"/>
        <w:rPr>
          <w:rFonts w:ascii="Century Gothic" w:hAnsi="Century Gothic"/>
          <w:sz w:val="24"/>
          <w:szCs w:val="24"/>
          <w:lang w:val="es-ES_tradnl"/>
        </w:rPr>
      </w:pPr>
      <w:r w:rsidRPr="007D1412">
        <w:rPr>
          <w:rFonts w:ascii="Century Gothic" w:hAnsi="Century Gothic"/>
          <w:sz w:val="24"/>
          <w:szCs w:val="24"/>
          <w:lang w:val="es-ES_tradnl"/>
        </w:rPr>
        <w:t>Uno de estos programa es el de “Infraestructura no Habitacional”</w:t>
      </w:r>
      <w:r>
        <w:rPr>
          <w:rFonts w:ascii="Century Gothic" w:hAnsi="Century Gothic"/>
          <w:sz w:val="24"/>
          <w:szCs w:val="24"/>
          <w:lang w:val="es-ES_tradnl"/>
        </w:rPr>
        <w:t xml:space="preserve"> objeto de esta evaluación</w:t>
      </w:r>
      <w:r w:rsidRPr="007D1412">
        <w:rPr>
          <w:rFonts w:ascii="Century Gothic" w:hAnsi="Century Gothic"/>
          <w:sz w:val="24"/>
          <w:szCs w:val="24"/>
          <w:lang w:val="es-ES_tradnl"/>
        </w:rPr>
        <w:t>, en cual tiene como propósito:</w:t>
      </w:r>
    </w:p>
    <w:p w14:paraId="130E5DC2" w14:textId="77777777" w:rsidR="00E57119" w:rsidRDefault="00E57119" w:rsidP="00E57119">
      <w:pPr>
        <w:autoSpaceDE w:val="0"/>
        <w:autoSpaceDN w:val="0"/>
        <w:adjustRightInd w:val="0"/>
        <w:spacing w:after="240"/>
        <w:ind w:left="284" w:right="333"/>
        <w:jc w:val="both"/>
        <w:rPr>
          <w:rFonts w:ascii="Century Gothic" w:hAnsi="Century Gothic"/>
          <w:sz w:val="24"/>
          <w:szCs w:val="24"/>
          <w:lang w:val="es-ES_tradnl"/>
        </w:rPr>
      </w:pPr>
      <w:r w:rsidRPr="007D1412">
        <w:rPr>
          <w:rFonts w:ascii="Century Gothic" w:hAnsi="Century Gothic"/>
          <w:sz w:val="24"/>
          <w:szCs w:val="24"/>
          <w:lang w:val="es-ES_tradnl"/>
        </w:rPr>
        <w:t>Que la población cuente con mayor y mejor infraestructura necesaria para recibir los servicios públicos necesarios para el desarrollo y la convivencia en el estado</w:t>
      </w:r>
      <w:r>
        <w:rPr>
          <w:rStyle w:val="Refdenotaalpie"/>
          <w:rFonts w:ascii="Century Gothic" w:hAnsi="Century Gothic"/>
          <w:sz w:val="24"/>
          <w:szCs w:val="24"/>
          <w:lang w:val="es-ES_tradnl"/>
        </w:rPr>
        <w:footnoteReference w:id="5"/>
      </w:r>
      <w:r w:rsidRPr="007D1412">
        <w:rPr>
          <w:rFonts w:ascii="Century Gothic" w:hAnsi="Century Gothic"/>
          <w:sz w:val="24"/>
          <w:szCs w:val="24"/>
          <w:lang w:val="es-ES_tradnl"/>
        </w:rPr>
        <w:t>.</w:t>
      </w:r>
    </w:p>
    <w:p w14:paraId="292F89DC" w14:textId="77777777" w:rsidR="00E57119" w:rsidRDefault="00E57119" w:rsidP="00E57119">
      <w:pPr>
        <w:spacing w:after="240"/>
        <w:jc w:val="both"/>
        <w:rPr>
          <w:rFonts w:ascii="Century Gothic" w:hAnsi="Century Gothic"/>
          <w:sz w:val="24"/>
          <w:szCs w:val="24"/>
          <w:lang w:val="es-ES_tradnl"/>
        </w:rPr>
      </w:pPr>
      <w:r>
        <w:rPr>
          <w:rFonts w:ascii="Century Gothic" w:hAnsi="Century Gothic"/>
          <w:sz w:val="24"/>
          <w:szCs w:val="24"/>
          <w:lang w:val="es-ES_tradnl"/>
        </w:rPr>
        <w:t xml:space="preserve">Para el año 2017, el presupuesto </w:t>
      </w:r>
      <w:r w:rsidR="007E58C2">
        <w:rPr>
          <w:rFonts w:ascii="Century Gothic" w:hAnsi="Century Gothic"/>
          <w:sz w:val="24"/>
          <w:szCs w:val="24"/>
          <w:lang w:val="es-ES_tradnl"/>
        </w:rPr>
        <w:t xml:space="preserve">autorizado </w:t>
      </w:r>
      <w:r w:rsidR="00033188">
        <w:rPr>
          <w:rFonts w:ascii="Century Gothic" w:hAnsi="Century Gothic"/>
          <w:sz w:val="24"/>
          <w:szCs w:val="24"/>
          <w:lang w:val="es-ES_tradnl"/>
        </w:rPr>
        <w:t xml:space="preserve">para este programa </w:t>
      </w:r>
      <w:r w:rsidR="007E58C2">
        <w:rPr>
          <w:rFonts w:ascii="Century Gothic" w:hAnsi="Century Gothic"/>
          <w:sz w:val="24"/>
          <w:szCs w:val="24"/>
          <w:lang w:val="es-ES_tradnl"/>
        </w:rPr>
        <w:t xml:space="preserve">fue de </w:t>
      </w:r>
      <w:r w:rsidR="007E58C2" w:rsidRPr="007E58C2">
        <w:rPr>
          <w:rFonts w:ascii="Century Gothic" w:hAnsi="Century Gothic"/>
          <w:sz w:val="24"/>
          <w:szCs w:val="24"/>
          <w:lang w:val="es-ES_tradnl"/>
        </w:rPr>
        <w:t>$</w:t>
      </w:r>
      <w:r w:rsidR="007E58C2" w:rsidRPr="00E57119">
        <w:rPr>
          <w:rFonts w:ascii="Century Gothic" w:hAnsi="Century Gothic"/>
          <w:sz w:val="24"/>
          <w:szCs w:val="24"/>
          <w:lang w:val="es-ES_tradnl"/>
        </w:rPr>
        <w:t>110,496,811.92</w:t>
      </w:r>
      <w:r w:rsidR="007E58C2">
        <w:rPr>
          <w:rFonts w:ascii="Century Gothic" w:hAnsi="Century Gothic"/>
          <w:sz w:val="24"/>
          <w:szCs w:val="24"/>
          <w:lang w:val="es-ES_tradnl"/>
        </w:rPr>
        <w:t xml:space="preserve">, el cual sufrió modificaciones (ampliación) quedando el presupuesto contratado en </w:t>
      </w:r>
      <w:r w:rsidR="007E58C2" w:rsidRPr="007E58C2">
        <w:rPr>
          <w:rFonts w:ascii="Century Gothic" w:hAnsi="Century Gothic"/>
          <w:sz w:val="24"/>
          <w:szCs w:val="24"/>
          <w:lang w:val="es-ES_tradnl"/>
        </w:rPr>
        <w:t xml:space="preserve">$ </w:t>
      </w:r>
      <w:r w:rsidR="007E58C2" w:rsidRPr="00E57119">
        <w:rPr>
          <w:rFonts w:ascii="Century Gothic" w:hAnsi="Century Gothic"/>
          <w:b/>
          <w:sz w:val="24"/>
          <w:szCs w:val="24"/>
          <w:lang w:val="es-ES_tradnl"/>
        </w:rPr>
        <w:t>122,863,187.57</w:t>
      </w:r>
      <w:r w:rsidR="007E58C2">
        <w:rPr>
          <w:rFonts w:ascii="Century Gothic" w:hAnsi="Century Gothic"/>
          <w:b/>
          <w:sz w:val="24"/>
          <w:szCs w:val="24"/>
          <w:lang w:val="es-ES_tradnl"/>
        </w:rPr>
        <w:t xml:space="preserve">, </w:t>
      </w:r>
      <w:r w:rsidR="007E58C2">
        <w:rPr>
          <w:rFonts w:ascii="Century Gothic" w:hAnsi="Century Gothic"/>
          <w:sz w:val="24"/>
          <w:szCs w:val="24"/>
          <w:lang w:val="es-ES_tradnl"/>
        </w:rPr>
        <w:t>tal como se presenta en el siguiente cuadro:</w:t>
      </w:r>
    </w:p>
    <w:tbl>
      <w:tblPr>
        <w:tblW w:w="8744" w:type="dxa"/>
        <w:tblInd w:w="55" w:type="dxa"/>
        <w:tblCellMar>
          <w:left w:w="70" w:type="dxa"/>
          <w:right w:w="70" w:type="dxa"/>
        </w:tblCellMar>
        <w:tblLook w:val="04A0" w:firstRow="1" w:lastRow="0" w:firstColumn="1" w:lastColumn="0" w:noHBand="0" w:noVBand="1"/>
      </w:tblPr>
      <w:tblGrid>
        <w:gridCol w:w="1799"/>
        <w:gridCol w:w="1799"/>
        <w:gridCol w:w="1662"/>
        <w:gridCol w:w="1685"/>
        <w:gridCol w:w="1799"/>
      </w:tblGrid>
      <w:tr w:rsidR="00E57119" w:rsidRPr="00E57119" w14:paraId="6A0DCDE2" w14:textId="77777777" w:rsidTr="00E57119">
        <w:trPr>
          <w:trHeight w:val="300"/>
        </w:trPr>
        <w:tc>
          <w:tcPr>
            <w:tcW w:w="8744" w:type="dxa"/>
            <w:gridSpan w:val="5"/>
            <w:tcBorders>
              <w:top w:val="single" w:sz="4" w:space="0" w:color="auto"/>
              <w:left w:val="single" w:sz="4" w:space="0" w:color="auto"/>
              <w:bottom w:val="single" w:sz="4" w:space="0" w:color="auto"/>
              <w:right w:val="single" w:sz="4" w:space="0" w:color="000000"/>
            </w:tcBorders>
            <w:shd w:val="clear" w:color="000000" w:fill="0E4E7A"/>
            <w:noWrap/>
            <w:vAlign w:val="bottom"/>
            <w:hideMark/>
          </w:tcPr>
          <w:p w14:paraId="1FC8811C" w14:textId="77777777" w:rsidR="00E57119" w:rsidRPr="00E57119" w:rsidRDefault="003E3B3D" w:rsidP="00E57119">
            <w:pPr>
              <w:spacing w:after="0" w:line="240" w:lineRule="auto"/>
              <w:jc w:val="center"/>
              <w:rPr>
                <w:rFonts w:ascii="Calibri" w:eastAsia="Times New Roman" w:hAnsi="Calibri" w:cs="Calibri"/>
                <w:b/>
                <w:bCs/>
                <w:color w:val="FFFFFF"/>
                <w:sz w:val="20"/>
                <w:szCs w:val="20"/>
                <w:lang w:eastAsia="es-MX"/>
              </w:rPr>
            </w:pPr>
            <w:r>
              <w:rPr>
                <w:rFonts w:ascii="Calibri" w:eastAsia="Times New Roman" w:hAnsi="Calibri" w:cs="Calibri"/>
                <w:b/>
                <w:bCs/>
                <w:color w:val="FFFFFF"/>
                <w:sz w:val="20"/>
                <w:szCs w:val="20"/>
                <w:lang w:eastAsia="es-MX"/>
              </w:rPr>
              <w:t>Cuadro 2.1</w:t>
            </w:r>
            <w:r w:rsidR="00E57119" w:rsidRPr="00E57119">
              <w:rPr>
                <w:rFonts w:ascii="Calibri" w:eastAsia="Times New Roman" w:hAnsi="Calibri" w:cs="Calibri"/>
                <w:b/>
                <w:bCs/>
                <w:color w:val="FFFFFF"/>
                <w:sz w:val="20"/>
                <w:szCs w:val="20"/>
                <w:lang w:eastAsia="es-MX"/>
              </w:rPr>
              <w:t>. Presupuesto Programa Infraestructura no Habitacional, SEIDUR, 2017</w:t>
            </w:r>
          </w:p>
        </w:tc>
      </w:tr>
      <w:tr w:rsidR="00E57119" w:rsidRPr="00E57119" w14:paraId="3BB881A0" w14:textId="77777777" w:rsidTr="000C6DBE">
        <w:trPr>
          <w:trHeight w:val="301"/>
        </w:trPr>
        <w:tc>
          <w:tcPr>
            <w:tcW w:w="1799" w:type="dxa"/>
            <w:tcBorders>
              <w:top w:val="nil"/>
              <w:left w:val="single" w:sz="4" w:space="0" w:color="auto"/>
              <w:bottom w:val="single" w:sz="4" w:space="0" w:color="auto"/>
              <w:right w:val="single" w:sz="4" w:space="0" w:color="auto"/>
            </w:tcBorders>
            <w:shd w:val="clear" w:color="000000" w:fill="0E4E7A"/>
            <w:vAlign w:val="center"/>
            <w:hideMark/>
          </w:tcPr>
          <w:p w14:paraId="2EA05894" w14:textId="77777777" w:rsidR="00E57119" w:rsidRPr="00E57119" w:rsidRDefault="001572F8" w:rsidP="000C6DBE">
            <w:pPr>
              <w:spacing w:after="0" w:line="240" w:lineRule="auto"/>
              <w:jc w:val="center"/>
              <w:rPr>
                <w:rFonts w:ascii="Calibri" w:eastAsia="Times New Roman" w:hAnsi="Calibri" w:cs="Calibri"/>
                <w:b/>
                <w:bCs/>
                <w:color w:val="FFFFFF"/>
                <w:sz w:val="20"/>
                <w:szCs w:val="20"/>
                <w:lang w:eastAsia="es-MX"/>
              </w:rPr>
            </w:pPr>
            <w:r w:rsidRPr="00E57119">
              <w:rPr>
                <w:rFonts w:ascii="Calibri" w:eastAsia="Times New Roman" w:hAnsi="Calibri" w:cs="Calibri"/>
                <w:b/>
                <w:bCs/>
                <w:color w:val="FFFFFF"/>
                <w:sz w:val="20"/>
                <w:szCs w:val="20"/>
                <w:lang w:eastAsia="es-MX"/>
              </w:rPr>
              <w:t xml:space="preserve">Autorizado </w:t>
            </w:r>
          </w:p>
        </w:tc>
        <w:tc>
          <w:tcPr>
            <w:tcW w:w="1799" w:type="dxa"/>
            <w:tcBorders>
              <w:top w:val="nil"/>
              <w:left w:val="nil"/>
              <w:bottom w:val="single" w:sz="4" w:space="0" w:color="auto"/>
              <w:right w:val="single" w:sz="4" w:space="0" w:color="auto"/>
            </w:tcBorders>
            <w:shd w:val="clear" w:color="000000" w:fill="0E4E7A"/>
            <w:vAlign w:val="center"/>
            <w:hideMark/>
          </w:tcPr>
          <w:p w14:paraId="5872FACF" w14:textId="77777777" w:rsidR="00E57119" w:rsidRPr="00E57119" w:rsidRDefault="001572F8" w:rsidP="000C6DBE">
            <w:pPr>
              <w:spacing w:after="0" w:line="240" w:lineRule="auto"/>
              <w:jc w:val="center"/>
              <w:rPr>
                <w:rFonts w:ascii="Calibri" w:eastAsia="Times New Roman" w:hAnsi="Calibri" w:cs="Calibri"/>
                <w:b/>
                <w:bCs/>
                <w:color w:val="FFFFFF"/>
                <w:sz w:val="20"/>
                <w:szCs w:val="20"/>
                <w:lang w:eastAsia="es-MX"/>
              </w:rPr>
            </w:pPr>
            <w:r w:rsidRPr="00E57119">
              <w:rPr>
                <w:rFonts w:ascii="Calibri" w:eastAsia="Times New Roman" w:hAnsi="Calibri" w:cs="Calibri"/>
                <w:b/>
                <w:bCs/>
                <w:color w:val="FFFFFF"/>
                <w:sz w:val="20"/>
                <w:szCs w:val="20"/>
                <w:lang w:eastAsia="es-MX"/>
              </w:rPr>
              <w:t>Contratado</w:t>
            </w:r>
          </w:p>
        </w:tc>
        <w:tc>
          <w:tcPr>
            <w:tcW w:w="1662" w:type="dxa"/>
            <w:tcBorders>
              <w:top w:val="nil"/>
              <w:left w:val="nil"/>
              <w:bottom w:val="single" w:sz="4" w:space="0" w:color="auto"/>
              <w:right w:val="single" w:sz="4" w:space="0" w:color="auto"/>
            </w:tcBorders>
            <w:shd w:val="clear" w:color="000000" w:fill="0E4E7A"/>
            <w:vAlign w:val="center"/>
            <w:hideMark/>
          </w:tcPr>
          <w:p w14:paraId="4E0CB742" w14:textId="77777777" w:rsidR="00E57119" w:rsidRPr="00E57119" w:rsidRDefault="001572F8" w:rsidP="000C6DBE">
            <w:pPr>
              <w:spacing w:after="0" w:line="240" w:lineRule="auto"/>
              <w:jc w:val="center"/>
              <w:rPr>
                <w:rFonts w:ascii="Calibri" w:eastAsia="Times New Roman" w:hAnsi="Calibri" w:cs="Calibri"/>
                <w:b/>
                <w:bCs/>
                <w:color w:val="FFFFFF"/>
                <w:sz w:val="20"/>
                <w:szCs w:val="20"/>
                <w:lang w:eastAsia="es-MX"/>
              </w:rPr>
            </w:pPr>
            <w:r w:rsidRPr="00E57119">
              <w:rPr>
                <w:rFonts w:ascii="Calibri" w:eastAsia="Times New Roman" w:hAnsi="Calibri" w:cs="Calibri"/>
                <w:b/>
                <w:bCs/>
                <w:color w:val="FFFFFF"/>
                <w:sz w:val="20"/>
                <w:szCs w:val="20"/>
                <w:lang w:eastAsia="es-MX"/>
              </w:rPr>
              <w:t>Facturado</w:t>
            </w:r>
          </w:p>
        </w:tc>
        <w:tc>
          <w:tcPr>
            <w:tcW w:w="1685" w:type="dxa"/>
            <w:tcBorders>
              <w:top w:val="nil"/>
              <w:left w:val="nil"/>
              <w:bottom w:val="single" w:sz="4" w:space="0" w:color="auto"/>
              <w:right w:val="single" w:sz="4" w:space="0" w:color="auto"/>
            </w:tcBorders>
            <w:shd w:val="clear" w:color="000000" w:fill="0E4E7A"/>
            <w:vAlign w:val="center"/>
            <w:hideMark/>
          </w:tcPr>
          <w:p w14:paraId="58DF3392" w14:textId="77777777" w:rsidR="00E57119" w:rsidRPr="00E57119" w:rsidRDefault="001572F8" w:rsidP="000C6DBE">
            <w:pPr>
              <w:spacing w:after="0" w:line="240" w:lineRule="auto"/>
              <w:jc w:val="center"/>
              <w:rPr>
                <w:rFonts w:ascii="Calibri" w:eastAsia="Times New Roman" w:hAnsi="Calibri" w:cs="Calibri"/>
                <w:b/>
                <w:bCs/>
                <w:color w:val="FFFFFF"/>
                <w:sz w:val="20"/>
                <w:szCs w:val="20"/>
                <w:lang w:eastAsia="es-MX"/>
              </w:rPr>
            </w:pPr>
            <w:r w:rsidRPr="00E57119">
              <w:rPr>
                <w:rFonts w:ascii="Calibri" w:eastAsia="Times New Roman" w:hAnsi="Calibri" w:cs="Calibri"/>
                <w:b/>
                <w:bCs/>
                <w:color w:val="FFFFFF"/>
                <w:sz w:val="20"/>
                <w:szCs w:val="20"/>
                <w:lang w:eastAsia="es-MX"/>
              </w:rPr>
              <w:t xml:space="preserve">Por facturar  </w:t>
            </w:r>
          </w:p>
        </w:tc>
        <w:tc>
          <w:tcPr>
            <w:tcW w:w="1799" w:type="dxa"/>
            <w:tcBorders>
              <w:top w:val="nil"/>
              <w:left w:val="nil"/>
              <w:bottom w:val="single" w:sz="4" w:space="0" w:color="auto"/>
              <w:right w:val="single" w:sz="4" w:space="0" w:color="auto"/>
            </w:tcBorders>
            <w:shd w:val="clear" w:color="000000" w:fill="0E4E7A"/>
            <w:vAlign w:val="center"/>
            <w:hideMark/>
          </w:tcPr>
          <w:p w14:paraId="05CA44A8" w14:textId="77777777" w:rsidR="00E57119" w:rsidRPr="00E57119" w:rsidRDefault="001572F8" w:rsidP="000C6DBE">
            <w:pPr>
              <w:spacing w:after="0" w:line="240" w:lineRule="auto"/>
              <w:jc w:val="center"/>
              <w:rPr>
                <w:rFonts w:ascii="Calibri" w:eastAsia="Times New Roman" w:hAnsi="Calibri" w:cs="Calibri"/>
                <w:b/>
                <w:bCs/>
                <w:color w:val="FFFFFF"/>
                <w:sz w:val="20"/>
                <w:szCs w:val="20"/>
                <w:lang w:eastAsia="es-MX"/>
              </w:rPr>
            </w:pPr>
            <w:r w:rsidRPr="00E57119">
              <w:rPr>
                <w:rFonts w:ascii="Calibri" w:eastAsia="Times New Roman" w:hAnsi="Calibri" w:cs="Calibri"/>
                <w:b/>
                <w:bCs/>
                <w:color w:val="FFFFFF"/>
                <w:sz w:val="20"/>
                <w:szCs w:val="20"/>
                <w:lang w:eastAsia="es-MX"/>
              </w:rPr>
              <w:t>Pagado</w:t>
            </w:r>
          </w:p>
        </w:tc>
      </w:tr>
      <w:tr w:rsidR="00E57119" w:rsidRPr="00E57119" w14:paraId="10A2E1E4" w14:textId="77777777" w:rsidTr="00E0152E">
        <w:trPr>
          <w:trHeight w:val="443"/>
        </w:trPr>
        <w:tc>
          <w:tcPr>
            <w:tcW w:w="1799" w:type="dxa"/>
            <w:tcBorders>
              <w:top w:val="nil"/>
              <w:left w:val="single" w:sz="4" w:space="0" w:color="auto"/>
              <w:bottom w:val="single" w:sz="4" w:space="0" w:color="auto"/>
              <w:right w:val="single" w:sz="4" w:space="0" w:color="auto"/>
            </w:tcBorders>
            <w:shd w:val="clear" w:color="auto" w:fill="auto"/>
            <w:noWrap/>
            <w:vAlign w:val="center"/>
            <w:hideMark/>
          </w:tcPr>
          <w:p w14:paraId="3051B17D" w14:textId="77777777" w:rsidR="00E57119" w:rsidRPr="00E57119" w:rsidRDefault="000C6DBE" w:rsidP="000C6DBE">
            <w:pPr>
              <w:spacing w:after="0" w:line="240" w:lineRule="auto"/>
              <w:jc w:val="right"/>
              <w:rPr>
                <w:rFonts w:ascii="Calibri" w:eastAsia="Times New Roman" w:hAnsi="Calibri" w:cs="Calibri"/>
                <w:color w:val="000000"/>
                <w:sz w:val="20"/>
                <w:szCs w:val="20"/>
                <w:lang w:eastAsia="es-MX"/>
              </w:rPr>
            </w:pPr>
            <w:r w:rsidRPr="000C6DBE">
              <w:rPr>
                <w:rFonts w:ascii="Calibri" w:eastAsia="Times New Roman" w:hAnsi="Calibri" w:cs="Calibri"/>
                <w:color w:val="000000"/>
                <w:sz w:val="20"/>
                <w:szCs w:val="20"/>
                <w:lang w:eastAsia="es-MX"/>
              </w:rPr>
              <w:t>$</w:t>
            </w:r>
            <w:r w:rsidR="00E57119" w:rsidRPr="00E57119">
              <w:rPr>
                <w:rFonts w:ascii="Calibri" w:eastAsia="Times New Roman" w:hAnsi="Calibri" w:cs="Calibri"/>
                <w:color w:val="000000"/>
                <w:sz w:val="20"/>
                <w:szCs w:val="20"/>
                <w:lang w:eastAsia="es-MX"/>
              </w:rPr>
              <w:t xml:space="preserve"> 110,496,811.92</w:t>
            </w:r>
          </w:p>
        </w:tc>
        <w:tc>
          <w:tcPr>
            <w:tcW w:w="1799" w:type="dxa"/>
            <w:tcBorders>
              <w:top w:val="nil"/>
              <w:left w:val="nil"/>
              <w:bottom w:val="single" w:sz="4" w:space="0" w:color="auto"/>
              <w:right w:val="single" w:sz="4" w:space="0" w:color="auto"/>
            </w:tcBorders>
            <w:shd w:val="clear" w:color="auto" w:fill="auto"/>
            <w:noWrap/>
            <w:vAlign w:val="center"/>
            <w:hideMark/>
          </w:tcPr>
          <w:p w14:paraId="4912E47F" w14:textId="77777777" w:rsidR="00E57119" w:rsidRPr="00E57119" w:rsidRDefault="000C6DBE" w:rsidP="000C6DBE">
            <w:pPr>
              <w:spacing w:after="0" w:line="240" w:lineRule="auto"/>
              <w:jc w:val="right"/>
              <w:rPr>
                <w:rFonts w:ascii="Calibri" w:eastAsia="Times New Roman" w:hAnsi="Calibri" w:cs="Calibri"/>
                <w:color w:val="000000"/>
                <w:sz w:val="20"/>
                <w:szCs w:val="20"/>
                <w:lang w:eastAsia="es-MX"/>
              </w:rPr>
            </w:pPr>
            <w:r w:rsidRPr="000C6DBE">
              <w:rPr>
                <w:rFonts w:ascii="Calibri" w:eastAsia="Times New Roman" w:hAnsi="Calibri" w:cs="Calibri"/>
                <w:color w:val="000000"/>
                <w:sz w:val="20"/>
                <w:szCs w:val="20"/>
                <w:lang w:eastAsia="es-MX"/>
              </w:rPr>
              <w:t xml:space="preserve">$ </w:t>
            </w:r>
            <w:r w:rsidR="00E57119" w:rsidRPr="00E57119">
              <w:rPr>
                <w:rFonts w:ascii="Calibri" w:eastAsia="Times New Roman" w:hAnsi="Calibri" w:cs="Calibri"/>
                <w:color w:val="000000"/>
                <w:sz w:val="20"/>
                <w:szCs w:val="20"/>
                <w:lang w:eastAsia="es-MX"/>
              </w:rPr>
              <w:t>122,863,187.57</w:t>
            </w:r>
          </w:p>
        </w:tc>
        <w:tc>
          <w:tcPr>
            <w:tcW w:w="1662" w:type="dxa"/>
            <w:tcBorders>
              <w:top w:val="nil"/>
              <w:left w:val="nil"/>
              <w:bottom w:val="single" w:sz="4" w:space="0" w:color="auto"/>
              <w:right w:val="single" w:sz="4" w:space="0" w:color="auto"/>
            </w:tcBorders>
            <w:shd w:val="clear" w:color="auto" w:fill="auto"/>
            <w:noWrap/>
            <w:vAlign w:val="center"/>
            <w:hideMark/>
          </w:tcPr>
          <w:p w14:paraId="74D4BF0A" w14:textId="77777777" w:rsidR="00E57119" w:rsidRPr="00E57119" w:rsidRDefault="000C6DBE" w:rsidP="000C6DBE">
            <w:pPr>
              <w:spacing w:after="0" w:line="240" w:lineRule="auto"/>
              <w:jc w:val="right"/>
              <w:rPr>
                <w:rFonts w:ascii="Calibri" w:eastAsia="Times New Roman" w:hAnsi="Calibri" w:cs="Calibri"/>
                <w:color w:val="000000"/>
                <w:sz w:val="20"/>
                <w:szCs w:val="20"/>
                <w:lang w:eastAsia="es-MX"/>
              </w:rPr>
            </w:pPr>
            <w:r w:rsidRPr="000C6DBE">
              <w:rPr>
                <w:rFonts w:ascii="Calibri" w:eastAsia="Times New Roman" w:hAnsi="Calibri" w:cs="Calibri"/>
                <w:color w:val="000000"/>
                <w:sz w:val="20"/>
                <w:szCs w:val="20"/>
                <w:lang w:eastAsia="es-MX"/>
              </w:rPr>
              <w:t xml:space="preserve">$ </w:t>
            </w:r>
            <w:r w:rsidR="00E57119" w:rsidRPr="00E57119">
              <w:rPr>
                <w:rFonts w:ascii="Calibri" w:eastAsia="Times New Roman" w:hAnsi="Calibri" w:cs="Calibri"/>
                <w:color w:val="000000"/>
                <w:sz w:val="20"/>
                <w:szCs w:val="20"/>
                <w:lang w:eastAsia="es-MX"/>
              </w:rPr>
              <w:t>121,468,620.55</w:t>
            </w:r>
          </w:p>
        </w:tc>
        <w:tc>
          <w:tcPr>
            <w:tcW w:w="1685" w:type="dxa"/>
            <w:tcBorders>
              <w:top w:val="nil"/>
              <w:left w:val="nil"/>
              <w:bottom w:val="single" w:sz="4" w:space="0" w:color="auto"/>
              <w:right w:val="single" w:sz="4" w:space="0" w:color="auto"/>
            </w:tcBorders>
            <w:shd w:val="clear" w:color="auto" w:fill="auto"/>
            <w:noWrap/>
            <w:vAlign w:val="center"/>
            <w:hideMark/>
          </w:tcPr>
          <w:p w14:paraId="20B1D9D9" w14:textId="77777777" w:rsidR="00E57119" w:rsidRPr="00E57119" w:rsidRDefault="00E57119" w:rsidP="000C6DBE">
            <w:pPr>
              <w:spacing w:after="0" w:line="240" w:lineRule="auto"/>
              <w:jc w:val="right"/>
              <w:rPr>
                <w:rFonts w:ascii="Calibri" w:eastAsia="Times New Roman" w:hAnsi="Calibri" w:cs="Calibri"/>
                <w:color w:val="000000"/>
                <w:sz w:val="20"/>
                <w:szCs w:val="20"/>
                <w:lang w:eastAsia="es-MX"/>
              </w:rPr>
            </w:pPr>
            <w:r w:rsidRPr="00E57119">
              <w:rPr>
                <w:rFonts w:ascii="Calibri" w:eastAsia="Times New Roman" w:hAnsi="Calibri" w:cs="Calibri"/>
                <w:color w:val="000000"/>
                <w:sz w:val="20"/>
                <w:szCs w:val="20"/>
                <w:lang w:eastAsia="es-MX"/>
              </w:rPr>
              <w:t>$   1,394,567.02</w:t>
            </w:r>
          </w:p>
        </w:tc>
        <w:tc>
          <w:tcPr>
            <w:tcW w:w="1799" w:type="dxa"/>
            <w:tcBorders>
              <w:top w:val="nil"/>
              <w:left w:val="nil"/>
              <w:bottom w:val="single" w:sz="4" w:space="0" w:color="auto"/>
              <w:right w:val="single" w:sz="4" w:space="0" w:color="auto"/>
            </w:tcBorders>
            <w:shd w:val="clear" w:color="auto" w:fill="auto"/>
            <w:noWrap/>
            <w:vAlign w:val="center"/>
            <w:hideMark/>
          </w:tcPr>
          <w:p w14:paraId="61FF0D02" w14:textId="77777777" w:rsidR="00E57119" w:rsidRPr="00E57119" w:rsidRDefault="007E58C2" w:rsidP="000C6DBE">
            <w:pPr>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w:t>
            </w:r>
            <w:r w:rsidR="00E57119" w:rsidRPr="00E57119">
              <w:rPr>
                <w:rFonts w:ascii="Calibri" w:eastAsia="Times New Roman" w:hAnsi="Calibri" w:cs="Calibri"/>
                <w:color w:val="000000"/>
                <w:sz w:val="20"/>
                <w:szCs w:val="20"/>
                <w:lang w:eastAsia="es-MX"/>
              </w:rPr>
              <w:t xml:space="preserve">  100,279,480.97</w:t>
            </w:r>
          </w:p>
        </w:tc>
      </w:tr>
      <w:tr w:rsidR="00E57119" w:rsidRPr="00E57119" w14:paraId="2179F556" w14:textId="77777777" w:rsidTr="00E57119">
        <w:trPr>
          <w:trHeight w:val="300"/>
        </w:trPr>
        <w:tc>
          <w:tcPr>
            <w:tcW w:w="8744"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C0AB56" w14:textId="77777777" w:rsidR="00E57119" w:rsidRPr="00E57119" w:rsidRDefault="00E57119" w:rsidP="00E57119">
            <w:pPr>
              <w:spacing w:after="0" w:line="240" w:lineRule="auto"/>
              <w:rPr>
                <w:rFonts w:ascii="Calibri" w:eastAsia="Times New Roman" w:hAnsi="Calibri" w:cs="Calibri"/>
                <w:color w:val="000000"/>
                <w:sz w:val="20"/>
                <w:szCs w:val="20"/>
                <w:lang w:eastAsia="es-MX"/>
              </w:rPr>
            </w:pPr>
            <w:r w:rsidRPr="00E57119">
              <w:rPr>
                <w:rFonts w:ascii="Calibri" w:eastAsia="Times New Roman" w:hAnsi="Calibri" w:cs="Calibri"/>
                <w:color w:val="000000"/>
                <w:sz w:val="20"/>
                <w:szCs w:val="20"/>
                <w:lang w:eastAsia="es-MX"/>
              </w:rPr>
              <w:t>Fuente: elaborado por TECSO con base al informe “Resumen Obras 2017” suministrado por la Dependencia</w:t>
            </w:r>
          </w:p>
        </w:tc>
      </w:tr>
    </w:tbl>
    <w:p w14:paraId="5EC597B7" w14:textId="77777777" w:rsidR="00E57119" w:rsidRPr="007E58C2" w:rsidRDefault="00E57119" w:rsidP="00E57119">
      <w:pPr>
        <w:spacing w:after="240"/>
        <w:jc w:val="both"/>
        <w:rPr>
          <w:rFonts w:ascii="Century Gothic" w:hAnsi="Century Gothic"/>
          <w:sz w:val="8"/>
          <w:szCs w:val="24"/>
        </w:rPr>
      </w:pPr>
    </w:p>
    <w:p w14:paraId="5D5A3F84" w14:textId="77777777" w:rsidR="001572F8" w:rsidRDefault="0003781B" w:rsidP="00E57119">
      <w:pPr>
        <w:spacing w:after="240"/>
        <w:jc w:val="both"/>
        <w:rPr>
          <w:rFonts w:ascii="Century Gothic" w:hAnsi="Century Gothic"/>
          <w:sz w:val="24"/>
          <w:szCs w:val="24"/>
          <w:lang w:val="es-ES_tradnl"/>
        </w:rPr>
      </w:pPr>
      <w:r>
        <w:rPr>
          <w:rFonts w:ascii="Century Gothic" w:hAnsi="Century Gothic"/>
          <w:sz w:val="24"/>
          <w:szCs w:val="24"/>
          <w:lang w:val="es-ES_tradnl"/>
        </w:rPr>
        <w:t>Estos recursos provienen de distintas fuentes, desde federales, estatales, aportaciones municipales y hasta una donación realizada por la Embajada de Japón, como se puede ver a continuación:</w:t>
      </w:r>
    </w:p>
    <w:tbl>
      <w:tblPr>
        <w:tblW w:w="8341" w:type="dxa"/>
        <w:jc w:val="center"/>
        <w:tblCellMar>
          <w:left w:w="70" w:type="dxa"/>
          <w:right w:w="70" w:type="dxa"/>
        </w:tblCellMar>
        <w:tblLook w:val="04A0" w:firstRow="1" w:lastRow="0" w:firstColumn="1" w:lastColumn="0" w:noHBand="0" w:noVBand="1"/>
      </w:tblPr>
      <w:tblGrid>
        <w:gridCol w:w="1600"/>
        <w:gridCol w:w="3539"/>
        <w:gridCol w:w="2268"/>
        <w:gridCol w:w="934"/>
      </w:tblGrid>
      <w:tr w:rsidR="0003781B" w:rsidRPr="0003781B" w14:paraId="3B38F232" w14:textId="77777777" w:rsidTr="0003781B">
        <w:trPr>
          <w:trHeight w:val="300"/>
          <w:jc w:val="center"/>
        </w:trPr>
        <w:tc>
          <w:tcPr>
            <w:tcW w:w="8341" w:type="dxa"/>
            <w:gridSpan w:val="4"/>
            <w:tcBorders>
              <w:top w:val="single" w:sz="4" w:space="0" w:color="auto"/>
              <w:left w:val="single" w:sz="4" w:space="0" w:color="auto"/>
              <w:bottom w:val="single" w:sz="4" w:space="0" w:color="auto"/>
              <w:right w:val="single" w:sz="4" w:space="0" w:color="000000"/>
            </w:tcBorders>
            <w:shd w:val="clear" w:color="000000" w:fill="0E4E7A"/>
            <w:noWrap/>
            <w:vAlign w:val="bottom"/>
            <w:hideMark/>
          </w:tcPr>
          <w:p w14:paraId="6A438457" w14:textId="77777777" w:rsidR="0003781B" w:rsidRPr="0003781B" w:rsidRDefault="0003781B" w:rsidP="003E3B3D">
            <w:pPr>
              <w:spacing w:after="0" w:line="240" w:lineRule="auto"/>
              <w:jc w:val="center"/>
              <w:rPr>
                <w:rFonts w:eastAsia="Times New Roman" w:cstheme="minorHAnsi"/>
                <w:b/>
                <w:bCs/>
                <w:color w:val="FFFFFF"/>
                <w:sz w:val="20"/>
                <w:szCs w:val="20"/>
                <w:lang w:eastAsia="es-MX"/>
              </w:rPr>
            </w:pPr>
            <w:r w:rsidRPr="0003781B">
              <w:rPr>
                <w:rFonts w:eastAsia="Times New Roman" w:cstheme="minorHAnsi"/>
                <w:b/>
                <w:bCs/>
                <w:color w:val="FFFFFF"/>
                <w:sz w:val="20"/>
                <w:szCs w:val="20"/>
                <w:lang w:eastAsia="es-MX"/>
              </w:rPr>
              <w:t xml:space="preserve">Cuadro </w:t>
            </w:r>
            <w:r w:rsidR="003E3B3D">
              <w:rPr>
                <w:rFonts w:eastAsia="Times New Roman" w:cstheme="minorHAnsi"/>
                <w:b/>
                <w:bCs/>
                <w:color w:val="FFFFFF"/>
                <w:sz w:val="20"/>
                <w:szCs w:val="20"/>
                <w:lang w:eastAsia="es-MX"/>
              </w:rPr>
              <w:t>2.2</w:t>
            </w:r>
            <w:r w:rsidRPr="0003781B">
              <w:rPr>
                <w:rFonts w:eastAsia="Times New Roman" w:cstheme="minorHAnsi"/>
                <w:b/>
                <w:bCs/>
                <w:color w:val="FFFFFF"/>
                <w:sz w:val="20"/>
                <w:szCs w:val="20"/>
                <w:lang w:eastAsia="es-MX"/>
              </w:rPr>
              <w:t xml:space="preserve">. </w:t>
            </w:r>
            <w:r w:rsidRPr="00B14BD2">
              <w:rPr>
                <w:rFonts w:eastAsia="Times New Roman" w:cstheme="minorHAnsi"/>
                <w:b/>
                <w:bCs/>
                <w:color w:val="FFFFFF"/>
                <w:szCs w:val="20"/>
                <w:lang w:eastAsia="es-MX"/>
              </w:rPr>
              <w:t>Presupuesto Programa Infraestructura no Habitacional, por origen, SEIDUR, 2017</w:t>
            </w:r>
          </w:p>
        </w:tc>
      </w:tr>
      <w:tr w:rsidR="0003781B" w:rsidRPr="0003781B" w14:paraId="6DF7677F" w14:textId="77777777" w:rsidTr="0003781B">
        <w:trPr>
          <w:trHeight w:val="300"/>
          <w:jc w:val="center"/>
        </w:trPr>
        <w:tc>
          <w:tcPr>
            <w:tcW w:w="5139" w:type="dxa"/>
            <w:gridSpan w:val="2"/>
            <w:tcBorders>
              <w:top w:val="single" w:sz="4" w:space="0" w:color="auto"/>
              <w:left w:val="single" w:sz="4" w:space="0" w:color="auto"/>
              <w:bottom w:val="single" w:sz="4" w:space="0" w:color="auto"/>
              <w:right w:val="single" w:sz="4" w:space="0" w:color="auto"/>
            </w:tcBorders>
            <w:shd w:val="clear" w:color="000000" w:fill="0E4E7A"/>
            <w:noWrap/>
            <w:vAlign w:val="bottom"/>
            <w:hideMark/>
          </w:tcPr>
          <w:p w14:paraId="12B033EB" w14:textId="77777777" w:rsidR="0003781B" w:rsidRPr="0003781B" w:rsidRDefault="0003781B" w:rsidP="0003781B">
            <w:pPr>
              <w:spacing w:after="0" w:line="240" w:lineRule="auto"/>
              <w:jc w:val="center"/>
              <w:rPr>
                <w:rFonts w:eastAsia="Times New Roman" w:cstheme="minorHAnsi"/>
                <w:b/>
                <w:bCs/>
                <w:color w:val="FFFFFF"/>
                <w:sz w:val="20"/>
                <w:szCs w:val="20"/>
                <w:lang w:eastAsia="es-MX"/>
              </w:rPr>
            </w:pPr>
            <w:r w:rsidRPr="0003781B">
              <w:rPr>
                <w:rFonts w:eastAsia="Times New Roman" w:cstheme="minorHAnsi"/>
                <w:b/>
                <w:bCs/>
                <w:color w:val="FFFFFF"/>
                <w:sz w:val="20"/>
                <w:szCs w:val="20"/>
                <w:lang w:eastAsia="es-MX"/>
              </w:rPr>
              <w:t>Origen del Recurso</w:t>
            </w:r>
          </w:p>
        </w:tc>
        <w:tc>
          <w:tcPr>
            <w:tcW w:w="2268" w:type="dxa"/>
            <w:tcBorders>
              <w:top w:val="nil"/>
              <w:left w:val="nil"/>
              <w:bottom w:val="single" w:sz="4" w:space="0" w:color="auto"/>
              <w:right w:val="single" w:sz="4" w:space="0" w:color="auto"/>
            </w:tcBorders>
            <w:shd w:val="clear" w:color="000000" w:fill="0E4E7A"/>
            <w:noWrap/>
            <w:vAlign w:val="bottom"/>
            <w:hideMark/>
          </w:tcPr>
          <w:p w14:paraId="0CC48A5A" w14:textId="77777777" w:rsidR="0003781B" w:rsidRPr="0003781B" w:rsidRDefault="0003781B" w:rsidP="0003781B">
            <w:pPr>
              <w:spacing w:after="0" w:line="240" w:lineRule="auto"/>
              <w:jc w:val="center"/>
              <w:rPr>
                <w:rFonts w:eastAsia="Times New Roman" w:cstheme="minorHAnsi"/>
                <w:b/>
                <w:bCs/>
                <w:color w:val="FFFFFF"/>
                <w:sz w:val="20"/>
                <w:szCs w:val="20"/>
                <w:lang w:eastAsia="es-MX"/>
              </w:rPr>
            </w:pPr>
            <w:r w:rsidRPr="0003781B">
              <w:rPr>
                <w:rFonts w:eastAsia="Times New Roman" w:cstheme="minorHAnsi"/>
                <w:b/>
                <w:bCs/>
                <w:color w:val="FFFFFF"/>
                <w:sz w:val="20"/>
                <w:szCs w:val="20"/>
                <w:lang w:eastAsia="es-MX"/>
              </w:rPr>
              <w:t>Monto</w:t>
            </w:r>
          </w:p>
        </w:tc>
        <w:tc>
          <w:tcPr>
            <w:tcW w:w="934" w:type="dxa"/>
            <w:tcBorders>
              <w:top w:val="nil"/>
              <w:left w:val="nil"/>
              <w:bottom w:val="single" w:sz="4" w:space="0" w:color="auto"/>
              <w:right w:val="single" w:sz="4" w:space="0" w:color="auto"/>
            </w:tcBorders>
            <w:shd w:val="clear" w:color="000000" w:fill="0E4E7A"/>
            <w:noWrap/>
            <w:vAlign w:val="bottom"/>
            <w:hideMark/>
          </w:tcPr>
          <w:p w14:paraId="6AFC5936" w14:textId="77777777" w:rsidR="0003781B" w:rsidRPr="0003781B" w:rsidRDefault="0003781B" w:rsidP="0003781B">
            <w:pPr>
              <w:spacing w:after="0" w:line="240" w:lineRule="auto"/>
              <w:jc w:val="center"/>
              <w:rPr>
                <w:rFonts w:eastAsia="Times New Roman" w:cstheme="minorHAnsi"/>
                <w:b/>
                <w:bCs/>
                <w:color w:val="FFFFFF"/>
                <w:sz w:val="20"/>
                <w:szCs w:val="20"/>
                <w:lang w:eastAsia="es-MX"/>
              </w:rPr>
            </w:pPr>
            <w:r w:rsidRPr="0003781B">
              <w:rPr>
                <w:rFonts w:eastAsia="Times New Roman" w:cstheme="minorHAnsi"/>
                <w:b/>
                <w:bCs/>
                <w:color w:val="FFFFFF"/>
                <w:sz w:val="20"/>
                <w:szCs w:val="20"/>
                <w:lang w:eastAsia="es-MX"/>
              </w:rPr>
              <w:t>%</w:t>
            </w:r>
          </w:p>
        </w:tc>
      </w:tr>
      <w:tr w:rsidR="0003781B" w:rsidRPr="0003781B" w14:paraId="1701AD44" w14:textId="77777777" w:rsidTr="0003781B">
        <w:trPr>
          <w:trHeight w:val="300"/>
          <w:jc w:val="center"/>
        </w:trPr>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4A6F25"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Federal</w:t>
            </w:r>
          </w:p>
        </w:tc>
        <w:tc>
          <w:tcPr>
            <w:tcW w:w="3539" w:type="dxa"/>
            <w:tcBorders>
              <w:top w:val="nil"/>
              <w:left w:val="nil"/>
              <w:bottom w:val="single" w:sz="4" w:space="0" w:color="auto"/>
              <w:right w:val="single" w:sz="4" w:space="0" w:color="auto"/>
            </w:tcBorders>
            <w:shd w:val="clear" w:color="auto" w:fill="auto"/>
            <w:noWrap/>
            <w:vAlign w:val="center"/>
            <w:hideMark/>
          </w:tcPr>
          <w:p w14:paraId="0D96A999" w14:textId="77777777" w:rsidR="0003781B" w:rsidRPr="0003781B" w:rsidRDefault="0003781B" w:rsidP="0003781B">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FAFEF  </w:t>
            </w:r>
          </w:p>
        </w:tc>
        <w:tc>
          <w:tcPr>
            <w:tcW w:w="2268" w:type="dxa"/>
            <w:tcBorders>
              <w:top w:val="nil"/>
              <w:left w:val="nil"/>
              <w:bottom w:val="single" w:sz="4" w:space="0" w:color="auto"/>
              <w:right w:val="single" w:sz="4" w:space="0" w:color="auto"/>
            </w:tcBorders>
            <w:shd w:val="clear" w:color="auto" w:fill="auto"/>
            <w:noWrap/>
            <w:vAlign w:val="bottom"/>
            <w:hideMark/>
          </w:tcPr>
          <w:p w14:paraId="67F50D2D" w14:textId="77777777" w:rsidR="0003781B" w:rsidRPr="0003781B" w:rsidRDefault="0003781B" w:rsidP="0003781B">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21,499,988.82 </w:t>
            </w:r>
          </w:p>
        </w:tc>
        <w:tc>
          <w:tcPr>
            <w:tcW w:w="934" w:type="dxa"/>
            <w:tcBorders>
              <w:top w:val="nil"/>
              <w:left w:val="nil"/>
              <w:bottom w:val="single" w:sz="4" w:space="0" w:color="auto"/>
              <w:right w:val="single" w:sz="4" w:space="0" w:color="auto"/>
            </w:tcBorders>
            <w:shd w:val="clear" w:color="auto" w:fill="auto"/>
            <w:noWrap/>
            <w:vAlign w:val="bottom"/>
            <w:hideMark/>
          </w:tcPr>
          <w:p w14:paraId="3F0752D6"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17.5%</w:t>
            </w:r>
          </w:p>
        </w:tc>
      </w:tr>
      <w:tr w:rsidR="0003781B" w:rsidRPr="0003781B" w14:paraId="47397955" w14:textId="77777777" w:rsidTr="0003781B">
        <w:trPr>
          <w:trHeight w:val="300"/>
          <w:jc w:val="center"/>
        </w:trPr>
        <w:tc>
          <w:tcPr>
            <w:tcW w:w="1600" w:type="dxa"/>
            <w:vMerge/>
            <w:tcBorders>
              <w:top w:val="nil"/>
              <w:left w:val="single" w:sz="4" w:space="0" w:color="auto"/>
              <w:bottom w:val="single" w:sz="4" w:space="0" w:color="auto"/>
              <w:right w:val="single" w:sz="4" w:space="0" w:color="auto"/>
            </w:tcBorders>
            <w:vAlign w:val="center"/>
            <w:hideMark/>
          </w:tcPr>
          <w:p w14:paraId="3660D528" w14:textId="77777777" w:rsidR="0003781B" w:rsidRPr="0003781B" w:rsidRDefault="0003781B" w:rsidP="0003781B">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3BDE3600" w14:textId="77777777" w:rsidR="0003781B" w:rsidRPr="0003781B" w:rsidRDefault="0003781B" w:rsidP="0003781B">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FORTALECE</w:t>
            </w:r>
          </w:p>
        </w:tc>
        <w:tc>
          <w:tcPr>
            <w:tcW w:w="2268" w:type="dxa"/>
            <w:tcBorders>
              <w:top w:val="nil"/>
              <w:left w:val="nil"/>
              <w:bottom w:val="single" w:sz="4" w:space="0" w:color="auto"/>
              <w:right w:val="single" w:sz="4" w:space="0" w:color="auto"/>
            </w:tcBorders>
            <w:shd w:val="clear" w:color="auto" w:fill="auto"/>
            <w:noWrap/>
            <w:vAlign w:val="bottom"/>
            <w:hideMark/>
          </w:tcPr>
          <w:p w14:paraId="56CA6901" w14:textId="77777777" w:rsidR="0003781B" w:rsidRPr="0003781B" w:rsidRDefault="0003781B" w:rsidP="0003781B">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1,956,749.12 </w:t>
            </w:r>
          </w:p>
        </w:tc>
        <w:tc>
          <w:tcPr>
            <w:tcW w:w="934" w:type="dxa"/>
            <w:tcBorders>
              <w:top w:val="nil"/>
              <w:left w:val="nil"/>
              <w:bottom w:val="single" w:sz="4" w:space="0" w:color="auto"/>
              <w:right w:val="single" w:sz="4" w:space="0" w:color="auto"/>
            </w:tcBorders>
            <w:shd w:val="clear" w:color="auto" w:fill="auto"/>
            <w:noWrap/>
            <w:vAlign w:val="bottom"/>
            <w:hideMark/>
          </w:tcPr>
          <w:p w14:paraId="2E2B1E63"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1.6%</w:t>
            </w:r>
          </w:p>
        </w:tc>
      </w:tr>
      <w:tr w:rsidR="0003781B" w:rsidRPr="0003781B" w14:paraId="435A14B7" w14:textId="77777777" w:rsidTr="0003781B">
        <w:trPr>
          <w:trHeight w:val="300"/>
          <w:jc w:val="center"/>
        </w:trPr>
        <w:tc>
          <w:tcPr>
            <w:tcW w:w="1600" w:type="dxa"/>
            <w:vMerge/>
            <w:tcBorders>
              <w:top w:val="nil"/>
              <w:left w:val="single" w:sz="4" w:space="0" w:color="auto"/>
              <w:bottom w:val="single" w:sz="4" w:space="0" w:color="auto"/>
              <w:right w:val="single" w:sz="4" w:space="0" w:color="auto"/>
            </w:tcBorders>
            <w:vAlign w:val="center"/>
            <w:hideMark/>
          </w:tcPr>
          <w:p w14:paraId="02F082A8" w14:textId="77777777" w:rsidR="0003781B" w:rsidRPr="0003781B" w:rsidRDefault="0003781B" w:rsidP="0003781B">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5FD1132A" w14:textId="77777777" w:rsidR="0003781B" w:rsidRPr="0003781B" w:rsidRDefault="0003781B" w:rsidP="0003781B">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Programas Regionales</w:t>
            </w:r>
          </w:p>
        </w:tc>
        <w:tc>
          <w:tcPr>
            <w:tcW w:w="2268" w:type="dxa"/>
            <w:tcBorders>
              <w:top w:val="nil"/>
              <w:left w:val="nil"/>
              <w:bottom w:val="single" w:sz="4" w:space="0" w:color="auto"/>
              <w:right w:val="single" w:sz="4" w:space="0" w:color="auto"/>
            </w:tcBorders>
            <w:shd w:val="clear" w:color="auto" w:fill="auto"/>
            <w:noWrap/>
            <w:vAlign w:val="bottom"/>
            <w:hideMark/>
          </w:tcPr>
          <w:p w14:paraId="72D90B92" w14:textId="77777777" w:rsidR="0003781B" w:rsidRPr="0003781B" w:rsidRDefault="0003781B" w:rsidP="0003781B">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7,072,071.42 </w:t>
            </w:r>
          </w:p>
        </w:tc>
        <w:tc>
          <w:tcPr>
            <w:tcW w:w="934" w:type="dxa"/>
            <w:tcBorders>
              <w:top w:val="nil"/>
              <w:left w:val="nil"/>
              <w:bottom w:val="single" w:sz="4" w:space="0" w:color="auto"/>
              <w:right w:val="single" w:sz="4" w:space="0" w:color="auto"/>
            </w:tcBorders>
            <w:shd w:val="clear" w:color="auto" w:fill="auto"/>
            <w:noWrap/>
            <w:vAlign w:val="bottom"/>
            <w:hideMark/>
          </w:tcPr>
          <w:p w14:paraId="0B9DE4AA"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5.8%</w:t>
            </w:r>
          </w:p>
        </w:tc>
      </w:tr>
      <w:tr w:rsidR="0003781B" w:rsidRPr="0003781B" w14:paraId="5981871E" w14:textId="77777777" w:rsidTr="0003781B">
        <w:trPr>
          <w:trHeight w:val="300"/>
          <w:jc w:val="center"/>
        </w:trPr>
        <w:tc>
          <w:tcPr>
            <w:tcW w:w="1600" w:type="dxa"/>
            <w:vMerge/>
            <w:tcBorders>
              <w:top w:val="nil"/>
              <w:left w:val="single" w:sz="4" w:space="0" w:color="auto"/>
              <w:bottom w:val="single" w:sz="4" w:space="0" w:color="auto"/>
              <w:right w:val="single" w:sz="4" w:space="0" w:color="auto"/>
            </w:tcBorders>
            <w:vAlign w:val="center"/>
            <w:hideMark/>
          </w:tcPr>
          <w:p w14:paraId="71D98AD7" w14:textId="77777777" w:rsidR="0003781B" w:rsidRPr="0003781B" w:rsidRDefault="0003781B" w:rsidP="0003781B">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41B05C8E" w14:textId="77777777" w:rsidR="0003781B" w:rsidRPr="0003781B" w:rsidRDefault="0003781B" w:rsidP="0003781B">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CONADE </w:t>
            </w:r>
          </w:p>
        </w:tc>
        <w:tc>
          <w:tcPr>
            <w:tcW w:w="2268" w:type="dxa"/>
            <w:tcBorders>
              <w:top w:val="nil"/>
              <w:left w:val="nil"/>
              <w:bottom w:val="single" w:sz="4" w:space="0" w:color="auto"/>
              <w:right w:val="single" w:sz="4" w:space="0" w:color="auto"/>
            </w:tcBorders>
            <w:shd w:val="clear" w:color="auto" w:fill="auto"/>
            <w:noWrap/>
            <w:vAlign w:val="bottom"/>
            <w:hideMark/>
          </w:tcPr>
          <w:p w14:paraId="25DB9691" w14:textId="77777777" w:rsidR="0003781B" w:rsidRPr="0003781B" w:rsidRDefault="0003781B" w:rsidP="0003781B">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1,994,095.60 </w:t>
            </w:r>
          </w:p>
        </w:tc>
        <w:tc>
          <w:tcPr>
            <w:tcW w:w="934" w:type="dxa"/>
            <w:tcBorders>
              <w:top w:val="nil"/>
              <w:left w:val="nil"/>
              <w:bottom w:val="single" w:sz="4" w:space="0" w:color="auto"/>
              <w:right w:val="single" w:sz="4" w:space="0" w:color="auto"/>
            </w:tcBorders>
            <w:shd w:val="clear" w:color="auto" w:fill="auto"/>
            <w:noWrap/>
            <w:vAlign w:val="bottom"/>
            <w:hideMark/>
          </w:tcPr>
          <w:p w14:paraId="742C107D"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1.6%</w:t>
            </w:r>
          </w:p>
        </w:tc>
      </w:tr>
      <w:tr w:rsidR="0003781B" w:rsidRPr="0003781B" w14:paraId="2D30AA56" w14:textId="77777777" w:rsidTr="0003781B">
        <w:trPr>
          <w:trHeight w:val="300"/>
          <w:jc w:val="center"/>
        </w:trPr>
        <w:tc>
          <w:tcPr>
            <w:tcW w:w="1600" w:type="dxa"/>
            <w:vMerge/>
            <w:tcBorders>
              <w:top w:val="nil"/>
              <w:left w:val="single" w:sz="4" w:space="0" w:color="auto"/>
              <w:bottom w:val="single" w:sz="4" w:space="0" w:color="auto"/>
              <w:right w:val="single" w:sz="4" w:space="0" w:color="auto"/>
            </w:tcBorders>
            <w:vAlign w:val="center"/>
            <w:hideMark/>
          </w:tcPr>
          <w:p w14:paraId="59295F8A" w14:textId="77777777" w:rsidR="0003781B" w:rsidRPr="0003781B" w:rsidRDefault="0003781B" w:rsidP="0003781B">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23432294" w14:textId="77777777" w:rsidR="0003781B" w:rsidRPr="0003781B" w:rsidRDefault="0003781B" w:rsidP="0003781B">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Fortalecimiento Financiero</w:t>
            </w:r>
          </w:p>
        </w:tc>
        <w:tc>
          <w:tcPr>
            <w:tcW w:w="2268" w:type="dxa"/>
            <w:tcBorders>
              <w:top w:val="nil"/>
              <w:left w:val="nil"/>
              <w:bottom w:val="single" w:sz="4" w:space="0" w:color="auto"/>
              <w:right w:val="single" w:sz="4" w:space="0" w:color="auto"/>
            </w:tcBorders>
            <w:shd w:val="clear" w:color="auto" w:fill="auto"/>
            <w:noWrap/>
            <w:vAlign w:val="bottom"/>
            <w:hideMark/>
          </w:tcPr>
          <w:p w14:paraId="61923B64" w14:textId="77777777" w:rsidR="0003781B" w:rsidRPr="0003781B" w:rsidRDefault="0003781B" w:rsidP="0003781B">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6,626,006.79 </w:t>
            </w:r>
          </w:p>
        </w:tc>
        <w:tc>
          <w:tcPr>
            <w:tcW w:w="934" w:type="dxa"/>
            <w:tcBorders>
              <w:top w:val="nil"/>
              <w:left w:val="nil"/>
              <w:bottom w:val="single" w:sz="4" w:space="0" w:color="auto"/>
              <w:right w:val="single" w:sz="4" w:space="0" w:color="auto"/>
            </w:tcBorders>
            <w:shd w:val="clear" w:color="auto" w:fill="auto"/>
            <w:noWrap/>
            <w:vAlign w:val="bottom"/>
            <w:hideMark/>
          </w:tcPr>
          <w:p w14:paraId="41FD4AF0"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5.4%</w:t>
            </w:r>
          </w:p>
        </w:tc>
      </w:tr>
      <w:tr w:rsidR="0003781B" w:rsidRPr="0003781B" w14:paraId="1E569C58" w14:textId="77777777" w:rsidTr="0003781B">
        <w:trPr>
          <w:trHeight w:val="300"/>
          <w:jc w:val="center"/>
        </w:trPr>
        <w:tc>
          <w:tcPr>
            <w:tcW w:w="1600" w:type="dxa"/>
            <w:vMerge/>
            <w:tcBorders>
              <w:top w:val="nil"/>
              <w:left w:val="single" w:sz="4" w:space="0" w:color="auto"/>
              <w:bottom w:val="single" w:sz="4" w:space="0" w:color="auto"/>
              <w:right w:val="single" w:sz="4" w:space="0" w:color="auto"/>
            </w:tcBorders>
            <w:vAlign w:val="center"/>
            <w:hideMark/>
          </w:tcPr>
          <w:p w14:paraId="3F037438" w14:textId="77777777" w:rsidR="0003781B" w:rsidRPr="0003781B" w:rsidRDefault="0003781B" w:rsidP="0003781B">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028E4D0F" w14:textId="77777777" w:rsidR="0003781B" w:rsidRPr="0003781B" w:rsidRDefault="0003781B" w:rsidP="0003781B">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PROAGUA </w:t>
            </w:r>
            <w:r w:rsidR="0069321D">
              <w:rPr>
                <w:rFonts w:eastAsia="Times New Roman" w:cstheme="minorHAnsi"/>
                <w:color w:val="000000"/>
                <w:sz w:val="20"/>
                <w:szCs w:val="20"/>
                <w:lang w:eastAsia="es-MX"/>
              </w:rPr>
              <w:t>–</w:t>
            </w:r>
            <w:r w:rsidRPr="0003781B">
              <w:rPr>
                <w:rFonts w:eastAsia="Times New Roman" w:cstheme="minorHAnsi"/>
                <w:color w:val="000000"/>
                <w:sz w:val="20"/>
                <w:szCs w:val="20"/>
                <w:lang w:eastAsia="es-MX"/>
              </w:rPr>
              <w:t xml:space="preserve"> APAUR</w:t>
            </w:r>
          </w:p>
        </w:tc>
        <w:tc>
          <w:tcPr>
            <w:tcW w:w="2268" w:type="dxa"/>
            <w:tcBorders>
              <w:top w:val="nil"/>
              <w:left w:val="nil"/>
              <w:bottom w:val="single" w:sz="4" w:space="0" w:color="auto"/>
              <w:right w:val="single" w:sz="4" w:space="0" w:color="auto"/>
            </w:tcBorders>
            <w:shd w:val="clear" w:color="auto" w:fill="auto"/>
            <w:noWrap/>
            <w:vAlign w:val="bottom"/>
            <w:hideMark/>
          </w:tcPr>
          <w:p w14:paraId="282EDB38" w14:textId="77777777" w:rsidR="0003781B" w:rsidRPr="0003781B" w:rsidRDefault="0003781B" w:rsidP="0003781B">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1,045,119.64 </w:t>
            </w:r>
          </w:p>
        </w:tc>
        <w:tc>
          <w:tcPr>
            <w:tcW w:w="934" w:type="dxa"/>
            <w:tcBorders>
              <w:top w:val="nil"/>
              <w:left w:val="nil"/>
              <w:bottom w:val="single" w:sz="4" w:space="0" w:color="auto"/>
              <w:right w:val="single" w:sz="4" w:space="0" w:color="auto"/>
            </w:tcBorders>
            <w:shd w:val="clear" w:color="auto" w:fill="auto"/>
            <w:noWrap/>
            <w:vAlign w:val="bottom"/>
            <w:hideMark/>
          </w:tcPr>
          <w:p w14:paraId="289CB19D"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0.9%</w:t>
            </w:r>
          </w:p>
        </w:tc>
      </w:tr>
      <w:tr w:rsidR="0003781B" w:rsidRPr="0003781B" w14:paraId="6A5B8F1B" w14:textId="77777777" w:rsidTr="0003781B">
        <w:trPr>
          <w:trHeight w:val="300"/>
          <w:jc w:val="center"/>
        </w:trPr>
        <w:tc>
          <w:tcPr>
            <w:tcW w:w="1600" w:type="dxa"/>
            <w:vMerge/>
            <w:tcBorders>
              <w:top w:val="nil"/>
              <w:left w:val="single" w:sz="4" w:space="0" w:color="auto"/>
              <w:bottom w:val="single" w:sz="4" w:space="0" w:color="auto"/>
              <w:right w:val="single" w:sz="4" w:space="0" w:color="auto"/>
            </w:tcBorders>
            <w:vAlign w:val="center"/>
            <w:hideMark/>
          </w:tcPr>
          <w:p w14:paraId="7BB89A4E" w14:textId="77777777" w:rsidR="0003781B" w:rsidRPr="0003781B" w:rsidRDefault="0003781B" w:rsidP="0003781B">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7404A755" w14:textId="77777777" w:rsidR="0003781B" w:rsidRPr="0003781B" w:rsidRDefault="0003781B" w:rsidP="0003781B">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SEDESOL Programa De Apoyo A Jornaleros Agrícolas </w:t>
            </w:r>
          </w:p>
        </w:tc>
        <w:tc>
          <w:tcPr>
            <w:tcW w:w="2268" w:type="dxa"/>
            <w:tcBorders>
              <w:top w:val="nil"/>
              <w:left w:val="nil"/>
              <w:bottom w:val="single" w:sz="4" w:space="0" w:color="auto"/>
              <w:right w:val="single" w:sz="4" w:space="0" w:color="auto"/>
            </w:tcBorders>
            <w:shd w:val="clear" w:color="auto" w:fill="auto"/>
            <w:noWrap/>
            <w:vAlign w:val="bottom"/>
            <w:hideMark/>
          </w:tcPr>
          <w:p w14:paraId="7194519A" w14:textId="77777777" w:rsidR="0003781B" w:rsidRPr="0003781B" w:rsidRDefault="0003781B" w:rsidP="0003781B">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1,161,803.08 </w:t>
            </w:r>
          </w:p>
        </w:tc>
        <w:tc>
          <w:tcPr>
            <w:tcW w:w="934" w:type="dxa"/>
            <w:tcBorders>
              <w:top w:val="nil"/>
              <w:left w:val="nil"/>
              <w:bottom w:val="single" w:sz="4" w:space="0" w:color="auto"/>
              <w:right w:val="single" w:sz="4" w:space="0" w:color="auto"/>
            </w:tcBorders>
            <w:shd w:val="clear" w:color="auto" w:fill="auto"/>
            <w:noWrap/>
            <w:vAlign w:val="bottom"/>
            <w:hideMark/>
          </w:tcPr>
          <w:p w14:paraId="620B662C"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0.9%</w:t>
            </w:r>
          </w:p>
        </w:tc>
      </w:tr>
      <w:tr w:rsidR="0003781B" w:rsidRPr="0003781B" w14:paraId="2BD79043" w14:textId="77777777" w:rsidTr="0003781B">
        <w:trPr>
          <w:trHeight w:val="300"/>
          <w:jc w:val="center"/>
        </w:trPr>
        <w:tc>
          <w:tcPr>
            <w:tcW w:w="1600" w:type="dxa"/>
            <w:vMerge/>
            <w:tcBorders>
              <w:top w:val="nil"/>
              <w:left w:val="single" w:sz="4" w:space="0" w:color="auto"/>
              <w:bottom w:val="single" w:sz="4" w:space="0" w:color="auto"/>
              <w:right w:val="single" w:sz="4" w:space="0" w:color="auto"/>
            </w:tcBorders>
            <w:vAlign w:val="center"/>
            <w:hideMark/>
          </w:tcPr>
          <w:p w14:paraId="558DF8F1" w14:textId="77777777" w:rsidR="0003781B" w:rsidRPr="0003781B" w:rsidRDefault="0003781B" w:rsidP="0003781B">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4294123D" w14:textId="77777777" w:rsidR="0003781B" w:rsidRPr="0003781B" w:rsidRDefault="0003781B" w:rsidP="0003781B">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Seguridad Publica </w:t>
            </w:r>
          </w:p>
        </w:tc>
        <w:tc>
          <w:tcPr>
            <w:tcW w:w="2268" w:type="dxa"/>
            <w:tcBorders>
              <w:top w:val="nil"/>
              <w:left w:val="nil"/>
              <w:bottom w:val="single" w:sz="4" w:space="0" w:color="auto"/>
              <w:right w:val="single" w:sz="4" w:space="0" w:color="auto"/>
            </w:tcBorders>
            <w:shd w:val="clear" w:color="auto" w:fill="auto"/>
            <w:noWrap/>
            <w:vAlign w:val="bottom"/>
            <w:hideMark/>
          </w:tcPr>
          <w:p w14:paraId="458C7C16" w14:textId="77777777" w:rsidR="0003781B" w:rsidRPr="0003781B" w:rsidRDefault="0003781B" w:rsidP="0003781B">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8,552,431.78 </w:t>
            </w:r>
          </w:p>
        </w:tc>
        <w:tc>
          <w:tcPr>
            <w:tcW w:w="934" w:type="dxa"/>
            <w:tcBorders>
              <w:top w:val="nil"/>
              <w:left w:val="nil"/>
              <w:bottom w:val="single" w:sz="4" w:space="0" w:color="auto"/>
              <w:right w:val="single" w:sz="4" w:space="0" w:color="auto"/>
            </w:tcBorders>
            <w:shd w:val="clear" w:color="auto" w:fill="auto"/>
            <w:noWrap/>
            <w:vAlign w:val="bottom"/>
            <w:hideMark/>
          </w:tcPr>
          <w:p w14:paraId="39812E3C"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7.0%</w:t>
            </w:r>
          </w:p>
        </w:tc>
      </w:tr>
      <w:tr w:rsidR="0003781B" w:rsidRPr="0003781B" w14:paraId="4DB2EEC8" w14:textId="77777777" w:rsidTr="0003781B">
        <w:trPr>
          <w:trHeight w:val="300"/>
          <w:jc w:val="center"/>
        </w:trPr>
        <w:tc>
          <w:tcPr>
            <w:tcW w:w="1600" w:type="dxa"/>
            <w:vMerge/>
            <w:tcBorders>
              <w:top w:val="nil"/>
              <w:left w:val="single" w:sz="4" w:space="0" w:color="auto"/>
              <w:bottom w:val="single" w:sz="4" w:space="0" w:color="auto"/>
              <w:right w:val="single" w:sz="4" w:space="0" w:color="auto"/>
            </w:tcBorders>
            <w:vAlign w:val="center"/>
            <w:hideMark/>
          </w:tcPr>
          <w:p w14:paraId="07C6135D" w14:textId="77777777" w:rsidR="0003781B" w:rsidRPr="0003781B" w:rsidRDefault="0003781B" w:rsidP="0003781B">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54E19307" w14:textId="77777777" w:rsidR="0003781B" w:rsidRPr="0003781B" w:rsidRDefault="0003781B" w:rsidP="0003781B">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Apoyo a la Cultura </w:t>
            </w:r>
          </w:p>
        </w:tc>
        <w:tc>
          <w:tcPr>
            <w:tcW w:w="2268" w:type="dxa"/>
            <w:tcBorders>
              <w:top w:val="nil"/>
              <w:left w:val="nil"/>
              <w:bottom w:val="single" w:sz="4" w:space="0" w:color="auto"/>
              <w:right w:val="single" w:sz="4" w:space="0" w:color="auto"/>
            </w:tcBorders>
            <w:shd w:val="clear" w:color="auto" w:fill="auto"/>
            <w:noWrap/>
            <w:vAlign w:val="bottom"/>
            <w:hideMark/>
          </w:tcPr>
          <w:p w14:paraId="6CD24EE1" w14:textId="77777777" w:rsidR="0003781B" w:rsidRPr="0003781B" w:rsidRDefault="0003781B" w:rsidP="0003781B">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2,190,077.41 </w:t>
            </w:r>
          </w:p>
        </w:tc>
        <w:tc>
          <w:tcPr>
            <w:tcW w:w="934" w:type="dxa"/>
            <w:tcBorders>
              <w:top w:val="nil"/>
              <w:left w:val="nil"/>
              <w:bottom w:val="single" w:sz="4" w:space="0" w:color="auto"/>
              <w:right w:val="single" w:sz="4" w:space="0" w:color="auto"/>
            </w:tcBorders>
            <w:shd w:val="clear" w:color="auto" w:fill="auto"/>
            <w:noWrap/>
            <w:vAlign w:val="bottom"/>
            <w:hideMark/>
          </w:tcPr>
          <w:p w14:paraId="5B28F7B0"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1.8%</w:t>
            </w:r>
          </w:p>
        </w:tc>
      </w:tr>
      <w:tr w:rsidR="0003781B" w:rsidRPr="0003781B" w14:paraId="2206E8A5" w14:textId="77777777" w:rsidTr="0003781B">
        <w:trPr>
          <w:trHeight w:val="300"/>
          <w:jc w:val="center"/>
        </w:trPr>
        <w:tc>
          <w:tcPr>
            <w:tcW w:w="51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F524F" w14:textId="77777777" w:rsidR="0003781B" w:rsidRPr="0003781B" w:rsidRDefault="0003781B" w:rsidP="0003781B">
            <w:pPr>
              <w:spacing w:after="0" w:line="240" w:lineRule="auto"/>
              <w:jc w:val="center"/>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Subtotal</w:t>
            </w:r>
          </w:p>
        </w:tc>
        <w:tc>
          <w:tcPr>
            <w:tcW w:w="2268" w:type="dxa"/>
            <w:tcBorders>
              <w:top w:val="nil"/>
              <w:left w:val="nil"/>
              <w:bottom w:val="single" w:sz="4" w:space="0" w:color="auto"/>
              <w:right w:val="single" w:sz="4" w:space="0" w:color="auto"/>
            </w:tcBorders>
            <w:shd w:val="clear" w:color="auto" w:fill="auto"/>
            <w:noWrap/>
            <w:vAlign w:val="bottom"/>
            <w:hideMark/>
          </w:tcPr>
          <w:p w14:paraId="038590DF" w14:textId="77777777" w:rsidR="0003781B" w:rsidRPr="0003781B" w:rsidRDefault="0003781B" w:rsidP="0003781B">
            <w:pPr>
              <w:spacing w:after="0" w:line="240" w:lineRule="auto"/>
              <w:jc w:val="right"/>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 xml:space="preserve"> $        52,098,343.67 </w:t>
            </w:r>
          </w:p>
        </w:tc>
        <w:tc>
          <w:tcPr>
            <w:tcW w:w="934" w:type="dxa"/>
            <w:tcBorders>
              <w:top w:val="nil"/>
              <w:left w:val="nil"/>
              <w:bottom w:val="single" w:sz="4" w:space="0" w:color="auto"/>
              <w:right w:val="single" w:sz="4" w:space="0" w:color="auto"/>
            </w:tcBorders>
            <w:shd w:val="clear" w:color="auto" w:fill="auto"/>
            <w:noWrap/>
            <w:vAlign w:val="bottom"/>
            <w:hideMark/>
          </w:tcPr>
          <w:p w14:paraId="36136B44" w14:textId="77777777" w:rsidR="0003781B" w:rsidRPr="0003781B" w:rsidRDefault="0003781B" w:rsidP="0003781B">
            <w:pPr>
              <w:spacing w:after="0" w:line="240" w:lineRule="auto"/>
              <w:jc w:val="center"/>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42.4%</w:t>
            </w:r>
          </w:p>
        </w:tc>
      </w:tr>
      <w:tr w:rsidR="0003781B" w:rsidRPr="0003781B" w14:paraId="023C6594" w14:textId="77777777" w:rsidTr="0003781B">
        <w:trPr>
          <w:trHeight w:val="300"/>
          <w:jc w:val="center"/>
        </w:trPr>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17CCB7"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Estatal</w:t>
            </w:r>
          </w:p>
        </w:tc>
        <w:tc>
          <w:tcPr>
            <w:tcW w:w="3539" w:type="dxa"/>
            <w:tcBorders>
              <w:top w:val="nil"/>
              <w:left w:val="nil"/>
              <w:bottom w:val="single" w:sz="4" w:space="0" w:color="auto"/>
              <w:right w:val="single" w:sz="4" w:space="0" w:color="auto"/>
            </w:tcBorders>
            <w:shd w:val="clear" w:color="auto" w:fill="auto"/>
            <w:noWrap/>
            <w:vAlign w:val="center"/>
            <w:hideMark/>
          </w:tcPr>
          <w:p w14:paraId="72159352" w14:textId="77777777" w:rsidR="0003781B" w:rsidRPr="0003781B" w:rsidRDefault="0003781B" w:rsidP="0003781B">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PNG </w:t>
            </w:r>
          </w:p>
        </w:tc>
        <w:tc>
          <w:tcPr>
            <w:tcW w:w="2268" w:type="dxa"/>
            <w:tcBorders>
              <w:top w:val="nil"/>
              <w:left w:val="nil"/>
              <w:bottom w:val="single" w:sz="4" w:space="0" w:color="auto"/>
              <w:right w:val="single" w:sz="4" w:space="0" w:color="auto"/>
            </w:tcBorders>
            <w:shd w:val="clear" w:color="auto" w:fill="auto"/>
            <w:noWrap/>
            <w:vAlign w:val="bottom"/>
            <w:hideMark/>
          </w:tcPr>
          <w:p w14:paraId="40C1A0F5" w14:textId="77777777" w:rsidR="0003781B" w:rsidRPr="0003781B" w:rsidRDefault="0003781B" w:rsidP="0003781B">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64,123,846.63 </w:t>
            </w:r>
          </w:p>
        </w:tc>
        <w:tc>
          <w:tcPr>
            <w:tcW w:w="934" w:type="dxa"/>
            <w:tcBorders>
              <w:top w:val="nil"/>
              <w:left w:val="nil"/>
              <w:bottom w:val="single" w:sz="4" w:space="0" w:color="auto"/>
              <w:right w:val="single" w:sz="4" w:space="0" w:color="auto"/>
            </w:tcBorders>
            <w:shd w:val="clear" w:color="auto" w:fill="auto"/>
            <w:noWrap/>
            <w:vAlign w:val="bottom"/>
            <w:hideMark/>
          </w:tcPr>
          <w:p w14:paraId="5F48ADB2"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52.2%</w:t>
            </w:r>
          </w:p>
        </w:tc>
      </w:tr>
      <w:tr w:rsidR="0003781B" w:rsidRPr="0003781B" w14:paraId="16DD434A" w14:textId="77777777" w:rsidTr="0003781B">
        <w:trPr>
          <w:trHeight w:val="300"/>
          <w:jc w:val="center"/>
        </w:trPr>
        <w:tc>
          <w:tcPr>
            <w:tcW w:w="1600" w:type="dxa"/>
            <w:vMerge/>
            <w:tcBorders>
              <w:top w:val="nil"/>
              <w:left w:val="single" w:sz="4" w:space="0" w:color="auto"/>
              <w:bottom w:val="single" w:sz="4" w:space="0" w:color="auto"/>
              <w:right w:val="single" w:sz="4" w:space="0" w:color="auto"/>
            </w:tcBorders>
            <w:vAlign w:val="center"/>
            <w:hideMark/>
          </w:tcPr>
          <w:p w14:paraId="62117F0F" w14:textId="77777777" w:rsidR="0003781B" w:rsidRPr="0003781B" w:rsidRDefault="0003781B" w:rsidP="0003781B">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5444474E" w14:textId="77777777" w:rsidR="0003781B" w:rsidRPr="0003781B" w:rsidRDefault="0003781B" w:rsidP="0003781B">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Secretaria de Salud </w:t>
            </w:r>
          </w:p>
        </w:tc>
        <w:tc>
          <w:tcPr>
            <w:tcW w:w="2268" w:type="dxa"/>
            <w:tcBorders>
              <w:top w:val="nil"/>
              <w:left w:val="nil"/>
              <w:bottom w:val="single" w:sz="4" w:space="0" w:color="auto"/>
              <w:right w:val="single" w:sz="4" w:space="0" w:color="auto"/>
            </w:tcBorders>
            <w:shd w:val="clear" w:color="auto" w:fill="auto"/>
            <w:noWrap/>
            <w:vAlign w:val="bottom"/>
            <w:hideMark/>
          </w:tcPr>
          <w:p w14:paraId="5A70588C" w14:textId="77777777" w:rsidR="0003781B" w:rsidRPr="0003781B" w:rsidRDefault="0003781B" w:rsidP="0003781B">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1,435,146.42 </w:t>
            </w:r>
          </w:p>
        </w:tc>
        <w:tc>
          <w:tcPr>
            <w:tcW w:w="934" w:type="dxa"/>
            <w:tcBorders>
              <w:top w:val="nil"/>
              <w:left w:val="nil"/>
              <w:bottom w:val="single" w:sz="4" w:space="0" w:color="auto"/>
              <w:right w:val="single" w:sz="4" w:space="0" w:color="auto"/>
            </w:tcBorders>
            <w:shd w:val="clear" w:color="auto" w:fill="auto"/>
            <w:noWrap/>
            <w:vAlign w:val="bottom"/>
            <w:hideMark/>
          </w:tcPr>
          <w:p w14:paraId="2301CB34"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1.2%</w:t>
            </w:r>
          </w:p>
        </w:tc>
      </w:tr>
      <w:tr w:rsidR="0003781B" w:rsidRPr="0003781B" w14:paraId="0506B098" w14:textId="77777777" w:rsidTr="0003781B">
        <w:trPr>
          <w:trHeight w:val="300"/>
          <w:jc w:val="center"/>
        </w:trPr>
        <w:tc>
          <w:tcPr>
            <w:tcW w:w="51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B269B" w14:textId="77777777" w:rsidR="0003781B" w:rsidRPr="0003781B" w:rsidRDefault="0003781B" w:rsidP="0003781B">
            <w:pPr>
              <w:spacing w:after="0" w:line="240" w:lineRule="auto"/>
              <w:jc w:val="center"/>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Subtotal</w:t>
            </w:r>
          </w:p>
        </w:tc>
        <w:tc>
          <w:tcPr>
            <w:tcW w:w="2268" w:type="dxa"/>
            <w:tcBorders>
              <w:top w:val="nil"/>
              <w:left w:val="nil"/>
              <w:bottom w:val="single" w:sz="4" w:space="0" w:color="auto"/>
              <w:right w:val="single" w:sz="4" w:space="0" w:color="auto"/>
            </w:tcBorders>
            <w:shd w:val="clear" w:color="auto" w:fill="auto"/>
            <w:noWrap/>
            <w:vAlign w:val="bottom"/>
            <w:hideMark/>
          </w:tcPr>
          <w:p w14:paraId="46B4CF0A" w14:textId="77777777" w:rsidR="0003781B" w:rsidRPr="0003781B" w:rsidRDefault="0003781B" w:rsidP="0003781B">
            <w:pPr>
              <w:spacing w:after="0" w:line="240" w:lineRule="auto"/>
              <w:jc w:val="right"/>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 xml:space="preserve"> $        65,558,993.05 </w:t>
            </w:r>
          </w:p>
        </w:tc>
        <w:tc>
          <w:tcPr>
            <w:tcW w:w="934" w:type="dxa"/>
            <w:tcBorders>
              <w:top w:val="nil"/>
              <w:left w:val="nil"/>
              <w:bottom w:val="single" w:sz="4" w:space="0" w:color="auto"/>
              <w:right w:val="single" w:sz="4" w:space="0" w:color="auto"/>
            </w:tcBorders>
            <w:shd w:val="clear" w:color="auto" w:fill="auto"/>
            <w:noWrap/>
            <w:vAlign w:val="bottom"/>
            <w:hideMark/>
          </w:tcPr>
          <w:p w14:paraId="21779E75" w14:textId="77777777" w:rsidR="0003781B" w:rsidRPr="0003781B" w:rsidRDefault="0003781B" w:rsidP="0003781B">
            <w:pPr>
              <w:spacing w:after="0" w:line="240" w:lineRule="auto"/>
              <w:jc w:val="center"/>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53.4%</w:t>
            </w:r>
          </w:p>
        </w:tc>
      </w:tr>
      <w:tr w:rsidR="0003781B" w:rsidRPr="0003781B" w14:paraId="5CF61500" w14:textId="77777777" w:rsidTr="0003781B">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6CB172A2"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Municipal</w:t>
            </w:r>
          </w:p>
        </w:tc>
        <w:tc>
          <w:tcPr>
            <w:tcW w:w="3539" w:type="dxa"/>
            <w:tcBorders>
              <w:top w:val="nil"/>
              <w:left w:val="nil"/>
              <w:bottom w:val="single" w:sz="4" w:space="0" w:color="auto"/>
              <w:right w:val="single" w:sz="4" w:space="0" w:color="auto"/>
            </w:tcBorders>
            <w:shd w:val="clear" w:color="auto" w:fill="auto"/>
            <w:noWrap/>
            <w:vAlign w:val="center"/>
            <w:hideMark/>
          </w:tcPr>
          <w:p w14:paraId="6E87B2A0" w14:textId="77777777" w:rsidR="0003781B" w:rsidRPr="0003781B" w:rsidRDefault="0003781B" w:rsidP="0003781B">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Aportación Municipal</w:t>
            </w:r>
          </w:p>
        </w:tc>
        <w:tc>
          <w:tcPr>
            <w:tcW w:w="2268" w:type="dxa"/>
            <w:tcBorders>
              <w:top w:val="nil"/>
              <w:left w:val="nil"/>
              <w:bottom w:val="single" w:sz="4" w:space="0" w:color="auto"/>
              <w:right w:val="single" w:sz="4" w:space="0" w:color="auto"/>
            </w:tcBorders>
            <w:shd w:val="clear" w:color="auto" w:fill="auto"/>
            <w:noWrap/>
            <w:vAlign w:val="bottom"/>
            <w:hideMark/>
          </w:tcPr>
          <w:p w14:paraId="66DC950A" w14:textId="77777777" w:rsidR="0003781B" w:rsidRPr="0003781B" w:rsidRDefault="0003781B" w:rsidP="0003781B">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3,441,182.34 </w:t>
            </w:r>
          </w:p>
        </w:tc>
        <w:tc>
          <w:tcPr>
            <w:tcW w:w="934" w:type="dxa"/>
            <w:tcBorders>
              <w:top w:val="nil"/>
              <w:left w:val="nil"/>
              <w:bottom w:val="single" w:sz="4" w:space="0" w:color="auto"/>
              <w:right w:val="single" w:sz="4" w:space="0" w:color="auto"/>
            </w:tcBorders>
            <w:shd w:val="clear" w:color="auto" w:fill="auto"/>
            <w:noWrap/>
            <w:vAlign w:val="bottom"/>
            <w:hideMark/>
          </w:tcPr>
          <w:p w14:paraId="374E96A5"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2.8%</w:t>
            </w:r>
          </w:p>
        </w:tc>
      </w:tr>
      <w:tr w:rsidR="0003781B" w:rsidRPr="0003781B" w14:paraId="2956884A" w14:textId="77777777" w:rsidTr="0003781B">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679091C4"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Donación</w:t>
            </w:r>
          </w:p>
        </w:tc>
        <w:tc>
          <w:tcPr>
            <w:tcW w:w="3539" w:type="dxa"/>
            <w:tcBorders>
              <w:top w:val="nil"/>
              <w:left w:val="nil"/>
              <w:bottom w:val="single" w:sz="4" w:space="0" w:color="auto"/>
              <w:right w:val="single" w:sz="4" w:space="0" w:color="auto"/>
            </w:tcBorders>
            <w:shd w:val="clear" w:color="auto" w:fill="auto"/>
            <w:noWrap/>
            <w:vAlign w:val="center"/>
            <w:hideMark/>
          </w:tcPr>
          <w:p w14:paraId="3034F434" w14:textId="77777777" w:rsidR="0003781B" w:rsidRPr="0003781B" w:rsidRDefault="0003781B" w:rsidP="0003781B">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Embajada de Japón</w:t>
            </w:r>
          </w:p>
        </w:tc>
        <w:tc>
          <w:tcPr>
            <w:tcW w:w="2268" w:type="dxa"/>
            <w:tcBorders>
              <w:top w:val="nil"/>
              <w:left w:val="nil"/>
              <w:bottom w:val="single" w:sz="4" w:space="0" w:color="auto"/>
              <w:right w:val="single" w:sz="4" w:space="0" w:color="auto"/>
            </w:tcBorders>
            <w:shd w:val="clear" w:color="auto" w:fill="auto"/>
            <w:noWrap/>
            <w:vAlign w:val="bottom"/>
            <w:hideMark/>
          </w:tcPr>
          <w:p w14:paraId="7A894D39" w14:textId="77777777" w:rsidR="0003781B" w:rsidRPr="0003781B" w:rsidRDefault="0003781B" w:rsidP="0003781B">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1,764,668.51 </w:t>
            </w:r>
          </w:p>
        </w:tc>
        <w:tc>
          <w:tcPr>
            <w:tcW w:w="934" w:type="dxa"/>
            <w:tcBorders>
              <w:top w:val="nil"/>
              <w:left w:val="nil"/>
              <w:bottom w:val="single" w:sz="4" w:space="0" w:color="auto"/>
              <w:right w:val="single" w:sz="4" w:space="0" w:color="auto"/>
            </w:tcBorders>
            <w:shd w:val="clear" w:color="auto" w:fill="auto"/>
            <w:noWrap/>
            <w:vAlign w:val="bottom"/>
            <w:hideMark/>
          </w:tcPr>
          <w:p w14:paraId="006477DA" w14:textId="77777777" w:rsidR="0003781B" w:rsidRPr="0003781B" w:rsidRDefault="0003781B" w:rsidP="0003781B">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1.4%</w:t>
            </w:r>
          </w:p>
        </w:tc>
      </w:tr>
      <w:tr w:rsidR="0003781B" w:rsidRPr="0003781B" w14:paraId="166B1565" w14:textId="77777777" w:rsidTr="0003781B">
        <w:trPr>
          <w:trHeight w:val="300"/>
          <w:jc w:val="center"/>
        </w:trPr>
        <w:tc>
          <w:tcPr>
            <w:tcW w:w="51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74B29" w14:textId="77777777" w:rsidR="0003781B" w:rsidRPr="0003781B" w:rsidRDefault="0003781B" w:rsidP="0003781B">
            <w:pPr>
              <w:spacing w:after="0" w:line="240" w:lineRule="auto"/>
              <w:jc w:val="center"/>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Total</w:t>
            </w:r>
          </w:p>
        </w:tc>
        <w:tc>
          <w:tcPr>
            <w:tcW w:w="2268" w:type="dxa"/>
            <w:tcBorders>
              <w:top w:val="nil"/>
              <w:left w:val="nil"/>
              <w:bottom w:val="single" w:sz="4" w:space="0" w:color="auto"/>
              <w:right w:val="single" w:sz="4" w:space="0" w:color="auto"/>
            </w:tcBorders>
            <w:shd w:val="clear" w:color="auto" w:fill="auto"/>
            <w:noWrap/>
            <w:vAlign w:val="bottom"/>
            <w:hideMark/>
          </w:tcPr>
          <w:p w14:paraId="4DCB48AC" w14:textId="77777777" w:rsidR="0003781B" w:rsidRPr="0003781B" w:rsidRDefault="0003781B" w:rsidP="0003781B">
            <w:pPr>
              <w:spacing w:after="0" w:line="240" w:lineRule="auto"/>
              <w:jc w:val="right"/>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 xml:space="preserve"> $     122,863,187.57 </w:t>
            </w:r>
          </w:p>
        </w:tc>
        <w:tc>
          <w:tcPr>
            <w:tcW w:w="934" w:type="dxa"/>
            <w:tcBorders>
              <w:top w:val="nil"/>
              <w:left w:val="nil"/>
              <w:bottom w:val="single" w:sz="4" w:space="0" w:color="auto"/>
              <w:right w:val="single" w:sz="4" w:space="0" w:color="auto"/>
            </w:tcBorders>
            <w:shd w:val="clear" w:color="auto" w:fill="auto"/>
            <w:noWrap/>
            <w:vAlign w:val="bottom"/>
            <w:hideMark/>
          </w:tcPr>
          <w:p w14:paraId="0AAFD42A" w14:textId="77777777" w:rsidR="0003781B" w:rsidRPr="0003781B" w:rsidRDefault="0003781B" w:rsidP="0003781B">
            <w:pPr>
              <w:spacing w:after="0" w:line="240" w:lineRule="auto"/>
              <w:jc w:val="center"/>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100%</w:t>
            </w:r>
          </w:p>
        </w:tc>
      </w:tr>
      <w:tr w:rsidR="0003781B" w:rsidRPr="0003781B" w14:paraId="699F7D42" w14:textId="77777777" w:rsidTr="0003781B">
        <w:trPr>
          <w:trHeight w:val="300"/>
          <w:jc w:val="center"/>
        </w:trPr>
        <w:tc>
          <w:tcPr>
            <w:tcW w:w="834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2077C5" w14:textId="77777777" w:rsidR="0003781B" w:rsidRPr="0003781B" w:rsidRDefault="0003781B" w:rsidP="0003781B">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Fuente: elaborado por TECSO con base al informe “Resumen Obras 2017” suministrado por la Dependencia</w:t>
            </w:r>
          </w:p>
        </w:tc>
      </w:tr>
    </w:tbl>
    <w:p w14:paraId="26952BC3" w14:textId="77777777" w:rsidR="00033188" w:rsidRPr="00D71B2E" w:rsidRDefault="00033188" w:rsidP="00E57119">
      <w:pPr>
        <w:spacing w:after="240"/>
        <w:jc w:val="both"/>
        <w:rPr>
          <w:rFonts w:ascii="Century Gothic" w:hAnsi="Century Gothic"/>
          <w:sz w:val="4"/>
          <w:szCs w:val="24"/>
        </w:rPr>
      </w:pPr>
    </w:p>
    <w:p w14:paraId="43BCA910" w14:textId="77777777" w:rsidR="00D71B2E" w:rsidRPr="00033188" w:rsidRDefault="00B14BD2" w:rsidP="00E57119">
      <w:pPr>
        <w:spacing w:after="240"/>
        <w:jc w:val="both"/>
        <w:rPr>
          <w:rFonts w:ascii="Century Gothic" w:hAnsi="Century Gothic"/>
          <w:sz w:val="24"/>
          <w:szCs w:val="24"/>
        </w:rPr>
      </w:pPr>
      <w:r>
        <w:rPr>
          <w:rFonts w:ascii="Century Gothic" w:hAnsi="Century Gothic"/>
          <w:sz w:val="24"/>
          <w:szCs w:val="24"/>
        </w:rPr>
        <w:t>Como se puede observar el origen de los recursos es similar entre lo Estatal y Federal, lo que refleja una adecuada planeación de los recursos, pues para llevar a cabo las obras de este programa se utilizaron recursos de diversos fondos o convenios federales, representando el 42.4% de la inversión; así como recursos estatales por el 53.4%. También se destaca las aportaciones municipales pues esto refleja el trabajo en conjunto con los diferentes niveles de gobierno en pro de un objetivo en beneficio hacia la población.</w:t>
      </w:r>
    </w:p>
    <w:p w14:paraId="37AEA0C2" w14:textId="77777777" w:rsidR="00E57119" w:rsidRDefault="0003781B" w:rsidP="00E57119">
      <w:pPr>
        <w:spacing w:after="240"/>
        <w:jc w:val="both"/>
        <w:rPr>
          <w:rFonts w:ascii="Century Gothic" w:hAnsi="Century Gothic"/>
          <w:sz w:val="24"/>
          <w:szCs w:val="24"/>
          <w:lang w:val="es-ES_tradnl"/>
        </w:rPr>
      </w:pPr>
      <w:r>
        <w:rPr>
          <w:rFonts w:ascii="Century Gothic" w:hAnsi="Century Gothic"/>
          <w:sz w:val="24"/>
          <w:szCs w:val="24"/>
          <w:lang w:val="es-ES_tradnl"/>
        </w:rPr>
        <w:t>Referente a la inversión, e</w:t>
      </w:r>
      <w:r w:rsidR="007E58C2">
        <w:rPr>
          <w:rFonts w:ascii="Century Gothic" w:hAnsi="Century Gothic"/>
          <w:sz w:val="24"/>
          <w:szCs w:val="24"/>
          <w:lang w:val="es-ES_tradnl"/>
        </w:rPr>
        <w:t xml:space="preserve">stos recursos se </w:t>
      </w:r>
      <w:r>
        <w:rPr>
          <w:rFonts w:ascii="Century Gothic" w:hAnsi="Century Gothic"/>
          <w:sz w:val="24"/>
          <w:szCs w:val="24"/>
          <w:lang w:val="es-ES_tradnl"/>
        </w:rPr>
        <w:t>destinaron a</w:t>
      </w:r>
      <w:r w:rsidR="007E58C2">
        <w:rPr>
          <w:rFonts w:ascii="Century Gothic" w:hAnsi="Century Gothic"/>
          <w:sz w:val="24"/>
          <w:szCs w:val="24"/>
          <w:lang w:val="es-ES_tradnl"/>
        </w:rPr>
        <w:t xml:space="preserve"> distintas obras en el transcurso del ejercicio y dado la variedad de estas</w:t>
      </w:r>
      <w:r>
        <w:rPr>
          <w:rFonts w:ascii="Century Gothic" w:hAnsi="Century Gothic"/>
          <w:sz w:val="24"/>
          <w:szCs w:val="24"/>
          <w:lang w:val="es-ES_tradnl"/>
        </w:rPr>
        <w:t>,</w:t>
      </w:r>
      <w:r w:rsidR="007E58C2">
        <w:rPr>
          <w:rFonts w:ascii="Century Gothic" w:hAnsi="Century Gothic"/>
          <w:sz w:val="24"/>
          <w:szCs w:val="24"/>
          <w:lang w:val="es-ES_tradnl"/>
        </w:rPr>
        <w:t xml:space="preserve"> para tener mayor claridad en </w:t>
      </w:r>
      <w:r>
        <w:rPr>
          <w:rFonts w:ascii="Century Gothic" w:hAnsi="Century Gothic"/>
          <w:sz w:val="24"/>
          <w:szCs w:val="24"/>
          <w:lang w:val="es-ES_tradnl"/>
        </w:rPr>
        <w:t>las</w:t>
      </w:r>
      <w:r w:rsidR="007E58C2">
        <w:rPr>
          <w:rFonts w:ascii="Century Gothic" w:hAnsi="Century Gothic"/>
          <w:sz w:val="24"/>
          <w:szCs w:val="24"/>
          <w:lang w:val="es-ES_tradnl"/>
        </w:rPr>
        <w:t xml:space="preserve"> obras que se </w:t>
      </w:r>
      <w:r>
        <w:rPr>
          <w:rFonts w:ascii="Century Gothic" w:hAnsi="Century Gothic"/>
          <w:sz w:val="24"/>
          <w:szCs w:val="24"/>
          <w:lang w:val="es-ES_tradnl"/>
        </w:rPr>
        <w:t>realizaron</w:t>
      </w:r>
      <w:r w:rsidR="007E58C2">
        <w:rPr>
          <w:rFonts w:ascii="Century Gothic" w:hAnsi="Century Gothic"/>
          <w:sz w:val="24"/>
          <w:szCs w:val="24"/>
          <w:lang w:val="es-ES_tradnl"/>
        </w:rPr>
        <w:t xml:space="preserve"> </w:t>
      </w:r>
      <w:r>
        <w:rPr>
          <w:rFonts w:ascii="Century Gothic" w:hAnsi="Century Gothic"/>
          <w:sz w:val="24"/>
          <w:szCs w:val="24"/>
          <w:lang w:val="es-ES_tradnl"/>
        </w:rPr>
        <w:t xml:space="preserve">estas </w:t>
      </w:r>
      <w:r w:rsidR="007E58C2">
        <w:rPr>
          <w:rFonts w:ascii="Century Gothic" w:hAnsi="Century Gothic"/>
          <w:sz w:val="24"/>
          <w:szCs w:val="24"/>
          <w:lang w:val="es-ES_tradnl"/>
        </w:rPr>
        <w:t>se clasificaron por tipo y montos, tal como se muestra en el siguiente cuadro:</w:t>
      </w:r>
    </w:p>
    <w:p w14:paraId="4159F311" w14:textId="77777777" w:rsidR="00B14BD2" w:rsidRDefault="00B14BD2" w:rsidP="00E57119">
      <w:pPr>
        <w:spacing w:after="240"/>
        <w:jc w:val="both"/>
        <w:rPr>
          <w:rFonts w:ascii="Century Gothic" w:hAnsi="Century Gothic"/>
          <w:sz w:val="24"/>
          <w:szCs w:val="24"/>
          <w:lang w:val="es-ES_tradnl"/>
        </w:rPr>
      </w:pPr>
    </w:p>
    <w:tbl>
      <w:tblPr>
        <w:tblW w:w="5000" w:type="pct"/>
        <w:tblLayout w:type="fixed"/>
        <w:tblCellMar>
          <w:left w:w="70" w:type="dxa"/>
          <w:right w:w="70" w:type="dxa"/>
        </w:tblCellMar>
        <w:tblLook w:val="04A0" w:firstRow="1" w:lastRow="0" w:firstColumn="1" w:lastColumn="0" w:noHBand="0" w:noVBand="1"/>
      </w:tblPr>
      <w:tblGrid>
        <w:gridCol w:w="1302"/>
        <w:gridCol w:w="2378"/>
        <w:gridCol w:w="12"/>
        <w:gridCol w:w="1815"/>
        <w:gridCol w:w="2089"/>
        <w:gridCol w:w="1232"/>
      </w:tblGrid>
      <w:tr w:rsidR="00AB62A9" w:rsidRPr="00AB62A9" w14:paraId="3B5DA052" w14:textId="77777777" w:rsidTr="0003781B">
        <w:trPr>
          <w:trHeight w:val="300"/>
          <w:tblHeader/>
        </w:trPr>
        <w:tc>
          <w:tcPr>
            <w:tcW w:w="5000" w:type="pct"/>
            <w:gridSpan w:val="6"/>
            <w:tcBorders>
              <w:top w:val="single" w:sz="4" w:space="0" w:color="auto"/>
              <w:left w:val="single" w:sz="4" w:space="0" w:color="auto"/>
              <w:bottom w:val="single" w:sz="4" w:space="0" w:color="auto"/>
              <w:right w:val="single" w:sz="4" w:space="0" w:color="auto"/>
            </w:tcBorders>
            <w:shd w:val="clear" w:color="000000" w:fill="0E4E7A"/>
            <w:vAlign w:val="bottom"/>
            <w:hideMark/>
          </w:tcPr>
          <w:p w14:paraId="32CE9CAE" w14:textId="77777777" w:rsidR="00AB62A9" w:rsidRPr="00AB62A9" w:rsidRDefault="003E3B3D" w:rsidP="00AB62A9">
            <w:pPr>
              <w:spacing w:after="0" w:line="240" w:lineRule="auto"/>
              <w:jc w:val="center"/>
              <w:rPr>
                <w:rFonts w:eastAsia="Times New Roman" w:cstheme="minorHAnsi"/>
                <w:b/>
                <w:bCs/>
                <w:color w:val="FFFFFF"/>
                <w:sz w:val="20"/>
                <w:szCs w:val="20"/>
                <w:lang w:eastAsia="es-MX"/>
              </w:rPr>
            </w:pPr>
            <w:r>
              <w:rPr>
                <w:rFonts w:eastAsia="Times New Roman" w:cstheme="minorHAnsi"/>
                <w:b/>
                <w:bCs/>
                <w:color w:val="FFFFFF"/>
                <w:sz w:val="20"/>
                <w:szCs w:val="20"/>
                <w:lang w:eastAsia="es-MX"/>
              </w:rPr>
              <w:t>Cuadro 2.3</w:t>
            </w:r>
            <w:r w:rsidR="00AB62A9" w:rsidRPr="00AB62A9">
              <w:rPr>
                <w:rFonts w:eastAsia="Times New Roman" w:cstheme="minorHAnsi"/>
                <w:b/>
                <w:bCs/>
                <w:color w:val="FFFFFF"/>
                <w:sz w:val="20"/>
                <w:szCs w:val="20"/>
                <w:lang w:eastAsia="es-MX"/>
              </w:rPr>
              <w:t>. Inversión realizada en el Programa Infraestructura no Habitacional, SEIDUR 2017</w:t>
            </w:r>
          </w:p>
        </w:tc>
      </w:tr>
      <w:tr w:rsidR="00AB62A9" w:rsidRPr="00AB62A9" w14:paraId="06EF5980" w14:textId="77777777" w:rsidTr="00B14BD2">
        <w:trPr>
          <w:trHeight w:val="147"/>
          <w:tblHeader/>
        </w:trPr>
        <w:tc>
          <w:tcPr>
            <w:tcW w:w="737" w:type="pct"/>
            <w:tcBorders>
              <w:top w:val="nil"/>
              <w:left w:val="single" w:sz="4" w:space="0" w:color="auto"/>
              <w:bottom w:val="single" w:sz="4" w:space="0" w:color="auto"/>
              <w:right w:val="single" w:sz="4" w:space="0" w:color="auto"/>
            </w:tcBorders>
            <w:shd w:val="clear" w:color="000000" w:fill="0E4E7A"/>
            <w:noWrap/>
            <w:vAlign w:val="bottom"/>
            <w:hideMark/>
          </w:tcPr>
          <w:p w14:paraId="11DC2CDA" w14:textId="77777777" w:rsidR="00AB62A9" w:rsidRPr="00AB62A9" w:rsidRDefault="00AB62A9" w:rsidP="00AB62A9">
            <w:pPr>
              <w:spacing w:after="0" w:line="240" w:lineRule="auto"/>
              <w:jc w:val="center"/>
              <w:rPr>
                <w:rFonts w:eastAsia="Times New Roman" w:cstheme="minorHAnsi"/>
                <w:b/>
                <w:bCs/>
                <w:color w:val="FFFFFF"/>
                <w:sz w:val="20"/>
                <w:szCs w:val="20"/>
                <w:lang w:eastAsia="es-MX"/>
              </w:rPr>
            </w:pPr>
            <w:r w:rsidRPr="00AB62A9">
              <w:rPr>
                <w:rFonts w:eastAsia="Times New Roman" w:cstheme="minorHAnsi"/>
                <w:b/>
                <w:bCs/>
                <w:color w:val="FFFFFF"/>
                <w:sz w:val="20"/>
                <w:szCs w:val="20"/>
                <w:lang w:eastAsia="es-MX"/>
              </w:rPr>
              <w:t>Clasificación</w:t>
            </w:r>
          </w:p>
        </w:tc>
        <w:tc>
          <w:tcPr>
            <w:tcW w:w="1354" w:type="pct"/>
            <w:gridSpan w:val="2"/>
            <w:tcBorders>
              <w:top w:val="nil"/>
              <w:left w:val="nil"/>
              <w:bottom w:val="single" w:sz="4" w:space="0" w:color="auto"/>
              <w:right w:val="single" w:sz="4" w:space="0" w:color="auto"/>
            </w:tcBorders>
            <w:shd w:val="clear" w:color="000000" w:fill="0E4E7A"/>
            <w:noWrap/>
            <w:vAlign w:val="bottom"/>
            <w:hideMark/>
          </w:tcPr>
          <w:p w14:paraId="46B1707A" w14:textId="77777777" w:rsidR="00AB62A9" w:rsidRPr="00AB62A9" w:rsidRDefault="00AB62A9" w:rsidP="00AB62A9">
            <w:pPr>
              <w:spacing w:after="0" w:line="240" w:lineRule="auto"/>
              <w:jc w:val="center"/>
              <w:rPr>
                <w:rFonts w:eastAsia="Times New Roman" w:cstheme="minorHAnsi"/>
                <w:b/>
                <w:bCs/>
                <w:color w:val="FFFFFF"/>
                <w:sz w:val="20"/>
                <w:szCs w:val="20"/>
                <w:lang w:eastAsia="es-MX"/>
              </w:rPr>
            </w:pPr>
            <w:r w:rsidRPr="00AB62A9">
              <w:rPr>
                <w:rFonts w:eastAsia="Times New Roman" w:cstheme="minorHAnsi"/>
                <w:b/>
                <w:bCs/>
                <w:color w:val="FFFFFF"/>
                <w:sz w:val="20"/>
                <w:szCs w:val="20"/>
                <w:lang w:eastAsia="es-MX"/>
              </w:rPr>
              <w:t>Subclasificación</w:t>
            </w:r>
          </w:p>
        </w:tc>
        <w:tc>
          <w:tcPr>
            <w:tcW w:w="1028" w:type="pct"/>
            <w:tcBorders>
              <w:top w:val="nil"/>
              <w:left w:val="nil"/>
              <w:bottom w:val="single" w:sz="4" w:space="0" w:color="auto"/>
              <w:right w:val="single" w:sz="4" w:space="0" w:color="auto"/>
            </w:tcBorders>
            <w:shd w:val="clear" w:color="000000" w:fill="0E4E7A"/>
            <w:noWrap/>
            <w:vAlign w:val="center"/>
            <w:hideMark/>
          </w:tcPr>
          <w:p w14:paraId="2034C486" w14:textId="77777777" w:rsidR="00AB62A9" w:rsidRPr="00AB62A9" w:rsidRDefault="00AB62A9" w:rsidP="00AB62A9">
            <w:pPr>
              <w:spacing w:after="0" w:line="240" w:lineRule="auto"/>
              <w:jc w:val="center"/>
              <w:rPr>
                <w:rFonts w:eastAsia="Times New Roman" w:cstheme="minorHAnsi"/>
                <w:b/>
                <w:bCs/>
                <w:color w:val="FFFFFF"/>
                <w:sz w:val="20"/>
                <w:szCs w:val="20"/>
                <w:lang w:eastAsia="es-MX"/>
              </w:rPr>
            </w:pPr>
            <w:r w:rsidRPr="00AB62A9">
              <w:rPr>
                <w:rFonts w:eastAsia="Times New Roman" w:cstheme="minorHAnsi"/>
                <w:b/>
                <w:bCs/>
                <w:color w:val="FFFFFF"/>
                <w:sz w:val="20"/>
                <w:szCs w:val="20"/>
                <w:lang w:eastAsia="es-MX"/>
              </w:rPr>
              <w:t xml:space="preserve">Tipo </w:t>
            </w:r>
          </w:p>
        </w:tc>
        <w:tc>
          <w:tcPr>
            <w:tcW w:w="1183" w:type="pct"/>
            <w:tcBorders>
              <w:top w:val="nil"/>
              <w:left w:val="nil"/>
              <w:bottom w:val="single" w:sz="4" w:space="0" w:color="auto"/>
              <w:right w:val="single" w:sz="4" w:space="0" w:color="auto"/>
            </w:tcBorders>
            <w:shd w:val="clear" w:color="000000" w:fill="0E4E7A"/>
            <w:noWrap/>
            <w:vAlign w:val="bottom"/>
            <w:hideMark/>
          </w:tcPr>
          <w:p w14:paraId="2364181B" w14:textId="77777777" w:rsidR="00AB62A9" w:rsidRPr="00AB62A9" w:rsidRDefault="00AB62A9" w:rsidP="00AB62A9">
            <w:pPr>
              <w:spacing w:after="0" w:line="240" w:lineRule="auto"/>
              <w:jc w:val="center"/>
              <w:rPr>
                <w:rFonts w:eastAsia="Times New Roman" w:cstheme="minorHAnsi"/>
                <w:b/>
                <w:bCs/>
                <w:color w:val="FFFFFF"/>
                <w:sz w:val="20"/>
                <w:szCs w:val="20"/>
                <w:lang w:eastAsia="es-MX"/>
              </w:rPr>
            </w:pPr>
            <w:r w:rsidRPr="00AB62A9">
              <w:rPr>
                <w:rFonts w:eastAsia="Times New Roman" w:cstheme="minorHAnsi"/>
                <w:b/>
                <w:bCs/>
                <w:color w:val="FFFFFF"/>
                <w:sz w:val="20"/>
                <w:szCs w:val="20"/>
                <w:lang w:eastAsia="es-MX"/>
              </w:rPr>
              <w:t xml:space="preserve"> Monto </w:t>
            </w:r>
          </w:p>
        </w:tc>
        <w:tc>
          <w:tcPr>
            <w:tcW w:w="698" w:type="pct"/>
            <w:tcBorders>
              <w:top w:val="nil"/>
              <w:left w:val="nil"/>
              <w:bottom w:val="single" w:sz="4" w:space="0" w:color="auto"/>
              <w:right w:val="single" w:sz="4" w:space="0" w:color="auto"/>
            </w:tcBorders>
            <w:shd w:val="clear" w:color="000000" w:fill="0E4E7A"/>
            <w:noWrap/>
            <w:vAlign w:val="bottom"/>
            <w:hideMark/>
          </w:tcPr>
          <w:p w14:paraId="51FD8BF7" w14:textId="77777777" w:rsidR="00AB62A9" w:rsidRPr="00AB62A9" w:rsidRDefault="00AB62A9" w:rsidP="00AB62A9">
            <w:pPr>
              <w:spacing w:after="0" w:line="240" w:lineRule="auto"/>
              <w:jc w:val="center"/>
              <w:rPr>
                <w:rFonts w:eastAsia="Times New Roman" w:cstheme="minorHAnsi"/>
                <w:b/>
                <w:bCs/>
                <w:color w:val="FFFFFF"/>
                <w:sz w:val="20"/>
                <w:szCs w:val="20"/>
                <w:lang w:eastAsia="es-MX"/>
              </w:rPr>
            </w:pPr>
            <w:r w:rsidRPr="00AB62A9">
              <w:rPr>
                <w:rFonts w:eastAsia="Times New Roman" w:cstheme="minorHAnsi"/>
                <w:b/>
                <w:bCs/>
                <w:color w:val="FFFFFF"/>
                <w:sz w:val="20"/>
                <w:szCs w:val="20"/>
                <w:lang w:eastAsia="es-MX"/>
              </w:rPr>
              <w:t xml:space="preserve"> % Inversión </w:t>
            </w:r>
          </w:p>
        </w:tc>
      </w:tr>
      <w:tr w:rsidR="00AB62A9" w:rsidRPr="00AB62A9" w14:paraId="0DF0EC2D" w14:textId="77777777" w:rsidTr="00B14BD2">
        <w:trPr>
          <w:trHeight w:val="300"/>
        </w:trPr>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27494404"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Estudios</w:t>
            </w:r>
          </w:p>
        </w:tc>
        <w:tc>
          <w:tcPr>
            <w:tcW w:w="135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0C30FFD"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Estudios</w:t>
            </w:r>
          </w:p>
        </w:tc>
        <w:tc>
          <w:tcPr>
            <w:tcW w:w="1028" w:type="pct"/>
            <w:tcBorders>
              <w:top w:val="nil"/>
              <w:left w:val="nil"/>
              <w:bottom w:val="single" w:sz="4" w:space="0" w:color="auto"/>
              <w:right w:val="single" w:sz="4" w:space="0" w:color="auto"/>
            </w:tcBorders>
            <w:shd w:val="clear" w:color="auto" w:fill="auto"/>
            <w:noWrap/>
            <w:vAlign w:val="center"/>
            <w:hideMark/>
          </w:tcPr>
          <w:p w14:paraId="16494224"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Estudios</w:t>
            </w:r>
          </w:p>
        </w:tc>
        <w:tc>
          <w:tcPr>
            <w:tcW w:w="1183" w:type="pct"/>
            <w:tcBorders>
              <w:top w:val="nil"/>
              <w:left w:val="nil"/>
              <w:bottom w:val="single" w:sz="4" w:space="0" w:color="auto"/>
              <w:right w:val="single" w:sz="4" w:space="0" w:color="auto"/>
            </w:tcBorders>
            <w:shd w:val="clear" w:color="auto" w:fill="auto"/>
            <w:noWrap/>
            <w:vAlign w:val="center"/>
            <w:hideMark/>
          </w:tcPr>
          <w:p w14:paraId="137B21C4"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3,494,414.66 </w:t>
            </w:r>
          </w:p>
        </w:tc>
        <w:tc>
          <w:tcPr>
            <w:tcW w:w="698" w:type="pct"/>
            <w:tcBorders>
              <w:top w:val="nil"/>
              <w:left w:val="nil"/>
              <w:bottom w:val="single" w:sz="4" w:space="0" w:color="auto"/>
              <w:right w:val="single" w:sz="4" w:space="0" w:color="auto"/>
            </w:tcBorders>
            <w:shd w:val="clear" w:color="auto" w:fill="auto"/>
            <w:noWrap/>
            <w:vAlign w:val="center"/>
            <w:hideMark/>
          </w:tcPr>
          <w:p w14:paraId="75CB2900"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2.8%</w:t>
            </w:r>
          </w:p>
        </w:tc>
      </w:tr>
      <w:tr w:rsidR="00AB62A9" w:rsidRPr="00AB62A9" w14:paraId="03BA192C"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6EA12188"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354" w:type="pct"/>
            <w:gridSpan w:val="2"/>
            <w:vMerge/>
            <w:tcBorders>
              <w:top w:val="nil"/>
              <w:left w:val="single" w:sz="4" w:space="0" w:color="auto"/>
              <w:bottom w:val="single" w:sz="4" w:space="0" w:color="auto"/>
              <w:right w:val="single" w:sz="4" w:space="0" w:color="auto"/>
            </w:tcBorders>
            <w:vAlign w:val="center"/>
            <w:hideMark/>
          </w:tcPr>
          <w:p w14:paraId="36905E89"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028" w:type="pct"/>
            <w:tcBorders>
              <w:top w:val="nil"/>
              <w:left w:val="nil"/>
              <w:bottom w:val="single" w:sz="4" w:space="0" w:color="auto"/>
              <w:right w:val="single" w:sz="4" w:space="0" w:color="auto"/>
            </w:tcBorders>
            <w:shd w:val="clear" w:color="auto" w:fill="auto"/>
            <w:noWrap/>
            <w:vAlign w:val="center"/>
            <w:hideMark/>
          </w:tcPr>
          <w:p w14:paraId="5B87789F"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Sistema Control</w:t>
            </w:r>
          </w:p>
        </w:tc>
        <w:tc>
          <w:tcPr>
            <w:tcW w:w="1183" w:type="pct"/>
            <w:tcBorders>
              <w:top w:val="nil"/>
              <w:left w:val="nil"/>
              <w:bottom w:val="single" w:sz="4" w:space="0" w:color="auto"/>
              <w:right w:val="single" w:sz="4" w:space="0" w:color="auto"/>
            </w:tcBorders>
            <w:shd w:val="clear" w:color="auto" w:fill="auto"/>
            <w:noWrap/>
            <w:vAlign w:val="center"/>
            <w:hideMark/>
          </w:tcPr>
          <w:p w14:paraId="772B5735"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4,635,691.40 </w:t>
            </w:r>
          </w:p>
        </w:tc>
        <w:tc>
          <w:tcPr>
            <w:tcW w:w="698" w:type="pct"/>
            <w:tcBorders>
              <w:top w:val="nil"/>
              <w:left w:val="nil"/>
              <w:bottom w:val="single" w:sz="4" w:space="0" w:color="auto"/>
              <w:right w:val="single" w:sz="4" w:space="0" w:color="auto"/>
            </w:tcBorders>
            <w:shd w:val="clear" w:color="auto" w:fill="auto"/>
            <w:noWrap/>
            <w:vAlign w:val="center"/>
            <w:hideMark/>
          </w:tcPr>
          <w:p w14:paraId="54BD783A"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3.8%</w:t>
            </w:r>
          </w:p>
        </w:tc>
      </w:tr>
      <w:tr w:rsidR="00AB62A9" w:rsidRPr="00AB62A9" w14:paraId="13E12CEC" w14:textId="77777777" w:rsidTr="00B14BD2">
        <w:trPr>
          <w:trHeight w:val="130"/>
        </w:trPr>
        <w:tc>
          <w:tcPr>
            <w:tcW w:w="737" w:type="pct"/>
            <w:vMerge/>
            <w:tcBorders>
              <w:top w:val="nil"/>
              <w:left w:val="single" w:sz="4" w:space="0" w:color="auto"/>
              <w:bottom w:val="single" w:sz="4" w:space="0" w:color="auto"/>
              <w:right w:val="single" w:sz="4" w:space="0" w:color="auto"/>
            </w:tcBorders>
            <w:vAlign w:val="center"/>
            <w:hideMark/>
          </w:tcPr>
          <w:p w14:paraId="15646722"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354" w:type="pct"/>
            <w:gridSpan w:val="2"/>
            <w:vMerge/>
            <w:tcBorders>
              <w:top w:val="nil"/>
              <w:left w:val="single" w:sz="4" w:space="0" w:color="auto"/>
              <w:bottom w:val="single" w:sz="4" w:space="0" w:color="auto"/>
              <w:right w:val="single" w:sz="4" w:space="0" w:color="auto"/>
            </w:tcBorders>
            <w:vAlign w:val="center"/>
            <w:hideMark/>
          </w:tcPr>
          <w:p w14:paraId="47D53507"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028" w:type="pct"/>
            <w:tcBorders>
              <w:top w:val="nil"/>
              <w:left w:val="nil"/>
              <w:bottom w:val="single" w:sz="4" w:space="0" w:color="auto"/>
              <w:right w:val="single" w:sz="4" w:space="0" w:color="auto"/>
            </w:tcBorders>
            <w:shd w:val="clear" w:color="auto" w:fill="auto"/>
            <w:noWrap/>
            <w:vAlign w:val="center"/>
            <w:hideMark/>
          </w:tcPr>
          <w:p w14:paraId="596037CA"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Proyecto ejecutivo</w:t>
            </w:r>
          </w:p>
        </w:tc>
        <w:tc>
          <w:tcPr>
            <w:tcW w:w="1183" w:type="pct"/>
            <w:tcBorders>
              <w:top w:val="nil"/>
              <w:left w:val="nil"/>
              <w:bottom w:val="single" w:sz="4" w:space="0" w:color="auto"/>
              <w:right w:val="single" w:sz="4" w:space="0" w:color="auto"/>
            </w:tcBorders>
            <w:shd w:val="clear" w:color="auto" w:fill="auto"/>
            <w:noWrap/>
            <w:vAlign w:val="center"/>
            <w:hideMark/>
          </w:tcPr>
          <w:p w14:paraId="5B492FF3"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3,400,000.00 </w:t>
            </w:r>
          </w:p>
        </w:tc>
        <w:tc>
          <w:tcPr>
            <w:tcW w:w="698" w:type="pct"/>
            <w:tcBorders>
              <w:top w:val="nil"/>
              <w:left w:val="nil"/>
              <w:bottom w:val="single" w:sz="4" w:space="0" w:color="auto"/>
              <w:right w:val="single" w:sz="4" w:space="0" w:color="auto"/>
            </w:tcBorders>
            <w:shd w:val="clear" w:color="auto" w:fill="auto"/>
            <w:noWrap/>
            <w:vAlign w:val="center"/>
            <w:hideMark/>
          </w:tcPr>
          <w:p w14:paraId="21C168E0"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2.8%</w:t>
            </w:r>
          </w:p>
        </w:tc>
      </w:tr>
      <w:tr w:rsidR="00AB62A9" w:rsidRPr="00AB62A9" w14:paraId="2331ABCB" w14:textId="77777777" w:rsidTr="00B14BD2">
        <w:trPr>
          <w:trHeight w:val="233"/>
        </w:trPr>
        <w:tc>
          <w:tcPr>
            <w:tcW w:w="737" w:type="pct"/>
            <w:vMerge/>
            <w:tcBorders>
              <w:top w:val="nil"/>
              <w:left w:val="single" w:sz="4" w:space="0" w:color="auto"/>
              <w:bottom w:val="single" w:sz="4" w:space="0" w:color="auto"/>
              <w:right w:val="single" w:sz="4" w:space="0" w:color="auto"/>
            </w:tcBorders>
            <w:vAlign w:val="center"/>
            <w:hideMark/>
          </w:tcPr>
          <w:p w14:paraId="40852184"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354" w:type="pct"/>
            <w:gridSpan w:val="2"/>
            <w:vMerge/>
            <w:tcBorders>
              <w:top w:val="nil"/>
              <w:left w:val="single" w:sz="4" w:space="0" w:color="auto"/>
              <w:bottom w:val="single" w:sz="4" w:space="0" w:color="auto"/>
              <w:right w:val="single" w:sz="4" w:space="0" w:color="auto"/>
            </w:tcBorders>
            <w:vAlign w:val="center"/>
            <w:hideMark/>
          </w:tcPr>
          <w:p w14:paraId="4E639F3E"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028" w:type="pct"/>
            <w:tcBorders>
              <w:top w:val="nil"/>
              <w:left w:val="nil"/>
              <w:bottom w:val="single" w:sz="4" w:space="0" w:color="auto"/>
              <w:right w:val="single" w:sz="4" w:space="0" w:color="auto"/>
            </w:tcBorders>
            <w:shd w:val="clear" w:color="auto" w:fill="auto"/>
            <w:noWrap/>
            <w:vAlign w:val="center"/>
            <w:hideMark/>
          </w:tcPr>
          <w:p w14:paraId="5EE0E2A4"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Proyecto Ley (Asentamientos)</w:t>
            </w:r>
          </w:p>
        </w:tc>
        <w:tc>
          <w:tcPr>
            <w:tcW w:w="1183" w:type="pct"/>
            <w:tcBorders>
              <w:top w:val="nil"/>
              <w:left w:val="nil"/>
              <w:bottom w:val="single" w:sz="4" w:space="0" w:color="auto"/>
              <w:right w:val="single" w:sz="4" w:space="0" w:color="auto"/>
            </w:tcBorders>
            <w:shd w:val="clear" w:color="auto" w:fill="auto"/>
            <w:noWrap/>
            <w:vAlign w:val="center"/>
            <w:hideMark/>
          </w:tcPr>
          <w:p w14:paraId="7463949A"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1,844,400.00 </w:t>
            </w:r>
          </w:p>
        </w:tc>
        <w:tc>
          <w:tcPr>
            <w:tcW w:w="698" w:type="pct"/>
            <w:tcBorders>
              <w:top w:val="nil"/>
              <w:left w:val="nil"/>
              <w:bottom w:val="single" w:sz="4" w:space="0" w:color="auto"/>
              <w:right w:val="single" w:sz="4" w:space="0" w:color="auto"/>
            </w:tcBorders>
            <w:shd w:val="clear" w:color="auto" w:fill="auto"/>
            <w:noWrap/>
            <w:vAlign w:val="center"/>
            <w:hideMark/>
          </w:tcPr>
          <w:p w14:paraId="2B48CEC8"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1.5%</w:t>
            </w:r>
          </w:p>
        </w:tc>
      </w:tr>
      <w:tr w:rsidR="00AB62A9" w:rsidRPr="00AB62A9" w14:paraId="31AEFB9E" w14:textId="77777777" w:rsidTr="00B14BD2">
        <w:trPr>
          <w:trHeight w:val="300"/>
        </w:trPr>
        <w:tc>
          <w:tcPr>
            <w:tcW w:w="311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85C1E" w14:textId="77777777" w:rsidR="00AB62A9" w:rsidRPr="00AB62A9" w:rsidRDefault="00AB62A9" w:rsidP="00AB62A9">
            <w:pPr>
              <w:spacing w:after="0" w:line="240" w:lineRule="auto"/>
              <w:jc w:val="center"/>
              <w:rPr>
                <w:rFonts w:eastAsia="Times New Roman" w:cstheme="minorHAnsi"/>
                <w:b/>
                <w:bCs/>
                <w:color w:val="000000"/>
                <w:sz w:val="20"/>
                <w:szCs w:val="20"/>
                <w:lang w:eastAsia="es-MX"/>
              </w:rPr>
            </w:pPr>
            <w:r w:rsidRPr="00AB62A9">
              <w:rPr>
                <w:rFonts w:eastAsia="Times New Roman" w:cstheme="minorHAnsi"/>
                <w:b/>
                <w:bCs/>
                <w:color w:val="000000"/>
                <w:sz w:val="20"/>
                <w:szCs w:val="20"/>
                <w:lang w:eastAsia="es-MX"/>
              </w:rPr>
              <w:t>Subtotal</w:t>
            </w:r>
          </w:p>
        </w:tc>
        <w:tc>
          <w:tcPr>
            <w:tcW w:w="1183" w:type="pct"/>
            <w:tcBorders>
              <w:top w:val="nil"/>
              <w:left w:val="nil"/>
              <w:bottom w:val="single" w:sz="4" w:space="0" w:color="auto"/>
              <w:right w:val="single" w:sz="4" w:space="0" w:color="auto"/>
            </w:tcBorders>
            <w:shd w:val="clear" w:color="auto" w:fill="auto"/>
            <w:noWrap/>
            <w:vAlign w:val="center"/>
            <w:hideMark/>
          </w:tcPr>
          <w:p w14:paraId="4712CEC7" w14:textId="77777777" w:rsidR="00AB62A9" w:rsidRPr="00AB62A9" w:rsidRDefault="00AB62A9" w:rsidP="00AB62A9">
            <w:pPr>
              <w:spacing w:after="0" w:line="240" w:lineRule="auto"/>
              <w:jc w:val="right"/>
              <w:rPr>
                <w:rFonts w:eastAsia="Times New Roman" w:cstheme="minorHAnsi"/>
                <w:b/>
                <w:bCs/>
                <w:color w:val="000000"/>
                <w:sz w:val="20"/>
                <w:szCs w:val="20"/>
                <w:lang w:eastAsia="es-MX"/>
              </w:rPr>
            </w:pPr>
            <w:r w:rsidRPr="00AB62A9">
              <w:rPr>
                <w:rFonts w:eastAsia="Times New Roman" w:cstheme="minorHAnsi"/>
                <w:b/>
                <w:bCs/>
                <w:color w:val="000000"/>
                <w:sz w:val="20"/>
                <w:szCs w:val="20"/>
                <w:lang w:eastAsia="es-MX"/>
              </w:rPr>
              <w:t xml:space="preserve"> $           13,374,506.06 </w:t>
            </w:r>
          </w:p>
        </w:tc>
        <w:tc>
          <w:tcPr>
            <w:tcW w:w="698" w:type="pct"/>
            <w:tcBorders>
              <w:top w:val="nil"/>
              <w:left w:val="nil"/>
              <w:bottom w:val="single" w:sz="4" w:space="0" w:color="auto"/>
              <w:right w:val="single" w:sz="4" w:space="0" w:color="auto"/>
            </w:tcBorders>
            <w:shd w:val="clear" w:color="auto" w:fill="auto"/>
            <w:noWrap/>
            <w:vAlign w:val="center"/>
            <w:hideMark/>
          </w:tcPr>
          <w:p w14:paraId="37938701" w14:textId="77777777" w:rsidR="00AB62A9" w:rsidRPr="00AB62A9" w:rsidRDefault="00AB62A9" w:rsidP="00AB62A9">
            <w:pPr>
              <w:spacing w:after="0" w:line="240" w:lineRule="auto"/>
              <w:jc w:val="center"/>
              <w:rPr>
                <w:rFonts w:eastAsia="Times New Roman" w:cstheme="minorHAnsi"/>
                <w:b/>
                <w:color w:val="000000"/>
                <w:sz w:val="20"/>
                <w:szCs w:val="20"/>
                <w:lang w:eastAsia="es-MX"/>
              </w:rPr>
            </w:pPr>
            <w:r w:rsidRPr="00AB62A9">
              <w:rPr>
                <w:rFonts w:eastAsia="Times New Roman" w:cstheme="minorHAnsi"/>
                <w:b/>
                <w:color w:val="000000"/>
                <w:sz w:val="20"/>
                <w:szCs w:val="20"/>
                <w:lang w:eastAsia="es-MX"/>
              </w:rPr>
              <w:t>10.9%</w:t>
            </w:r>
          </w:p>
        </w:tc>
      </w:tr>
      <w:tr w:rsidR="00AB62A9" w:rsidRPr="00AB62A9" w14:paraId="002D4033" w14:textId="77777777" w:rsidTr="00B14BD2">
        <w:trPr>
          <w:trHeight w:val="184"/>
        </w:trPr>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20F7B677" w14:textId="77777777" w:rsidR="00AB62A9" w:rsidRPr="00AB62A9" w:rsidRDefault="00C36102" w:rsidP="00AB62A9">
            <w:pPr>
              <w:spacing w:after="0" w:line="240" w:lineRule="auto"/>
              <w:rPr>
                <w:rFonts w:eastAsia="Times New Roman" w:cstheme="minorHAnsi"/>
                <w:color w:val="000000"/>
                <w:sz w:val="18"/>
                <w:szCs w:val="18"/>
                <w:lang w:eastAsia="es-MX"/>
              </w:rPr>
            </w:pPr>
            <w:r w:rsidRPr="00AB62A9">
              <w:rPr>
                <w:rFonts w:eastAsia="Times New Roman" w:cstheme="minorHAnsi"/>
                <w:color w:val="000000"/>
                <w:sz w:val="18"/>
                <w:szCs w:val="18"/>
                <w:lang w:eastAsia="es-MX"/>
              </w:rPr>
              <w:t>Infraestructura</w:t>
            </w:r>
            <w:r w:rsidR="00AB62A9" w:rsidRPr="00AB62A9">
              <w:rPr>
                <w:rFonts w:eastAsia="Times New Roman" w:cstheme="minorHAnsi"/>
                <w:color w:val="000000"/>
                <w:sz w:val="18"/>
                <w:szCs w:val="18"/>
                <w:lang w:eastAsia="es-MX"/>
              </w:rPr>
              <w:t xml:space="preserve"> comunitaria</w:t>
            </w:r>
          </w:p>
        </w:tc>
        <w:tc>
          <w:tcPr>
            <w:tcW w:w="1347" w:type="pct"/>
            <w:tcBorders>
              <w:top w:val="nil"/>
              <w:left w:val="nil"/>
              <w:bottom w:val="single" w:sz="4" w:space="0" w:color="auto"/>
              <w:right w:val="single" w:sz="4" w:space="0" w:color="auto"/>
            </w:tcBorders>
            <w:shd w:val="clear" w:color="auto" w:fill="auto"/>
            <w:noWrap/>
            <w:vAlign w:val="center"/>
            <w:hideMark/>
          </w:tcPr>
          <w:p w14:paraId="5A1FB371"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Albergue</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0D33E972"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Remodelación</w:t>
            </w:r>
          </w:p>
        </w:tc>
        <w:tc>
          <w:tcPr>
            <w:tcW w:w="1183" w:type="pct"/>
            <w:tcBorders>
              <w:top w:val="nil"/>
              <w:left w:val="nil"/>
              <w:bottom w:val="single" w:sz="4" w:space="0" w:color="auto"/>
              <w:right w:val="single" w:sz="4" w:space="0" w:color="auto"/>
            </w:tcBorders>
            <w:shd w:val="clear" w:color="auto" w:fill="auto"/>
            <w:noWrap/>
            <w:vAlign w:val="center"/>
            <w:hideMark/>
          </w:tcPr>
          <w:p w14:paraId="1B8F6367"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499,920.13 </w:t>
            </w:r>
          </w:p>
        </w:tc>
        <w:tc>
          <w:tcPr>
            <w:tcW w:w="698" w:type="pct"/>
            <w:tcBorders>
              <w:top w:val="nil"/>
              <w:left w:val="nil"/>
              <w:bottom w:val="single" w:sz="4" w:space="0" w:color="auto"/>
              <w:right w:val="single" w:sz="4" w:space="0" w:color="auto"/>
            </w:tcBorders>
            <w:shd w:val="clear" w:color="auto" w:fill="auto"/>
            <w:noWrap/>
            <w:vAlign w:val="center"/>
            <w:hideMark/>
          </w:tcPr>
          <w:p w14:paraId="66E5279B"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0.4%</w:t>
            </w:r>
          </w:p>
        </w:tc>
      </w:tr>
      <w:tr w:rsidR="00AB62A9" w:rsidRPr="00AB62A9" w14:paraId="3EA9BC0D"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6304A4AA" w14:textId="77777777" w:rsidR="00AB62A9" w:rsidRPr="00AB62A9" w:rsidRDefault="00AB62A9" w:rsidP="00AB62A9">
            <w:pPr>
              <w:spacing w:after="0" w:line="240" w:lineRule="auto"/>
              <w:rPr>
                <w:rFonts w:eastAsia="Times New Roman" w:cstheme="minorHAnsi"/>
                <w:color w:val="000000"/>
                <w:sz w:val="18"/>
                <w:szCs w:val="18"/>
                <w:lang w:eastAsia="es-MX"/>
              </w:rPr>
            </w:pPr>
          </w:p>
        </w:tc>
        <w:tc>
          <w:tcPr>
            <w:tcW w:w="1347" w:type="pct"/>
            <w:tcBorders>
              <w:top w:val="nil"/>
              <w:left w:val="nil"/>
              <w:bottom w:val="single" w:sz="4" w:space="0" w:color="auto"/>
              <w:right w:val="single" w:sz="4" w:space="0" w:color="auto"/>
            </w:tcBorders>
            <w:shd w:val="clear" w:color="auto" w:fill="auto"/>
            <w:noWrap/>
            <w:vAlign w:val="center"/>
            <w:hideMark/>
          </w:tcPr>
          <w:p w14:paraId="442DFA2E"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Centro educación adultos</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32E39892"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Construcción</w:t>
            </w:r>
          </w:p>
        </w:tc>
        <w:tc>
          <w:tcPr>
            <w:tcW w:w="1183" w:type="pct"/>
            <w:tcBorders>
              <w:top w:val="nil"/>
              <w:left w:val="nil"/>
              <w:bottom w:val="single" w:sz="4" w:space="0" w:color="auto"/>
              <w:right w:val="single" w:sz="4" w:space="0" w:color="auto"/>
            </w:tcBorders>
            <w:shd w:val="clear" w:color="auto" w:fill="auto"/>
            <w:noWrap/>
            <w:vAlign w:val="center"/>
            <w:hideMark/>
          </w:tcPr>
          <w:p w14:paraId="6060D50E"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1,764,668.51 </w:t>
            </w:r>
          </w:p>
        </w:tc>
        <w:tc>
          <w:tcPr>
            <w:tcW w:w="698" w:type="pct"/>
            <w:tcBorders>
              <w:top w:val="nil"/>
              <w:left w:val="nil"/>
              <w:bottom w:val="single" w:sz="4" w:space="0" w:color="auto"/>
              <w:right w:val="single" w:sz="4" w:space="0" w:color="auto"/>
            </w:tcBorders>
            <w:shd w:val="clear" w:color="auto" w:fill="auto"/>
            <w:noWrap/>
            <w:vAlign w:val="center"/>
            <w:hideMark/>
          </w:tcPr>
          <w:p w14:paraId="7DDA66E1"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1.4%</w:t>
            </w:r>
          </w:p>
        </w:tc>
      </w:tr>
      <w:tr w:rsidR="00AB62A9" w:rsidRPr="00AB62A9" w14:paraId="6F235B5F"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10A0115F" w14:textId="77777777" w:rsidR="00AB62A9" w:rsidRPr="00AB62A9" w:rsidRDefault="00AB62A9" w:rsidP="00AB62A9">
            <w:pPr>
              <w:spacing w:after="0" w:line="240" w:lineRule="auto"/>
              <w:rPr>
                <w:rFonts w:eastAsia="Times New Roman" w:cstheme="minorHAnsi"/>
                <w:color w:val="000000"/>
                <w:sz w:val="18"/>
                <w:szCs w:val="18"/>
                <w:lang w:eastAsia="es-MX"/>
              </w:rPr>
            </w:pPr>
          </w:p>
        </w:tc>
        <w:tc>
          <w:tcPr>
            <w:tcW w:w="1347" w:type="pct"/>
            <w:tcBorders>
              <w:top w:val="nil"/>
              <w:left w:val="nil"/>
              <w:bottom w:val="single" w:sz="4" w:space="0" w:color="auto"/>
              <w:right w:val="single" w:sz="4" w:space="0" w:color="auto"/>
            </w:tcBorders>
            <w:shd w:val="clear" w:color="auto" w:fill="auto"/>
            <w:noWrap/>
            <w:vAlign w:val="center"/>
            <w:hideMark/>
          </w:tcPr>
          <w:p w14:paraId="67C72A66"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Comedor Comunitario</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5EB2706E"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Construcción</w:t>
            </w:r>
          </w:p>
        </w:tc>
        <w:tc>
          <w:tcPr>
            <w:tcW w:w="1183" w:type="pct"/>
            <w:tcBorders>
              <w:top w:val="nil"/>
              <w:left w:val="nil"/>
              <w:bottom w:val="single" w:sz="4" w:space="0" w:color="auto"/>
              <w:right w:val="single" w:sz="4" w:space="0" w:color="auto"/>
            </w:tcBorders>
            <w:shd w:val="clear" w:color="auto" w:fill="auto"/>
            <w:noWrap/>
            <w:vAlign w:val="center"/>
            <w:hideMark/>
          </w:tcPr>
          <w:p w14:paraId="7E9022F2"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224,908.03 </w:t>
            </w:r>
          </w:p>
        </w:tc>
        <w:tc>
          <w:tcPr>
            <w:tcW w:w="698" w:type="pct"/>
            <w:tcBorders>
              <w:top w:val="nil"/>
              <w:left w:val="nil"/>
              <w:bottom w:val="single" w:sz="4" w:space="0" w:color="auto"/>
              <w:right w:val="single" w:sz="4" w:space="0" w:color="auto"/>
            </w:tcBorders>
            <w:shd w:val="clear" w:color="auto" w:fill="auto"/>
            <w:noWrap/>
            <w:vAlign w:val="center"/>
            <w:hideMark/>
          </w:tcPr>
          <w:p w14:paraId="7A9988D5"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0.2%</w:t>
            </w:r>
          </w:p>
        </w:tc>
      </w:tr>
      <w:tr w:rsidR="00AB62A9" w:rsidRPr="00AB62A9" w14:paraId="6AD6B6CF" w14:textId="77777777" w:rsidTr="00B14BD2">
        <w:trPr>
          <w:trHeight w:val="300"/>
        </w:trPr>
        <w:tc>
          <w:tcPr>
            <w:tcW w:w="311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53F6D" w14:textId="77777777" w:rsidR="00AB62A9" w:rsidRPr="00AB62A9" w:rsidRDefault="00AB62A9" w:rsidP="00AB62A9">
            <w:pPr>
              <w:spacing w:after="0" w:line="240" w:lineRule="auto"/>
              <w:jc w:val="center"/>
              <w:rPr>
                <w:rFonts w:eastAsia="Times New Roman" w:cstheme="minorHAnsi"/>
                <w:b/>
                <w:bCs/>
                <w:color w:val="000000"/>
                <w:sz w:val="18"/>
                <w:szCs w:val="18"/>
                <w:lang w:eastAsia="es-MX"/>
              </w:rPr>
            </w:pPr>
            <w:r w:rsidRPr="00AB62A9">
              <w:rPr>
                <w:rFonts w:eastAsia="Times New Roman" w:cstheme="minorHAnsi"/>
                <w:b/>
                <w:bCs/>
                <w:color w:val="000000"/>
                <w:sz w:val="18"/>
                <w:szCs w:val="18"/>
                <w:lang w:eastAsia="es-MX"/>
              </w:rPr>
              <w:t>Subtotal</w:t>
            </w:r>
          </w:p>
        </w:tc>
        <w:tc>
          <w:tcPr>
            <w:tcW w:w="1183" w:type="pct"/>
            <w:tcBorders>
              <w:top w:val="nil"/>
              <w:left w:val="nil"/>
              <w:bottom w:val="single" w:sz="4" w:space="0" w:color="auto"/>
              <w:right w:val="single" w:sz="4" w:space="0" w:color="auto"/>
            </w:tcBorders>
            <w:shd w:val="clear" w:color="auto" w:fill="auto"/>
            <w:noWrap/>
            <w:vAlign w:val="center"/>
            <w:hideMark/>
          </w:tcPr>
          <w:p w14:paraId="3F0F1270" w14:textId="77777777" w:rsidR="00AB62A9" w:rsidRPr="00AB62A9" w:rsidRDefault="00AB62A9" w:rsidP="00AB62A9">
            <w:pPr>
              <w:spacing w:after="0" w:line="240" w:lineRule="auto"/>
              <w:jc w:val="right"/>
              <w:rPr>
                <w:rFonts w:eastAsia="Times New Roman" w:cstheme="minorHAnsi"/>
                <w:b/>
                <w:bCs/>
                <w:color w:val="000000"/>
                <w:sz w:val="20"/>
                <w:szCs w:val="20"/>
                <w:lang w:eastAsia="es-MX"/>
              </w:rPr>
            </w:pPr>
            <w:r w:rsidRPr="00AB62A9">
              <w:rPr>
                <w:rFonts w:eastAsia="Times New Roman" w:cstheme="minorHAnsi"/>
                <w:b/>
                <w:bCs/>
                <w:color w:val="000000"/>
                <w:sz w:val="20"/>
                <w:szCs w:val="20"/>
                <w:lang w:eastAsia="es-MX"/>
              </w:rPr>
              <w:t xml:space="preserve"> $             2,489,496.67 </w:t>
            </w:r>
          </w:p>
        </w:tc>
        <w:tc>
          <w:tcPr>
            <w:tcW w:w="698" w:type="pct"/>
            <w:tcBorders>
              <w:top w:val="nil"/>
              <w:left w:val="nil"/>
              <w:bottom w:val="single" w:sz="4" w:space="0" w:color="auto"/>
              <w:right w:val="single" w:sz="4" w:space="0" w:color="auto"/>
            </w:tcBorders>
            <w:shd w:val="clear" w:color="auto" w:fill="auto"/>
            <w:noWrap/>
            <w:vAlign w:val="center"/>
            <w:hideMark/>
          </w:tcPr>
          <w:p w14:paraId="4043245C" w14:textId="77777777" w:rsidR="00AB62A9" w:rsidRPr="00AB62A9" w:rsidRDefault="00AB62A9" w:rsidP="00AB62A9">
            <w:pPr>
              <w:spacing w:after="0" w:line="240" w:lineRule="auto"/>
              <w:jc w:val="center"/>
              <w:rPr>
                <w:rFonts w:eastAsia="Times New Roman" w:cstheme="minorHAnsi"/>
                <w:b/>
                <w:color w:val="000000"/>
                <w:sz w:val="20"/>
                <w:szCs w:val="20"/>
                <w:lang w:eastAsia="es-MX"/>
              </w:rPr>
            </w:pPr>
            <w:r w:rsidRPr="00AB62A9">
              <w:rPr>
                <w:rFonts w:eastAsia="Times New Roman" w:cstheme="minorHAnsi"/>
                <w:b/>
                <w:color w:val="000000"/>
                <w:sz w:val="20"/>
                <w:szCs w:val="20"/>
                <w:lang w:eastAsia="es-MX"/>
              </w:rPr>
              <w:t>2.0%</w:t>
            </w:r>
          </w:p>
        </w:tc>
      </w:tr>
      <w:tr w:rsidR="00AB62A9" w:rsidRPr="00AB62A9" w14:paraId="4703DCDD" w14:textId="77777777" w:rsidTr="00B14BD2">
        <w:trPr>
          <w:trHeight w:val="205"/>
        </w:trPr>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4A3017CA" w14:textId="77777777" w:rsidR="00AB62A9" w:rsidRPr="00AB62A9" w:rsidRDefault="00AB62A9" w:rsidP="00AB62A9">
            <w:pPr>
              <w:spacing w:after="0" w:line="240" w:lineRule="auto"/>
              <w:jc w:val="center"/>
              <w:rPr>
                <w:rFonts w:eastAsia="Times New Roman" w:cstheme="minorHAnsi"/>
                <w:color w:val="000000"/>
                <w:sz w:val="18"/>
                <w:szCs w:val="18"/>
                <w:lang w:eastAsia="es-MX"/>
              </w:rPr>
            </w:pPr>
            <w:r w:rsidRPr="00AB62A9">
              <w:rPr>
                <w:rFonts w:eastAsia="Times New Roman" w:cstheme="minorHAnsi"/>
                <w:color w:val="000000"/>
                <w:sz w:val="18"/>
                <w:szCs w:val="18"/>
                <w:lang w:eastAsia="es-MX"/>
              </w:rPr>
              <w:t>Infraestructura cultural</w:t>
            </w:r>
          </w:p>
        </w:tc>
        <w:tc>
          <w:tcPr>
            <w:tcW w:w="1347" w:type="pct"/>
            <w:tcBorders>
              <w:top w:val="nil"/>
              <w:left w:val="nil"/>
              <w:bottom w:val="single" w:sz="4" w:space="0" w:color="auto"/>
              <w:right w:val="single" w:sz="4" w:space="0" w:color="auto"/>
            </w:tcBorders>
            <w:shd w:val="clear" w:color="auto" w:fill="auto"/>
            <w:noWrap/>
            <w:vAlign w:val="center"/>
            <w:hideMark/>
          </w:tcPr>
          <w:p w14:paraId="320D6C23"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Biblioteca</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47FA46B1"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Rehabilitación</w:t>
            </w:r>
          </w:p>
        </w:tc>
        <w:tc>
          <w:tcPr>
            <w:tcW w:w="1183" w:type="pct"/>
            <w:tcBorders>
              <w:top w:val="nil"/>
              <w:left w:val="nil"/>
              <w:bottom w:val="single" w:sz="4" w:space="0" w:color="auto"/>
              <w:right w:val="single" w:sz="4" w:space="0" w:color="auto"/>
            </w:tcBorders>
            <w:shd w:val="clear" w:color="auto" w:fill="auto"/>
            <w:noWrap/>
            <w:vAlign w:val="center"/>
            <w:hideMark/>
          </w:tcPr>
          <w:p w14:paraId="6776D52E"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1,286,398.33 </w:t>
            </w:r>
          </w:p>
        </w:tc>
        <w:tc>
          <w:tcPr>
            <w:tcW w:w="698" w:type="pct"/>
            <w:tcBorders>
              <w:top w:val="nil"/>
              <w:left w:val="nil"/>
              <w:bottom w:val="single" w:sz="4" w:space="0" w:color="auto"/>
              <w:right w:val="single" w:sz="4" w:space="0" w:color="auto"/>
            </w:tcBorders>
            <w:shd w:val="clear" w:color="auto" w:fill="auto"/>
            <w:noWrap/>
            <w:vAlign w:val="center"/>
            <w:hideMark/>
          </w:tcPr>
          <w:p w14:paraId="54DD4098"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1.0%</w:t>
            </w:r>
          </w:p>
        </w:tc>
      </w:tr>
      <w:tr w:rsidR="00AB62A9" w:rsidRPr="00AB62A9" w14:paraId="399D7A44"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7A3CD55C" w14:textId="77777777" w:rsidR="00AB62A9" w:rsidRPr="00AB62A9" w:rsidRDefault="00AB62A9" w:rsidP="00AB62A9">
            <w:pPr>
              <w:spacing w:after="0" w:line="240" w:lineRule="auto"/>
              <w:rPr>
                <w:rFonts w:eastAsia="Times New Roman" w:cstheme="minorHAnsi"/>
                <w:color w:val="000000"/>
                <w:sz w:val="18"/>
                <w:szCs w:val="20"/>
                <w:lang w:eastAsia="es-MX"/>
              </w:rPr>
            </w:pPr>
          </w:p>
        </w:tc>
        <w:tc>
          <w:tcPr>
            <w:tcW w:w="1347" w:type="pct"/>
            <w:tcBorders>
              <w:top w:val="nil"/>
              <w:left w:val="nil"/>
              <w:bottom w:val="single" w:sz="4" w:space="0" w:color="auto"/>
              <w:right w:val="single" w:sz="4" w:space="0" w:color="auto"/>
            </w:tcBorders>
            <w:shd w:val="clear" w:color="auto" w:fill="auto"/>
            <w:noWrap/>
            <w:vAlign w:val="center"/>
            <w:hideMark/>
          </w:tcPr>
          <w:p w14:paraId="0AD22AC7"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Escultura</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3BBFCD9D"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Construcción</w:t>
            </w:r>
          </w:p>
        </w:tc>
        <w:tc>
          <w:tcPr>
            <w:tcW w:w="1183" w:type="pct"/>
            <w:tcBorders>
              <w:top w:val="nil"/>
              <w:left w:val="nil"/>
              <w:bottom w:val="single" w:sz="4" w:space="0" w:color="auto"/>
              <w:right w:val="single" w:sz="4" w:space="0" w:color="auto"/>
            </w:tcBorders>
            <w:shd w:val="clear" w:color="auto" w:fill="auto"/>
            <w:noWrap/>
            <w:vAlign w:val="center"/>
            <w:hideMark/>
          </w:tcPr>
          <w:p w14:paraId="483FD827"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5,800,000.00 </w:t>
            </w:r>
          </w:p>
        </w:tc>
        <w:tc>
          <w:tcPr>
            <w:tcW w:w="698" w:type="pct"/>
            <w:tcBorders>
              <w:top w:val="nil"/>
              <w:left w:val="nil"/>
              <w:bottom w:val="single" w:sz="4" w:space="0" w:color="auto"/>
              <w:right w:val="single" w:sz="4" w:space="0" w:color="auto"/>
            </w:tcBorders>
            <w:shd w:val="clear" w:color="auto" w:fill="auto"/>
            <w:noWrap/>
            <w:vAlign w:val="center"/>
            <w:hideMark/>
          </w:tcPr>
          <w:p w14:paraId="54541B05"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4.7%</w:t>
            </w:r>
          </w:p>
        </w:tc>
      </w:tr>
      <w:tr w:rsidR="00AB62A9" w:rsidRPr="00AB62A9" w14:paraId="6C8F24F2"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6968484F" w14:textId="77777777" w:rsidR="00AB62A9" w:rsidRPr="00AB62A9" w:rsidRDefault="00AB62A9" w:rsidP="00AB62A9">
            <w:pPr>
              <w:spacing w:after="0" w:line="240" w:lineRule="auto"/>
              <w:rPr>
                <w:rFonts w:eastAsia="Times New Roman" w:cstheme="minorHAnsi"/>
                <w:color w:val="000000"/>
                <w:sz w:val="18"/>
                <w:szCs w:val="20"/>
                <w:lang w:eastAsia="es-MX"/>
              </w:rPr>
            </w:pPr>
          </w:p>
        </w:tc>
        <w:tc>
          <w:tcPr>
            <w:tcW w:w="1347" w:type="pct"/>
            <w:tcBorders>
              <w:top w:val="nil"/>
              <w:left w:val="nil"/>
              <w:bottom w:val="single" w:sz="4" w:space="0" w:color="auto"/>
              <w:right w:val="single" w:sz="4" w:space="0" w:color="auto"/>
            </w:tcBorders>
            <w:shd w:val="clear" w:color="auto" w:fill="auto"/>
            <w:noWrap/>
            <w:vAlign w:val="center"/>
            <w:hideMark/>
          </w:tcPr>
          <w:p w14:paraId="60AAF516"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Museo</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19892689"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Rehabilitación</w:t>
            </w:r>
          </w:p>
        </w:tc>
        <w:tc>
          <w:tcPr>
            <w:tcW w:w="1183" w:type="pct"/>
            <w:tcBorders>
              <w:top w:val="nil"/>
              <w:left w:val="nil"/>
              <w:bottom w:val="single" w:sz="4" w:space="0" w:color="auto"/>
              <w:right w:val="single" w:sz="4" w:space="0" w:color="auto"/>
            </w:tcBorders>
            <w:shd w:val="clear" w:color="auto" w:fill="auto"/>
            <w:noWrap/>
            <w:vAlign w:val="center"/>
            <w:hideMark/>
          </w:tcPr>
          <w:p w14:paraId="3D980B92"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4,438,996.99 </w:t>
            </w:r>
          </w:p>
        </w:tc>
        <w:tc>
          <w:tcPr>
            <w:tcW w:w="698" w:type="pct"/>
            <w:tcBorders>
              <w:top w:val="nil"/>
              <w:left w:val="nil"/>
              <w:bottom w:val="single" w:sz="4" w:space="0" w:color="auto"/>
              <w:right w:val="single" w:sz="4" w:space="0" w:color="auto"/>
            </w:tcBorders>
            <w:shd w:val="clear" w:color="auto" w:fill="auto"/>
            <w:noWrap/>
            <w:vAlign w:val="center"/>
            <w:hideMark/>
          </w:tcPr>
          <w:p w14:paraId="0D00A38E"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3.6%</w:t>
            </w:r>
          </w:p>
        </w:tc>
      </w:tr>
      <w:tr w:rsidR="00AB62A9" w:rsidRPr="00AB62A9" w14:paraId="443D6826"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4A89581E" w14:textId="77777777" w:rsidR="00AB62A9" w:rsidRPr="00AB62A9" w:rsidRDefault="00AB62A9" w:rsidP="00AB62A9">
            <w:pPr>
              <w:spacing w:after="0" w:line="240" w:lineRule="auto"/>
              <w:rPr>
                <w:rFonts w:eastAsia="Times New Roman" w:cstheme="minorHAnsi"/>
                <w:color w:val="000000"/>
                <w:sz w:val="18"/>
                <w:szCs w:val="20"/>
                <w:lang w:eastAsia="es-MX"/>
              </w:rPr>
            </w:pPr>
          </w:p>
        </w:tc>
        <w:tc>
          <w:tcPr>
            <w:tcW w:w="1347" w:type="pct"/>
            <w:tcBorders>
              <w:top w:val="nil"/>
              <w:left w:val="nil"/>
              <w:bottom w:val="single" w:sz="4" w:space="0" w:color="auto"/>
              <w:right w:val="single" w:sz="4" w:space="0" w:color="auto"/>
            </w:tcBorders>
            <w:shd w:val="clear" w:color="auto" w:fill="auto"/>
            <w:noWrap/>
            <w:vAlign w:val="center"/>
            <w:hideMark/>
          </w:tcPr>
          <w:p w14:paraId="120648A6"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Casa Cultura</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161DC24D"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Rehabilitación</w:t>
            </w:r>
          </w:p>
        </w:tc>
        <w:tc>
          <w:tcPr>
            <w:tcW w:w="1183" w:type="pct"/>
            <w:tcBorders>
              <w:top w:val="nil"/>
              <w:left w:val="nil"/>
              <w:bottom w:val="single" w:sz="4" w:space="0" w:color="auto"/>
              <w:right w:val="single" w:sz="4" w:space="0" w:color="auto"/>
            </w:tcBorders>
            <w:shd w:val="clear" w:color="auto" w:fill="auto"/>
            <w:noWrap/>
            <w:vAlign w:val="center"/>
            <w:hideMark/>
          </w:tcPr>
          <w:p w14:paraId="0EB3CE14"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5,725,336.53 </w:t>
            </w:r>
          </w:p>
        </w:tc>
        <w:tc>
          <w:tcPr>
            <w:tcW w:w="698" w:type="pct"/>
            <w:tcBorders>
              <w:top w:val="nil"/>
              <w:left w:val="nil"/>
              <w:bottom w:val="single" w:sz="4" w:space="0" w:color="auto"/>
              <w:right w:val="single" w:sz="4" w:space="0" w:color="auto"/>
            </w:tcBorders>
            <w:shd w:val="clear" w:color="auto" w:fill="auto"/>
            <w:noWrap/>
            <w:vAlign w:val="center"/>
            <w:hideMark/>
          </w:tcPr>
          <w:p w14:paraId="22F5A165"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4.7%</w:t>
            </w:r>
          </w:p>
        </w:tc>
      </w:tr>
      <w:tr w:rsidR="00AB62A9" w:rsidRPr="00AB62A9" w14:paraId="45A72820" w14:textId="77777777" w:rsidTr="00B14BD2">
        <w:trPr>
          <w:trHeight w:val="214"/>
        </w:trPr>
        <w:tc>
          <w:tcPr>
            <w:tcW w:w="311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14616" w14:textId="77777777" w:rsidR="00AB62A9" w:rsidRPr="00AB62A9" w:rsidRDefault="00AB62A9" w:rsidP="00AB62A9">
            <w:pPr>
              <w:spacing w:after="0" w:line="240" w:lineRule="auto"/>
              <w:jc w:val="center"/>
              <w:rPr>
                <w:rFonts w:eastAsia="Times New Roman" w:cstheme="minorHAnsi"/>
                <w:b/>
                <w:bCs/>
                <w:color w:val="000000"/>
                <w:sz w:val="18"/>
                <w:szCs w:val="20"/>
                <w:lang w:eastAsia="es-MX"/>
              </w:rPr>
            </w:pPr>
            <w:r w:rsidRPr="00AB62A9">
              <w:rPr>
                <w:rFonts w:eastAsia="Times New Roman" w:cstheme="minorHAnsi"/>
                <w:b/>
                <w:bCs/>
                <w:color w:val="000000"/>
                <w:sz w:val="18"/>
                <w:szCs w:val="20"/>
                <w:lang w:eastAsia="es-MX"/>
              </w:rPr>
              <w:t>Subtotal</w:t>
            </w:r>
          </w:p>
        </w:tc>
        <w:tc>
          <w:tcPr>
            <w:tcW w:w="1183" w:type="pct"/>
            <w:tcBorders>
              <w:top w:val="nil"/>
              <w:left w:val="nil"/>
              <w:bottom w:val="single" w:sz="4" w:space="0" w:color="auto"/>
              <w:right w:val="single" w:sz="4" w:space="0" w:color="auto"/>
            </w:tcBorders>
            <w:shd w:val="clear" w:color="auto" w:fill="auto"/>
            <w:noWrap/>
            <w:vAlign w:val="center"/>
            <w:hideMark/>
          </w:tcPr>
          <w:p w14:paraId="317A6A06" w14:textId="77777777" w:rsidR="00AB62A9" w:rsidRPr="00AB62A9" w:rsidRDefault="00AB62A9" w:rsidP="00AB62A9">
            <w:pPr>
              <w:spacing w:after="0" w:line="240" w:lineRule="auto"/>
              <w:jc w:val="right"/>
              <w:rPr>
                <w:rFonts w:eastAsia="Times New Roman" w:cstheme="minorHAnsi"/>
                <w:b/>
                <w:bCs/>
                <w:color w:val="000000"/>
                <w:sz w:val="20"/>
                <w:szCs w:val="20"/>
                <w:lang w:eastAsia="es-MX"/>
              </w:rPr>
            </w:pPr>
            <w:r w:rsidRPr="00AB62A9">
              <w:rPr>
                <w:rFonts w:eastAsia="Times New Roman" w:cstheme="minorHAnsi"/>
                <w:b/>
                <w:bCs/>
                <w:color w:val="000000"/>
                <w:sz w:val="20"/>
                <w:szCs w:val="20"/>
                <w:lang w:eastAsia="es-MX"/>
              </w:rPr>
              <w:t xml:space="preserve"> $           17,250,731.85 </w:t>
            </w:r>
          </w:p>
        </w:tc>
        <w:tc>
          <w:tcPr>
            <w:tcW w:w="698" w:type="pct"/>
            <w:tcBorders>
              <w:top w:val="nil"/>
              <w:left w:val="nil"/>
              <w:bottom w:val="single" w:sz="4" w:space="0" w:color="auto"/>
              <w:right w:val="single" w:sz="4" w:space="0" w:color="auto"/>
            </w:tcBorders>
            <w:shd w:val="clear" w:color="auto" w:fill="auto"/>
            <w:noWrap/>
            <w:vAlign w:val="center"/>
            <w:hideMark/>
          </w:tcPr>
          <w:p w14:paraId="40422C38" w14:textId="77777777" w:rsidR="00AB62A9" w:rsidRPr="00AB62A9" w:rsidRDefault="00AB62A9" w:rsidP="00AB62A9">
            <w:pPr>
              <w:spacing w:after="0" w:line="240" w:lineRule="auto"/>
              <w:jc w:val="center"/>
              <w:rPr>
                <w:rFonts w:eastAsia="Times New Roman" w:cstheme="minorHAnsi"/>
                <w:b/>
                <w:color w:val="000000"/>
                <w:sz w:val="20"/>
                <w:szCs w:val="20"/>
                <w:lang w:eastAsia="es-MX"/>
              </w:rPr>
            </w:pPr>
            <w:r w:rsidRPr="00AB62A9">
              <w:rPr>
                <w:rFonts w:eastAsia="Times New Roman" w:cstheme="minorHAnsi"/>
                <w:b/>
                <w:color w:val="000000"/>
                <w:sz w:val="20"/>
                <w:szCs w:val="20"/>
                <w:lang w:eastAsia="es-MX"/>
              </w:rPr>
              <w:t>14.0%</w:t>
            </w:r>
          </w:p>
        </w:tc>
      </w:tr>
      <w:tr w:rsidR="00AB62A9" w:rsidRPr="00AB62A9" w14:paraId="16966B81" w14:textId="77777777" w:rsidTr="00B14BD2">
        <w:trPr>
          <w:trHeight w:val="300"/>
        </w:trPr>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38BB2DEA" w14:textId="77777777" w:rsidR="00AB62A9" w:rsidRPr="00AB62A9" w:rsidRDefault="00AB62A9" w:rsidP="00AB62A9">
            <w:pPr>
              <w:spacing w:after="0" w:line="240" w:lineRule="auto"/>
              <w:rPr>
                <w:rFonts w:eastAsia="Times New Roman" w:cstheme="minorHAnsi"/>
                <w:color w:val="000000"/>
                <w:sz w:val="18"/>
                <w:szCs w:val="20"/>
                <w:lang w:eastAsia="es-MX"/>
              </w:rPr>
            </w:pPr>
            <w:r w:rsidRPr="00AB62A9">
              <w:rPr>
                <w:rFonts w:eastAsia="Times New Roman" w:cstheme="minorHAnsi"/>
                <w:color w:val="000000"/>
                <w:sz w:val="18"/>
                <w:szCs w:val="20"/>
                <w:lang w:eastAsia="es-MX"/>
              </w:rPr>
              <w:t>Infraestructura Deportiva</w:t>
            </w:r>
          </w:p>
        </w:tc>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14:paraId="7FDD3F1F"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Deportiva (canchas,</w:t>
            </w:r>
            <w:r w:rsidR="00B541A0">
              <w:rPr>
                <w:rFonts w:eastAsia="Times New Roman" w:cstheme="minorHAnsi"/>
                <w:color w:val="000000"/>
                <w:sz w:val="20"/>
                <w:szCs w:val="20"/>
                <w:lang w:eastAsia="es-MX"/>
              </w:rPr>
              <w:t xml:space="preserve"> </w:t>
            </w:r>
            <w:r w:rsidRPr="00AB62A9">
              <w:rPr>
                <w:rFonts w:eastAsia="Times New Roman" w:cstheme="minorHAnsi"/>
                <w:color w:val="000000"/>
                <w:sz w:val="20"/>
                <w:szCs w:val="20"/>
                <w:lang w:eastAsia="es-MX"/>
              </w:rPr>
              <w:t>unidades)</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65CB95A6"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Adecuación</w:t>
            </w:r>
          </w:p>
        </w:tc>
        <w:tc>
          <w:tcPr>
            <w:tcW w:w="1183" w:type="pct"/>
            <w:tcBorders>
              <w:top w:val="nil"/>
              <w:left w:val="nil"/>
              <w:bottom w:val="single" w:sz="4" w:space="0" w:color="auto"/>
              <w:right w:val="single" w:sz="4" w:space="0" w:color="auto"/>
            </w:tcBorders>
            <w:shd w:val="clear" w:color="auto" w:fill="auto"/>
            <w:noWrap/>
            <w:vAlign w:val="center"/>
            <w:hideMark/>
          </w:tcPr>
          <w:p w14:paraId="4E38F837"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1,195,919.40 </w:t>
            </w:r>
          </w:p>
        </w:tc>
        <w:tc>
          <w:tcPr>
            <w:tcW w:w="698" w:type="pct"/>
            <w:tcBorders>
              <w:top w:val="nil"/>
              <w:left w:val="nil"/>
              <w:bottom w:val="single" w:sz="4" w:space="0" w:color="auto"/>
              <w:right w:val="single" w:sz="4" w:space="0" w:color="auto"/>
            </w:tcBorders>
            <w:shd w:val="clear" w:color="auto" w:fill="auto"/>
            <w:noWrap/>
            <w:vAlign w:val="center"/>
            <w:hideMark/>
          </w:tcPr>
          <w:p w14:paraId="7A9739EE"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1.0%</w:t>
            </w:r>
          </w:p>
        </w:tc>
      </w:tr>
      <w:tr w:rsidR="00AB62A9" w:rsidRPr="00AB62A9" w14:paraId="78C35B28"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23A6FA13" w14:textId="77777777" w:rsidR="00AB62A9" w:rsidRPr="00AB62A9" w:rsidRDefault="00AB62A9" w:rsidP="00AB62A9">
            <w:pPr>
              <w:spacing w:after="0" w:line="240" w:lineRule="auto"/>
              <w:rPr>
                <w:rFonts w:eastAsia="Times New Roman" w:cstheme="minorHAnsi"/>
                <w:color w:val="000000"/>
                <w:sz w:val="18"/>
                <w:szCs w:val="20"/>
                <w:lang w:eastAsia="es-MX"/>
              </w:rPr>
            </w:pPr>
          </w:p>
        </w:tc>
        <w:tc>
          <w:tcPr>
            <w:tcW w:w="1347" w:type="pct"/>
            <w:vMerge/>
            <w:tcBorders>
              <w:top w:val="nil"/>
              <w:left w:val="single" w:sz="4" w:space="0" w:color="auto"/>
              <w:bottom w:val="single" w:sz="4" w:space="0" w:color="auto"/>
              <w:right w:val="single" w:sz="4" w:space="0" w:color="auto"/>
            </w:tcBorders>
            <w:vAlign w:val="center"/>
            <w:hideMark/>
          </w:tcPr>
          <w:p w14:paraId="57D465F2"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0A57D3DA"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Construcción</w:t>
            </w:r>
          </w:p>
        </w:tc>
        <w:tc>
          <w:tcPr>
            <w:tcW w:w="1183" w:type="pct"/>
            <w:tcBorders>
              <w:top w:val="nil"/>
              <w:left w:val="nil"/>
              <w:bottom w:val="single" w:sz="4" w:space="0" w:color="auto"/>
              <w:right w:val="single" w:sz="4" w:space="0" w:color="auto"/>
            </w:tcBorders>
            <w:shd w:val="clear" w:color="auto" w:fill="auto"/>
            <w:noWrap/>
            <w:vAlign w:val="center"/>
            <w:hideMark/>
          </w:tcPr>
          <w:p w14:paraId="66670AFD"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9,028,820.54 </w:t>
            </w:r>
          </w:p>
        </w:tc>
        <w:tc>
          <w:tcPr>
            <w:tcW w:w="698" w:type="pct"/>
            <w:tcBorders>
              <w:top w:val="nil"/>
              <w:left w:val="nil"/>
              <w:bottom w:val="single" w:sz="4" w:space="0" w:color="auto"/>
              <w:right w:val="single" w:sz="4" w:space="0" w:color="auto"/>
            </w:tcBorders>
            <w:shd w:val="clear" w:color="auto" w:fill="auto"/>
            <w:noWrap/>
            <w:vAlign w:val="center"/>
            <w:hideMark/>
          </w:tcPr>
          <w:p w14:paraId="1A1D7FFA"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7.3%</w:t>
            </w:r>
          </w:p>
        </w:tc>
      </w:tr>
      <w:tr w:rsidR="00AB62A9" w:rsidRPr="00AB62A9" w14:paraId="5A2118A1"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798CF65A" w14:textId="77777777" w:rsidR="00AB62A9" w:rsidRPr="00AB62A9" w:rsidRDefault="00AB62A9" w:rsidP="00AB62A9">
            <w:pPr>
              <w:spacing w:after="0" w:line="240" w:lineRule="auto"/>
              <w:rPr>
                <w:rFonts w:eastAsia="Times New Roman" w:cstheme="minorHAnsi"/>
                <w:color w:val="000000"/>
                <w:sz w:val="18"/>
                <w:szCs w:val="20"/>
                <w:lang w:eastAsia="es-MX"/>
              </w:rPr>
            </w:pPr>
          </w:p>
        </w:tc>
        <w:tc>
          <w:tcPr>
            <w:tcW w:w="1347" w:type="pct"/>
            <w:vMerge/>
            <w:tcBorders>
              <w:top w:val="nil"/>
              <w:left w:val="single" w:sz="4" w:space="0" w:color="auto"/>
              <w:bottom w:val="single" w:sz="4" w:space="0" w:color="auto"/>
              <w:right w:val="single" w:sz="4" w:space="0" w:color="auto"/>
            </w:tcBorders>
            <w:vAlign w:val="center"/>
            <w:hideMark/>
          </w:tcPr>
          <w:p w14:paraId="2FD3DF65"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6E2DF38A"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Mantenimiento</w:t>
            </w:r>
          </w:p>
        </w:tc>
        <w:tc>
          <w:tcPr>
            <w:tcW w:w="1183" w:type="pct"/>
            <w:tcBorders>
              <w:top w:val="nil"/>
              <w:left w:val="nil"/>
              <w:bottom w:val="single" w:sz="4" w:space="0" w:color="auto"/>
              <w:right w:val="single" w:sz="4" w:space="0" w:color="auto"/>
            </w:tcBorders>
            <w:shd w:val="clear" w:color="auto" w:fill="auto"/>
            <w:noWrap/>
            <w:vAlign w:val="center"/>
            <w:hideMark/>
          </w:tcPr>
          <w:p w14:paraId="73E4EAC4"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16,745,459.47 </w:t>
            </w:r>
          </w:p>
        </w:tc>
        <w:tc>
          <w:tcPr>
            <w:tcW w:w="698" w:type="pct"/>
            <w:tcBorders>
              <w:top w:val="nil"/>
              <w:left w:val="nil"/>
              <w:bottom w:val="single" w:sz="4" w:space="0" w:color="auto"/>
              <w:right w:val="single" w:sz="4" w:space="0" w:color="auto"/>
            </w:tcBorders>
            <w:shd w:val="clear" w:color="auto" w:fill="auto"/>
            <w:noWrap/>
            <w:vAlign w:val="center"/>
            <w:hideMark/>
          </w:tcPr>
          <w:p w14:paraId="300F684D"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13.6%</w:t>
            </w:r>
          </w:p>
        </w:tc>
      </w:tr>
      <w:tr w:rsidR="00AB62A9" w:rsidRPr="00AB62A9" w14:paraId="5AF92804"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42BABD58" w14:textId="77777777" w:rsidR="00AB62A9" w:rsidRPr="00AB62A9" w:rsidRDefault="00AB62A9" w:rsidP="00AB62A9">
            <w:pPr>
              <w:spacing w:after="0" w:line="240" w:lineRule="auto"/>
              <w:rPr>
                <w:rFonts w:eastAsia="Times New Roman" w:cstheme="minorHAnsi"/>
                <w:color w:val="000000"/>
                <w:sz w:val="18"/>
                <w:szCs w:val="20"/>
                <w:lang w:eastAsia="es-MX"/>
              </w:rPr>
            </w:pPr>
          </w:p>
        </w:tc>
        <w:tc>
          <w:tcPr>
            <w:tcW w:w="1347" w:type="pct"/>
            <w:vMerge/>
            <w:tcBorders>
              <w:top w:val="nil"/>
              <w:left w:val="single" w:sz="4" w:space="0" w:color="auto"/>
              <w:bottom w:val="single" w:sz="4" w:space="0" w:color="auto"/>
              <w:right w:val="single" w:sz="4" w:space="0" w:color="auto"/>
            </w:tcBorders>
            <w:vAlign w:val="center"/>
            <w:hideMark/>
          </w:tcPr>
          <w:p w14:paraId="10FE9F2E"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132D62C2"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Rehabilitación</w:t>
            </w:r>
          </w:p>
        </w:tc>
        <w:tc>
          <w:tcPr>
            <w:tcW w:w="1183" w:type="pct"/>
            <w:tcBorders>
              <w:top w:val="nil"/>
              <w:left w:val="nil"/>
              <w:bottom w:val="single" w:sz="4" w:space="0" w:color="auto"/>
              <w:right w:val="single" w:sz="4" w:space="0" w:color="auto"/>
            </w:tcBorders>
            <w:shd w:val="clear" w:color="auto" w:fill="auto"/>
            <w:noWrap/>
            <w:vAlign w:val="center"/>
            <w:hideMark/>
          </w:tcPr>
          <w:p w14:paraId="4F32650C"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2,235,882.46 </w:t>
            </w:r>
          </w:p>
        </w:tc>
        <w:tc>
          <w:tcPr>
            <w:tcW w:w="698" w:type="pct"/>
            <w:tcBorders>
              <w:top w:val="nil"/>
              <w:left w:val="nil"/>
              <w:bottom w:val="single" w:sz="4" w:space="0" w:color="auto"/>
              <w:right w:val="single" w:sz="4" w:space="0" w:color="auto"/>
            </w:tcBorders>
            <w:shd w:val="clear" w:color="auto" w:fill="auto"/>
            <w:noWrap/>
            <w:vAlign w:val="center"/>
            <w:hideMark/>
          </w:tcPr>
          <w:p w14:paraId="5B5B5C84"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1.8%</w:t>
            </w:r>
          </w:p>
        </w:tc>
      </w:tr>
      <w:tr w:rsidR="00AB62A9" w:rsidRPr="00AB62A9" w14:paraId="1E300722"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23810928" w14:textId="77777777" w:rsidR="00AB62A9" w:rsidRPr="00AB62A9" w:rsidRDefault="00AB62A9" w:rsidP="00AB62A9">
            <w:pPr>
              <w:spacing w:after="0" w:line="240" w:lineRule="auto"/>
              <w:rPr>
                <w:rFonts w:eastAsia="Times New Roman" w:cstheme="minorHAnsi"/>
                <w:color w:val="000000"/>
                <w:sz w:val="18"/>
                <w:szCs w:val="20"/>
                <w:lang w:eastAsia="es-MX"/>
              </w:rPr>
            </w:pPr>
          </w:p>
        </w:tc>
        <w:tc>
          <w:tcPr>
            <w:tcW w:w="1347" w:type="pct"/>
            <w:vMerge/>
            <w:tcBorders>
              <w:top w:val="nil"/>
              <w:left w:val="single" w:sz="4" w:space="0" w:color="auto"/>
              <w:bottom w:val="single" w:sz="4" w:space="0" w:color="auto"/>
              <w:right w:val="single" w:sz="4" w:space="0" w:color="auto"/>
            </w:tcBorders>
            <w:vAlign w:val="center"/>
            <w:hideMark/>
          </w:tcPr>
          <w:p w14:paraId="284905FF"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03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477BF89"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Modernización</w:t>
            </w:r>
          </w:p>
        </w:tc>
        <w:tc>
          <w:tcPr>
            <w:tcW w:w="11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FBB193"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25,000,000.00 </w:t>
            </w:r>
          </w:p>
        </w:tc>
        <w:tc>
          <w:tcPr>
            <w:tcW w:w="6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D84731"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20.3%</w:t>
            </w:r>
          </w:p>
        </w:tc>
      </w:tr>
      <w:tr w:rsidR="00AB62A9" w:rsidRPr="00AB62A9" w14:paraId="5C550A09" w14:textId="77777777" w:rsidTr="00B14BD2">
        <w:trPr>
          <w:trHeight w:val="220"/>
        </w:trPr>
        <w:tc>
          <w:tcPr>
            <w:tcW w:w="737" w:type="pct"/>
            <w:vMerge/>
            <w:tcBorders>
              <w:top w:val="nil"/>
              <w:left w:val="single" w:sz="4" w:space="0" w:color="auto"/>
              <w:bottom w:val="single" w:sz="4" w:space="0" w:color="auto"/>
              <w:right w:val="single" w:sz="4" w:space="0" w:color="auto"/>
            </w:tcBorders>
            <w:vAlign w:val="center"/>
            <w:hideMark/>
          </w:tcPr>
          <w:p w14:paraId="338E5F25" w14:textId="77777777" w:rsidR="00AB62A9" w:rsidRPr="00AB62A9" w:rsidRDefault="00AB62A9" w:rsidP="00AB62A9">
            <w:pPr>
              <w:spacing w:after="0" w:line="240" w:lineRule="auto"/>
              <w:rPr>
                <w:rFonts w:eastAsia="Times New Roman" w:cstheme="minorHAnsi"/>
                <w:color w:val="000000"/>
                <w:sz w:val="18"/>
                <w:szCs w:val="20"/>
                <w:lang w:eastAsia="es-MX"/>
              </w:rPr>
            </w:pPr>
          </w:p>
        </w:tc>
        <w:tc>
          <w:tcPr>
            <w:tcW w:w="1347" w:type="pct"/>
            <w:vMerge/>
            <w:tcBorders>
              <w:top w:val="nil"/>
              <w:left w:val="single" w:sz="4" w:space="0" w:color="auto"/>
              <w:bottom w:val="single" w:sz="4" w:space="0" w:color="auto"/>
              <w:right w:val="single" w:sz="4" w:space="0" w:color="auto"/>
            </w:tcBorders>
            <w:vAlign w:val="center"/>
            <w:hideMark/>
          </w:tcPr>
          <w:p w14:paraId="77E4E654"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035" w:type="pct"/>
            <w:gridSpan w:val="2"/>
            <w:vMerge/>
            <w:tcBorders>
              <w:top w:val="nil"/>
              <w:left w:val="single" w:sz="4" w:space="0" w:color="auto"/>
              <w:bottom w:val="single" w:sz="4" w:space="0" w:color="auto"/>
              <w:right w:val="single" w:sz="4" w:space="0" w:color="auto"/>
            </w:tcBorders>
            <w:vAlign w:val="center"/>
            <w:hideMark/>
          </w:tcPr>
          <w:p w14:paraId="23652731"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183" w:type="pct"/>
            <w:vMerge/>
            <w:tcBorders>
              <w:top w:val="nil"/>
              <w:left w:val="single" w:sz="4" w:space="0" w:color="auto"/>
              <w:bottom w:val="single" w:sz="4" w:space="0" w:color="auto"/>
              <w:right w:val="single" w:sz="4" w:space="0" w:color="auto"/>
            </w:tcBorders>
            <w:vAlign w:val="center"/>
            <w:hideMark/>
          </w:tcPr>
          <w:p w14:paraId="7A9D543F" w14:textId="77777777" w:rsidR="00AB62A9" w:rsidRPr="00AB62A9" w:rsidRDefault="00AB62A9" w:rsidP="00AB62A9">
            <w:pPr>
              <w:spacing w:after="0" w:line="240" w:lineRule="auto"/>
              <w:jc w:val="right"/>
              <w:rPr>
                <w:rFonts w:eastAsia="Times New Roman" w:cstheme="minorHAnsi"/>
                <w:color w:val="000000"/>
                <w:sz w:val="20"/>
                <w:szCs w:val="20"/>
                <w:lang w:eastAsia="es-MX"/>
              </w:rPr>
            </w:pPr>
          </w:p>
        </w:tc>
        <w:tc>
          <w:tcPr>
            <w:tcW w:w="698" w:type="pct"/>
            <w:vMerge/>
            <w:tcBorders>
              <w:top w:val="nil"/>
              <w:left w:val="single" w:sz="4" w:space="0" w:color="auto"/>
              <w:bottom w:val="single" w:sz="4" w:space="0" w:color="auto"/>
              <w:right w:val="single" w:sz="4" w:space="0" w:color="auto"/>
            </w:tcBorders>
            <w:vAlign w:val="center"/>
            <w:hideMark/>
          </w:tcPr>
          <w:p w14:paraId="00B5DFBD" w14:textId="77777777" w:rsidR="00AB62A9" w:rsidRPr="00AB62A9" w:rsidRDefault="00AB62A9" w:rsidP="00AB62A9">
            <w:pPr>
              <w:spacing w:after="0" w:line="240" w:lineRule="auto"/>
              <w:rPr>
                <w:rFonts w:eastAsia="Times New Roman" w:cstheme="minorHAnsi"/>
                <w:color w:val="000000"/>
                <w:sz w:val="20"/>
                <w:szCs w:val="20"/>
                <w:lang w:eastAsia="es-MX"/>
              </w:rPr>
            </w:pPr>
          </w:p>
        </w:tc>
      </w:tr>
      <w:tr w:rsidR="00AB62A9" w:rsidRPr="00AB62A9" w14:paraId="6DED3AF8" w14:textId="77777777" w:rsidTr="00B14BD2">
        <w:trPr>
          <w:trHeight w:val="70"/>
        </w:trPr>
        <w:tc>
          <w:tcPr>
            <w:tcW w:w="311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ED3D6" w14:textId="77777777" w:rsidR="00AB62A9" w:rsidRPr="00AB62A9" w:rsidRDefault="00AB62A9" w:rsidP="00AB62A9">
            <w:pPr>
              <w:spacing w:after="0" w:line="240" w:lineRule="auto"/>
              <w:jc w:val="center"/>
              <w:rPr>
                <w:rFonts w:eastAsia="Times New Roman" w:cstheme="minorHAnsi"/>
                <w:b/>
                <w:bCs/>
                <w:color w:val="000000"/>
                <w:sz w:val="18"/>
                <w:szCs w:val="20"/>
                <w:lang w:eastAsia="es-MX"/>
              </w:rPr>
            </w:pPr>
            <w:r w:rsidRPr="00AB62A9">
              <w:rPr>
                <w:rFonts w:eastAsia="Times New Roman" w:cstheme="minorHAnsi"/>
                <w:b/>
                <w:bCs/>
                <w:color w:val="000000"/>
                <w:sz w:val="18"/>
                <w:szCs w:val="20"/>
                <w:lang w:eastAsia="es-MX"/>
              </w:rPr>
              <w:t>Subtotal</w:t>
            </w:r>
          </w:p>
        </w:tc>
        <w:tc>
          <w:tcPr>
            <w:tcW w:w="1183" w:type="pct"/>
            <w:tcBorders>
              <w:top w:val="nil"/>
              <w:left w:val="nil"/>
              <w:bottom w:val="single" w:sz="4" w:space="0" w:color="auto"/>
              <w:right w:val="single" w:sz="4" w:space="0" w:color="auto"/>
            </w:tcBorders>
            <w:shd w:val="clear" w:color="auto" w:fill="auto"/>
            <w:noWrap/>
            <w:vAlign w:val="center"/>
            <w:hideMark/>
          </w:tcPr>
          <w:p w14:paraId="47C19282" w14:textId="77777777" w:rsidR="00AB62A9" w:rsidRPr="00AB62A9" w:rsidRDefault="00AB62A9" w:rsidP="00AB62A9">
            <w:pPr>
              <w:spacing w:after="0" w:line="240" w:lineRule="auto"/>
              <w:jc w:val="right"/>
              <w:rPr>
                <w:rFonts w:eastAsia="Times New Roman" w:cstheme="minorHAnsi"/>
                <w:b/>
                <w:bCs/>
                <w:color w:val="000000"/>
                <w:sz w:val="20"/>
                <w:szCs w:val="20"/>
                <w:lang w:eastAsia="es-MX"/>
              </w:rPr>
            </w:pPr>
            <w:r w:rsidRPr="00AB62A9">
              <w:rPr>
                <w:rFonts w:eastAsia="Times New Roman" w:cstheme="minorHAnsi"/>
                <w:b/>
                <w:bCs/>
                <w:color w:val="000000"/>
                <w:sz w:val="20"/>
                <w:szCs w:val="20"/>
                <w:lang w:eastAsia="es-MX"/>
              </w:rPr>
              <w:t xml:space="preserve"> $           54,206,081.86 </w:t>
            </w:r>
          </w:p>
        </w:tc>
        <w:tc>
          <w:tcPr>
            <w:tcW w:w="698" w:type="pct"/>
            <w:tcBorders>
              <w:top w:val="nil"/>
              <w:left w:val="nil"/>
              <w:bottom w:val="single" w:sz="4" w:space="0" w:color="auto"/>
              <w:right w:val="single" w:sz="4" w:space="0" w:color="auto"/>
            </w:tcBorders>
            <w:shd w:val="clear" w:color="auto" w:fill="auto"/>
            <w:noWrap/>
            <w:vAlign w:val="center"/>
            <w:hideMark/>
          </w:tcPr>
          <w:p w14:paraId="681E4FEE" w14:textId="77777777" w:rsidR="00AB62A9" w:rsidRPr="00AB62A9" w:rsidRDefault="00AB62A9" w:rsidP="00AB62A9">
            <w:pPr>
              <w:spacing w:after="0" w:line="240" w:lineRule="auto"/>
              <w:jc w:val="center"/>
              <w:rPr>
                <w:rFonts w:eastAsia="Times New Roman" w:cstheme="minorHAnsi"/>
                <w:b/>
                <w:color w:val="000000"/>
                <w:sz w:val="20"/>
                <w:szCs w:val="20"/>
                <w:lang w:eastAsia="es-MX"/>
              </w:rPr>
            </w:pPr>
            <w:r w:rsidRPr="00AB62A9">
              <w:rPr>
                <w:rFonts w:eastAsia="Times New Roman" w:cstheme="minorHAnsi"/>
                <w:b/>
                <w:color w:val="000000"/>
                <w:sz w:val="20"/>
                <w:szCs w:val="20"/>
                <w:lang w:eastAsia="es-MX"/>
              </w:rPr>
              <w:t>44.1%</w:t>
            </w:r>
          </w:p>
        </w:tc>
      </w:tr>
      <w:tr w:rsidR="00AB62A9" w:rsidRPr="00AB62A9" w14:paraId="51869DB4" w14:textId="77777777" w:rsidTr="00B14BD2">
        <w:trPr>
          <w:trHeight w:val="300"/>
        </w:trPr>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40FC304F" w14:textId="77777777" w:rsidR="00AB62A9" w:rsidRPr="00AB62A9" w:rsidRDefault="00AB62A9" w:rsidP="00AB62A9">
            <w:pPr>
              <w:spacing w:after="0" w:line="240" w:lineRule="auto"/>
              <w:rPr>
                <w:rFonts w:eastAsia="Times New Roman" w:cstheme="minorHAnsi"/>
                <w:color w:val="000000"/>
                <w:sz w:val="18"/>
                <w:szCs w:val="20"/>
                <w:lang w:eastAsia="es-MX"/>
              </w:rPr>
            </w:pPr>
            <w:r w:rsidRPr="00AB62A9">
              <w:rPr>
                <w:rFonts w:eastAsia="Times New Roman" w:cstheme="minorHAnsi"/>
                <w:color w:val="000000"/>
                <w:sz w:val="18"/>
                <w:szCs w:val="20"/>
                <w:lang w:eastAsia="es-MX"/>
              </w:rPr>
              <w:t>Infraestructura Gobierno</w:t>
            </w:r>
          </w:p>
        </w:tc>
        <w:tc>
          <w:tcPr>
            <w:tcW w:w="13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D6160D"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Casa de Gobierno</w:t>
            </w:r>
          </w:p>
        </w:tc>
        <w:tc>
          <w:tcPr>
            <w:tcW w:w="1035"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118B1EA"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Rehabilitación</w:t>
            </w:r>
          </w:p>
        </w:tc>
        <w:tc>
          <w:tcPr>
            <w:tcW w:w="11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6E1288"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7,046,915.03 </w:t>
            </w:r>
          </w:p>
        </w:tc>
        <w:tc>
          <w:tcPr>
            <w:tcW w:w="69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C9D1E8"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5.7%</w:t>
            </w:r>
          </w:p>
        </w:tc>
      </w:tr>
      <w:tr w:rsidR="00AB62A9" w:rsidRPr="00AB62A9" w14:paraId="2A34F494" w14:textId="77777777" w:rsidTr="00B14BD2">
        <w:trPr>
          <w:trHeight w:val="244"/>
        </w:trPr>
        <w:tc>
          <w:tcPr>
            <w:tcW w:w="737" w:type="pct"/>
            <w:vMerge/>
            <w:tcBorders>
              <w:top w:val="nil"/>
              <w:left w:val="single" w:sz="4" w:space="0" w:color="auto"/>
              <w:bottom w:val="single" w:sz="4" w:space="0" w:color="auto"/>
              <w:right w:val="single" w:sz="4" w:space="0" w:color="auto"/>
            </w:tcBorders>
            <w:vAlign w:val="center"/>
            <w:hideMark/>
          </w:tcPr>
          <w:p w14:paraId="345CD5DD"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347" w:type="pct"/>
            <w:vMerge/>
            <w:tcBorders>
              <w:top w:val="nil"/>
              <w:left w:val="single" w:sz="4" w:space="0" w:color="auto"/>
              <w:bottom w:val="single" w:sz="4" w:space="0" w:color="auto"/>
              <w:right w:val="single" w:sz="4" w:space="0" w:color="auto"/>
            </w:tcBorders>
            <w:vAlign w:val="center"/>
            <w:hideMark/>
          </w:tcPr>
          <w:p w14:paraId="68854019"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035" w:type="pct"/>
            <w:gridSpan w:val="2"/>
            <w:vMerge/>
            <w:tcBorders>
              <w:top w:val="nil"/>
              <w:left w:val="single" w:sz="4" w:space="0" w:color="auto"/>
              <w:bottom w:val="single" w:sz="4" w:space="0" w:color="auto"/>
              <w:right w:val="single" w:sz="4" w:space="0" w:color="auto"/>
            </w:tcBorders>
            <w:vAlign w:val="center"/>
            <w:hideMark/>
          </w:tcPr>
          <w:p w14:paraId="5AF8DD7E"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183" w:type="pct"/>
            <w:vMerge/>
            <w:tcBorders>
              <w:top w:val="nil"/>
              <w:left w:val="single" w:sz="4" w:space="0" w:color="auto"/>
              <w:bottom w:val="single" w:sz="4" w:space="0" w:color="auto"/>
              <w:right w:val="single" w:sz="4" w:space="0" w:color="auto"/>
            </w:tcBorders>
            <w:vAlign w:val="center"/>
            <w:hideMark/>
          </w:tcPr>
          <w:p w14:paraId="1855FF85" w14:textId="77777777" w:rsidR="00AB62A9" w:rsidRPr="00AB62A9" w:rsidRDefault="00AB62A9" w:rsidP="00AB62A9">
            <w:pPr>
              <w:spacing w:after="0" w:line="240" w:lineRule="auto"/>
              <w:jc w:val="right"/>
              <w:rPr>
                <w:rFonts w:eastAsia="Times New Roman" w:cstheme="minorHAnsi"/>
                <w:color w:val="000000"/>
                <w:sz w:val="20"/>
                <w:szCs w:val="20"/>
                <w:lang w:eastAsia="es-MX"/>
              </w:rPr>
            </w:pPr>
          </w:p>
        </w:tc>
        <w:tc>
          <w:tcPr>
            <w:tcW w:w="698" w:type="pct"/>
            <w:vMerge/>
            <w:tcBorders>
              <w:top w:val="nil"/>
              <w:left w:val="single" w:sz="4" w:space="0" w:color="auto"/>
              <w:bottom w:val="single" w:sz="4" w:space="0" w:color="auto"/>
              <w:right w:val="single" w:sz="4" w:space="0" w:color="auto"/>
            </w:tcBorders>
            <w:vAlign w:val="center"/>
            <w:hideMark/>
          </w:tcPr>
          <w:p w14:paraId="36385581" w14:textId="77777777" w:rsidR="00AB62A9" w:rsidRPr="00AB62A9" w:rsidRDefault="00AB62A9" w:rsidP="00AB62A9">
            <w:pPr>
              <w:spacing w:after="0" w:line="240" w:lineRule="auto"/>
              <w:rPr>
                <w:rFonts w:eastAsia="Times New Roman" w:cstheme="minorHAnsi"/>
                <w:color w:val="000000"/>
                <w:sz w:val="20"/>
                <w:szCs w:val="20"/>
                <w:lang w:eastAsia="es-MX"/>
              </w:rPr>
            </w:pPr>
          </w:p>
        </w:tc>
      </w:tr>
      <w:tr w:rsidR="00AB62A9" w:rsidRPr="00AB62A9" w14:paraId="517CECB1"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4C97ACE1"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347" w:type="pct"/>
            <w:tcBorders>
              <w:top w:val="nil"/>
              <w:left w:val="nil"/>
              <w:bottom w:val="single" w:sz="4" w:space="0" w:color="auto"/>
              <w:right w:val="single" w:sz="4" w:space="0" w:color="auto"/>
            </w:tcBorders>
            <w:shd w:val="clear" w:color="auto" w:fill="auto"/>
            <w:noWrap/>
            <w:vAlign w:val="center"/>
            <w:hideMark/>
          </w:tcPr>
          <w:p w14:paraId="71D008C7"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Complejo </w:t>
            </w:r>
            <w:r w:rsidR="00B541A0" w:rsidRPr="00AB62A9">
              <w:rPr>
                <w:rFonts w:eastAsia="Times New Roman" w:cstheme="minorHAnsi"/>
                <w:color w:val="000000"/>
                <w:sz w:val="20"/>
                <w:szCs w:val="20"/>
                <w:lang w:eastAsia="es-MX"/>
              </w:rPr>
              <w:t>Admón.</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54EDC0B7"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Mantenimiento</w:t>
            </w:r>
          </w:p>
        </w:tc>
        <w:tc>
          <w:tcPr>
            <w:tcW w:w="1183" w:type="pct"/>
            <w:tcBorders>
              <w:top w:val="nil"/>
              <w:left w:val="nil"/>
              <w:bottom w:val="single" w:sz="4" w:space="0" w:color="auto"/>
              <w:right w:val="single" w:sz="4" w:space="0" w:color="auto"/>
            </w:tcBorders>
            <w:shd w:val="clear" w:color="auto" w:fill="auto"/>
            <w:noWrap/>
            <w:vAlign w:val="center"/>
            <w:hideMark/>
          </w:tcPr>
          <w:p w14:paraId="4007013A"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577,282.20 </w:t>
            </w:r>
          </w:p>
        </w:tc>
        <w:tc>
          <w:tcPr>
            <w:tcW w:w="698" w:type="pct"/>
            <w:tcBorders>
              <w:top w:val="nil"/>
              <w:left w:val="nil"/>
              <w:bottom w:val="single" w:sz="4" w:space="0" w:color="auto"/>
              <w:right w:val="single" w:sz="4" w:space="0" w:color="auto"/>
            </w:tcBorders>
            <w:shd w:val="clear" w:color="auto" w:fill="auto"/>
            <w:noWrap/>
            <w:vAlign w:val="center"/>
            <w:hideMark/>
          </w:tcPr>
          <w:p w14:paraId="67C6D241"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0.5%</w:t>
            </w:r>
          </w:p>
        </w:tc>
      </w:tr>
      <w:tr w:rsidR="00AB62A9" w:rsidRPr="00AB62A9" w14:paraId="479FE3BE"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40911D6A"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347" w:type="pct"/>
            <w:tcBorders>
              <w:top w:val="nil"/>
              <w:left w:val="nil"/>
              <w:bottom w:val="single" w:sz="4" w:space="0" w:color="auto"/>
              <w:right w:val="single" w:sz="4" w:space="0" w:color="auto"/>
            </w:tcBorders>
            <w:shd w:val="clear" w:color="auto" w:fill="auto"/>
            <w:noWrap/>
            <w:vAlign w:val="center"/>
            <w:hideMark/>
          </w:tcPr>
          <w:p w14:paraId="1A22408E"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Varios Ofc. </w:t>
            </w:r>
            <w:r w:rsidR="00B541A0" w:rsidRPr="00AB62A9">
              <w:rPr>
                <w:rFonts w:eastAsia="Times New Roman" w:cstheme="minorHAnsi"/>
                <w:color w:val="000000"/>
                <w:sz w:val="20"/>
                <w:szCs w:val="20"/>
                <w:lang w:eastAsia="es-MX"/>
              </w:rPr>
              <w:t>Admón.</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2F134148"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Mantenimiento</w:t>
            </w:r>
          </w:p>
        </w:tc>
        <w:tc>
          <w:tcPr>
            <w:tcW w:w="1183" w:type="pct"/>
            <w:tcBorders>
              <w:top w:val="nil"/>
              <w:left w:val="nil"/>
              <w:bottom w:val="single" w:sz="4" w:space="0" w:color="auto"/>
              <w:right w:val="single" w:sz="4" w:space="0" w:color="auto"/>
            </w:tcBorders>
            <w:shd w:val="clear" w:color="auto" w:fill="auto"/>
            <w:noWrap/>
            <w:vAlign w:val="center"/>
            <w:hideMark/>
          </w:tcPr>
          <w:p w14:paraId="10BC3BC1"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5,388,064.51 </w:t>
            </w:r>
          </w:p>
        </w:tc>
        <w:tc>
          <w:tcPr>
            <w:tcW w:w="698" w:type="pct"/>
            <w:tcBorders>
              <w:top w:val="nil"/>
              <w:left w:val="nil"/>
              <w:bottom w:val="single" w:sz="4" w:space="0" w:color="auto"/>
              <w:right w:val="single" w:sz="4" w:space="0" w:color="auto"/>
            </w:tcBorders>
            <w:shd w:val="clear" w:color="auto" w:fill="auto"/>
            <w:noWrap/>
            <w:vAlign w:val="center"/>
            <w:hideMark/>
          </w:tcPr>
          <w:p w14:paraId="204D115D"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4.4%</w:t>
            </w:r>
          </w:p>
        </w:tc>
      </w:tr>
      <w:tr w:rsidR="00AB62A9" w:rsidRPr="00AB62A9" w14:paraId="1B86F6F3"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5BF0CA63"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347" w:type="pct"/>
            <w:tcBorders>
              <w:top w:val="nil"/>
              <w:left w:val="nil"/>
              <w:bottom w:val="single" w:sz="4" w:space="0" w:color="auto"/>
              <w:right w:val="single" w:sz="4" w:space="0" w:color="auto"/>
            </w:tcBorders>
            <w:shd w:val="clear" w:color="auto" w:fill="auto"/>
            <w:noWrap/>
            <w:vAlign w:val="center"/>
            <w:hideMark/>
          </w:tcPr>
          <w:p w14:paraId="3F91140D"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Sistema monitoreo aire</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3BBB19A1"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Mantenimiento</w:t>
            </w:r>
          </w:p>
        </w:tc>
        <w:tc>
          <w:tcPr>
            <w:tcW w:w="1183" w:type="pct"/>
            <w:tcBorders>
              <w:top w:val="nil"/>
              <w:left w:val="nil"/>
              <w:bottom w:val="single" w:sz="4" w:space="0" w:color="auto"/>
              <w:right w:val="single" w:sz="4" w:space="0" w:color="auto"/>
            </w:tcBorders>
            <w:shd w:val="clear" w:color="auto" w:fill="auto"/>
            <w:noWrap/>
            <w:vAlign w:val="center"/>
            <w:hideMark/>
          </w:tcPr>
          <w:p w14:paraId="13D30657"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162,496.28 </w:t>
            </w:r>
          </w:p>
        </w:tc>
        <w:tc>
          <w:tcPr>
            <w:tcW w:w="698" w:type="pct"/>
            <w:tcBorders>
              <w:top w:val="nil"/>
              <w:left w:val="nil"/>
              <w:bottom w:val="single" w:sz="4" w:space="0" w:color="auto"/>
              <w:right w:val="single" w:sz="4" w:space="0" w:color="auto"/>
            </w:tcBorders>
            <w:shd w:val="clear" w:color="auto" w:fill="auto"/>
            <w:noWrap/>
            <w:vAlign w:val="center"/>
            <w:hideMark/>
          </w:tcPr>
          <w:p w14:paraId="21A6EAB5"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0.1%</w:t>
            </w:r>
          </w:p>
        </w:tc>
      </w:tr>
      <w:tr w:rsidR="00AB62A9" w:rsidRPr="00AB62A9" w14:paraId="4CCDB4EA" w14:textId="77777777" w:rsidTr="00B14BD2">
        <w:trPr>
          <w:trHeight w:val="137"/>
        </w:trPr>
        <w:tc>
          <w:tcPr>
            <w:tcW w:w="311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C8FE9" w14:textId="77777777" w:rsidR="00AB62A9" w:rsidRPr="00AB62A9" w:rsidRDefault="00AB62A9" w:rsidP="00AB62A9">
            <w:pPr>
              <w:spacing w:after="0" w:line="240" w:lineRule="auto"/>
              <w:rPr>
                <w:rFonts w:eastAsia="Times New Roman" w:cstheme="minorHAnsi"/>
                <w:b/>
                <w:bCs/>
                <w:color w:val="000000"/>
                <w:sz w:val="20"/>
                <w:szCs w:val="20"/>
                <w:lang w:eastAsia="es-MX"/>
              </w:rPr>
            </w:pPr>
            <w:r w:rsidRPr="00AB62A9">
              <w:rPr>
                <w:rFonts w:eastAsia="Times New Roman" w:cstheme="minorHAnsi"/>
                <w:b/>
                <w:bCs/>
                <w:color w:val="000000"/>
                <w:sz w:val="20"/>
                <w:szCs w:val="20"/>
                <w:lang w:eastAsia="es-MX"/>
              </w:rPr>
              <w:t>Subtotal</w:t>
            </w:r>
          </w:p>
        </w:tc>
        <w:tc>
          <w:tcPr>
            <w:tcW w:w="1183" w:type="pct"/>
            <w:tcBorders>
              <w:top w:val="nil"/>
              <w:left w:val="nil"/>
              <w:bottom w:val="single" w:sz="4" w:space="0" w:color="auto"/>
              <w:right w:val="single" w:sz="4" w:space="0" w:color="auto"/>
            </w:tcBorders>
            <w:shd w:val="clear" w:color="auto" w:fill="auto"/>
            <w:noWrap/>
            <w:vAlign w:val="center"/>
            <w:hideMark/>
          </w:tcPr>
          <w:p w14:paraId="13E9AA00" w14:textId="77777777" w:rsidR="00AB62A9" w:rsidRPr="00AB62A9" w:rsidRDefault="00AB62A9" w:rsidP="00AB62A9">
            <w:pPr>
              <w:spacing w:after="0" w:line="240" w:lineRule="auto"/>
              <w:jc w:val="right"/>
              <w:rPr>
                <w:rFonts w:eastAsia="Times New Roman" w:cstheme="minorHAnsi"/>
                <w:b/>
                <w:bCs/>
                <w:color w:val="000000"/>
                <w:sz w:val="20"/>
                <w:szCs w:val="20"/>
                <w:lang w:eastAsia="es-MX"/>
              </w:rPr>
            </w:pPr>
            <w:r w:rsidRPr="00AB62A9">
              <w:rPr>
                <w:rFonts w:eastAsia="Times New Roman" w:cstheme="minorHAnsi"/>
                <w:b/>
                <w:bCs/>
                <w:color w:val="000000"/>
                <w:sz w:val="20"/>
                <w:szCs w:val="20"/>
                <w:lang w:eastAsia="es-MX"/>
              </w:rPr>
              <w:t xml:space="preserve"> $           13,174,758.02 </w:t>
            </w:r>
          </w:p>
        </w:tc>
        <w:tc>
          <w:tcPr>
            <w:tcW w:w="698" w:type="pct"/>
            <w:tcBorders>
              <w:top w:val="nil"/>
              <w:left w:val="nil"/>
              <w:bottom w:val="single" w:sz="4" w:space="0" w:color="auto"/>
              <w:right w:val="single" w:sz="4" w:space="0" w:color="auto"/>
            </w:tcBorders>
            <w:shd w:val="clear" w:color="auto" w:fill="auto"/>
            <w:noWrap/>
            <w:vAlign w:val="center"/>
            <w:hideMark/>
          </w:tcPr>
          <w:p w14:paraId="062B7900" w14:textId="77777777" w:rsidR="00AB62A9" w:rsidRPr="00AB62A9" w:rsidRDefault="00AB62A9" w:rsidP="00AB62A9">
            <w:pPr>
              <w:spacing w:after="0" w:line="240" w:lineRule="auto"/>
              <w:jc w:val="center"/>
              <w:rPr>
                <w:rFonts w:eastAsia="Times New Roman" w:cstheme="minorHAnsi"/>
                <w:b/>
                <w:color w:val="000000"/>
                <w:sz w:val="20"/>
                <w:szCs w:val="20"/>
                <w:lang w:eastAsia="es-MX"/>
              </w:rPr>
            </w:pPr>
            <w:r w:rsidRPr="00AB62A9">
              <w:rPr>
                <w:rFonts w:eastAsia="Times New Roman" w:cstheme="minorHAnsi"/>
                <w:b/>
                <w:color w:val="000000"/>
                <w:sz w:val="20"/>
                <w:szCs w:val="20"/>
                <w:lang w:eastAsia="es-MX"/>
              </w:rPr>
              <w:t>10.7%</w:t>
            </w:r>
          </w:p>
        </w:tc>
      </w:tr>
      <w:tr w:rsidR="00AB62A9" w:rsidRPr="00AB62A9" w14:paraId="53A235CC" w14:textId="77777777" w:rsidTr="00B14BD2">
        <w:trPr>
          <w:trHeight w:val="300"/>
        </w:trPr>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0AA24C87"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18"/>
                <w:szCs w:val="20"/>
                <w:lang w:eastAsia="es-MX"/>
              </w:rPr>
              <w:t>Infraestructura salud</w:t>
            </w:r>
          </w:p>
        </w:tc>
        <w:tc>
          <w:tcPr>
            <w:tcW w:w="1347" w:type="pct"/>
            <w:tcBorders>
              <w:top w:val="nil"/>
              <w:left w:val="nil"/>
              <w:bottom w:val="single" w:sz="4" w:space="0" w:color="auto"/>
              <w:right w:val="single" w:sz="4" w:space="0" w:color="auto"/>
            </w:tcBorders>
            <w:shd w:val="clear" w:color="auto" w:fill="auto"/>
            <w:noWrap/>
            <w:vAlign w:val="center"/>
            <w:hideMark/>
          </w:tcPr>
          <w:p w14:paraId="0F5E9084"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Centro reinserción</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39DAD7A5"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Mantenimiento</w:t>
            </w:r>
          </w:p>
        </w:tc>
        <w:tc>
          <w:tcPr>
            <w:tcW w:w="1183" w:type="pct"/>
            <w:tcBorders>
              <w:top w:val="nil"/>
              <w:left w:val="nil"/>
              <w:bottom w:val="single" w:sz="4" w:space="0" w:color="auto"/>
              <w:right w:val="single" w:sz="4" w:space="0" w:color="auto"/>
            </w:tcBorders>
            <w:shd w:val="clear" w:color="auto" w:fill="auto"/>
            <w:noWrap/>
            <w:vAlign w:val="center"/>
            <w:hideMark/>
          </w:tcPr>
          <w:p w14:paraId="1B8F978E"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1,579,665.33 </w:t>
            </w:r>
          </w:p>
        </w:tc>
        <w:tc>
          <w:tcPr>
            <w:tcW w:w="698" w:type="pct"/>
            <w:tcBorders>
              <w:top w:val="nil"/>
              <w:left w:val="nil"/>
              <w:bottom w:val="single" w:sz="4" w:space="0" w:color="auto"/>
              <w:right w:val="single" w:sz="4" w:space="0" w:color="auto"/>
            </w:tcBorders>
            <w:shd w:val="clear" w:color="auto" w:fill="auto"/>
            <w:noWrap/>
            <w:vAlign w:val="center"/>
            <w:hideMark/>
          </w:tcPr>
          <w:p w14:paraId="6EB5E86B"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1.3%</w:t>
            </w:r>
          </w:p>
        </w:tc>
      </w:tr>
      <w:tr w:rsidR="00AB62A9" w:rsidRPr="00AB62A9" w14:paraId="42506DC9"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10F6C6BA"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347" w:type="pct"/>
            <w:tcBorders>
              <w:top w:val="nil"/>
              <w:left w:val="nil"/>
              <w:bottom w:val="single" w:sz="4" w:space="0" w:color="auto"/>
              <w:right w:val="single" w:sz="4" w:space="0" w:color="auto"/>
            </w:tcBorders>
            <w:shd w:val="clear" w:color="auto" w:fill="auto"/>
            <w:noWrap/>
            <w:vAlign w:val="center"/>
            <w:hideMark/>
          </w:tcPr>
          <w:p w14:paraId="66328B76"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Centro salud</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3C1D090E"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Ampliación</w:t>
            </w:r>
          </w:p>
        </w:tc>
        <w:tc>
          <w:tcPr>
            <w:tcW w:w="1183" w:type="pct"/>
            <w:tcBorders>
              <w:top w:val="nil"/>
              <w:left w:val="nil"/>
              <w:bottom w:val="single" w:sz="4" w:space="0" w:color="auto"/>
              <w:right w:val="single" w:sz="4" w:space="0" w:color="auto"/>
            </w:tcBorders>
            <w:shd w:val="clear" w:color="auto" w:fill="auto"/>
            <w:noWrap/>
            <w:vAlign w:val="center"/>
            <w:hideMark/>
          </w:tcPr>
          <w:p w14:paraId="40F13A19"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3,759,880.60 </w:t>
            </w:r>
          </w:p>
        </w:tc>
        <w:tc>
          <w:tcPr>
            <w:tcW w:w="698" w:type="pct"/>
            <w:tcBorders>
              <w:top w:val="nil"/>
              <w:left w:val="nil"/>
              <w:bottom w:val="single" w:sz="4" w:space="0" w:color="auto"/>
              <w:right w:val="single" w:sz="4" w:space="0" w:color="auto"/>
            </w:tcBorders>
            <w:shd w:val="clear" w:color="auto" w:fill="auto"/>
            <w:noWrap/>
            <w:vAlign w:val="center"/>
            <w:hideMark/>
          </w:tcPr>
          <w:p w14:paraId="014EAD06"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3.1%</w:t>
            </w:r>
          </w:p>
        </w:tc>
      </w:tr>
      <w:tr w:rsidR="00AB62A9" w:rsidRPr="00AB62A9" w14:paraId="29FAA812" w14:textId="77777777" w:rsidTr="00B14BD2">
        <w:trPr>
          <w:trHeight w:val="70"/>
        </w:trPr>
        <w:tc>
          <w:tcPr>
            <w:tcW w:w="737" w:type="pct"/>
            <w:vMerge/>
            <w:tcBorders>
              <w:top w:val="nil"/>
              <w:left w:val="single" w:sz="4" w:space="0" w:color="auto"/>
              <w:bottom w:val="single" w:sz="4" w:space="0" w:color="auto"/>
              <w:right w:val="single" w:sz="4" w:space="0" w:color="auto"/>
            </w:tcBorders>
            <w:vAlign w:val="center"/>
            <w:hideMark/>
          </w:tcPr>
          <w:p w14:paraId="2290911D"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347" w:type="pct"/>
            <w:tcBorders>
              <w:top w:val="nil"/>
              <w:left w:val="nil"/>
              <w:bottom w:val="single" w:sz="4" w:space="0" w:color="auto"/>
              <w:right w:val="single" w:sz="4" w:space="0" w:color="auto"/>
            </w:tcBorders>
            <w:shd w:val="clear" w:color="auto" w:fill="auto"/>
            <w:noWrap/>
            <w:vAlign w:val="center"/>
            <w:hideMark/>
          </w:tcPr>
          <w:p w14:paraId="1F1BC35A"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Centro tratamiento Adicciones</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072227EB"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Mantenimiento</w:t>
            </w:r>
          </w:p>
        </w:tc>
        <w:tc>
          <w:tcPr>
            <w:tcW w:w="1183" w:type="pct"/>
            <w:tcBorders>
              <w:top w:val="nil"/>
              <w:left w:val="nil"/>
              <w:bottom w:val="single" w:sz="4" w:space="0" w:color="auto"/>
              <w:right w:val="single" w:sz="4" w:space="0" w:color="auto"/>
            </w:tcBorders>
            <w:shd w:val="clear" w:color="auto" w:fill="auto"/>
            <w:noWrap/>
            <w:vAlign w:val="center"/>
            <w:hideMark/>
          </w:tcPr>
          <w:p w14:paraId="44621C24"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2,989,301.03 </w:t>
            </w:r>
          </w:p>
        </w:tc>
        <w:tc>
          <w:tcPr>
            <w:tcW w:w="698" w:type="pct"/>
            <w:tcBorders>
              <w:top w:val="nil"/>
              <w:left w:val="nil"/>
              <w:bottom w:val="single" w:sz="4" w:space="0" w:color="auto"/>
              <w:right w:val="single" w:sz="4" w:space="0" w:color="auto"/>
            </w:tcBorders>
            <w:shd w:val="clear" w:color="auto" w:fill="auto"/>
            <w:noWrap/>
            <w:vAlign w:val="center"/>
            <w:hideMark/>
          </w:tcPr>
          <w:p w14:paraId="02DE6CA5"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2.4%</w:t>
            </w:r>
          </w:p>
        </w:tc>
      </w:tr>
      <w:tr w:rsidR="00AB62A9" w:rsidRPr="00AB62A9" w14:paraId="02F84746"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100E81E0"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347" w:type="pct"/>
            <w:tcBorders>
              <w:top w:val="nil"/>
              <w:left w:val="nil"/>
              <w:bottom w:val="single" w:sz="4" w:space="0" w:color="auto"/>
              <w:right w:val="single" w:sz="4" w:space="0" w:color="auto"/>
            </w:tcBorders>
            <w:shd w:val="clear" w:color="auto" w:fill="auto"/>
            <w:noWrap/>
            <w:vAlign w:val="center"/>
            <w:hideMark/>
          </w:tcPr>
          <w:p w14:paraId="179935DC"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Hospital</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6BB3F756"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Mantenimiento</w:t>
            </w:r>
          </w:p>
        </w:tc>
        <w:tc>
          <w:tcPr>
            <w:tcW w:w="1183" w:type="pct"/>
            <w:tcBorders>
              <w:top w:val="nil"/>
              <w:left w:val="nil"/>
              <w:bottom w:val="single" w:sz="4" w:space="0" w:color="auto"/>
              <w:right w:val="single" w:sz="4" w:space="0" w:color="auto"/>
            </w:tcBorders>
            <w:shd w:val="clear" w:color="auto" w:fill="auto"/>
            <w:noWrap/>
            <w:vAlign w:val="center"/>
            <w:hideMark/>
          </w:tcPr>
          <w:p w14:paraId="722483D8"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1,599,999.90 </w:t>
            </w:r>
          </w:p>
        </w:tc>
        <w:tc>
          <w:tcPr>
            <w:tcW w:w="698" w:type="pct"/>
            <w:tcBorders>
              <w:top w:val="nil"/>
              <w:left w:val="nil"/>
              <w:bottom w:val="single" w:sz="4" w:space="0" w:color="auto"/>
              <w:right w:val="single" w:sz="4" w:space="0" w:color="auto"/>
            </w:tcBorders>
            <w:shd w:val="clear" w:color="auto" w:fill="auto"/>
            <w:noWrap/>
            <w:vAlign w:val="center"/>
            <w:hideMark/>
          </w:tcPr>
          <w:p w14:paraId="7DE2DAFE"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1.3%</w:t>
            </w:r>
          </w:p>
        </w:tc>
      </w:tr>
      <w:tr w:rsidR="00AB62A9" w:rsidRPr="00AB62A9" w14:paraId="20E12F4F"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09D30BCB"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347" w:type="pct"/>
            <w:tcBorders>
              <w:top w:val="nil"/>
              <w:left w:val="nil"/>
              <w:bottom w:val="single" w:sz="4" w:space="0" w:color="auto"/>
              <w:right w:val="single" w:sz="4" w:space="0" w:color="auto"/>
            </w:tcBorders>
            <w:shd w:val="clear" w:color="auto" w:fill="auto"/>
            <w:noWrap/>
            <w:vAlign w:val="center"/>
            <w:hideMark/>
          </w:tcPr>
          <w:p w14:paraId="0078298B"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SEMEFO</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1CDE65D9"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Mantenimiento</w:t>
            </w:r>
          </w:p>
        </w:tc>
        <w:tc>
          <w:tcPr>
            <w:tcW w:w="1183" w:type="pct"/>
            <w:tcBorders>
              <w:top w:val="nil"/>
              <w:left w:val="nil"/>
              <w:bottom w:val="single" w:sz="4" w:space="0" w:color="auto"/>
              <w:right w:val="single" w:sz="4" w:space="0" w:color="auto"/>
            </w:tcBorders>
            <w:shd w:val="clear" w:color="auto" w:fill="auto"/>
            <w:noWrap/>
            <w:vAlign w:val="center"/>
            <w:hideMark/>
          </w:tcPr>
          <w:p w14:paraId="1AF5EE6F"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3,358,551.55 </w:t>
            </w:r>
          </w:p>
        </w:tc>
        <w:tc>
          <w:tcPr>
            <w:tcW w:w="698" w:type="pct"/>
            <w:tcBorders>
              <w:top w:val="nil"/>
              <w:left w:val="nil"/>
              <w:bottom w:val="single" w:sz="4" w:space="0" w:color="auto"/>
              <w:right w:val="single" w:sz="4" w:space="0" w:color="auto"/>
            </w:tcBorders>
            <w:shd w:val="clear" w:color="auto" w:fill="auto"/>
            <w:noWrap/>
            <w:vAlign w:val="center"/>
            <w:hideMark/>
          </w:tcPr>
          <w:p w14:paraId="67C8E40A"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2.7%</w:t>
            </w:r>
          </w:p>
        </w:tc>
      </w:tr>
      <w:tr w:rsidR="00AB62A9" w:rsidRPr="00AB62A9" w14:paraId="35D771CB" w14:textId="77777777" w:rsidTr="00B14BD2">
        <w:trPr>
          <w:trHeight w:val="300"/>
        </w:trPr>
        <w:tc>
          <w:tcPr>
            <w:tcW w:w="311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0B96B" w14:textId="77777777" w:rsidR="00AB62A9" w:rsidRPr="00AB62A9" w:rsidRDefault="00AB62A9" w:rsidP="00AB62A9">
            <w:pPr>
              <w:spacing w:after="0" w:line="240" w:lineRule="auto"/>
              <w:jc w:val="center"/>
              <w:rPr>
                <w:rFonts w:eastAsia="Times New Roman" w:cstheme="minorHAnsi"/>
                <w:b/>
                <w:bCs/>
                <w:color w:val="000000"/>
                <w:sz w:val="20"/>
                <w:szCs w:val="20"/>
                <w:lang w:eastAsia="es-MX"/>
              </w:rPr>
            </w:pPr>
            <w:r w:rsidRPr="00AB62A9">
              <w:rPr>
                <w:rFonts w:eastAsia="Times New Roman" w:cstheme="minorHAnsi"/>
                <w:b/>
                <w:bCs/>
                <w:color w:val="000000"/>
                <w:sz w:val="20"/>
                <w:szCs w:val="20"/>
                <w:lang w:eastAsia="es-MX"/>
              </w:rPr>
              <w:t>Subtotal</w:t>
            </w:r>
          </w:p>
        </w:tc>
        <w:tc>
          <w:tcPr>
            <w:tcW w:w="1183" w:type="pct"/>
            <w:tcBorders>
              <w:top w:val="nil"/>
              <w:left w:val="nil"/>
              <w:bottom w:val="single" w:sz="4" w:space="0" w:color="auto"/>
              <w:right w:val="single" w:sz="4" w:space="0" w:color="auto"/>
            </w:tcBorders>
            <w:shd w:val="clear" w:color="auto" w:fill="auto"/>
            <w:noWrap/>
            <w:vAlign w:val="center"/>
            <w:hideMark/>
          </w:tcPr>
          <w:p w14:paraId="3D364844" w14:textId="77777777" w:rsidR="00AB62A9" w:rsidRPr="00AB62A9" w:rsidRDefault="00AB62A9" w:rsidP="00AB62A9">
            <w:pPr>
              <w:spacing w:after="0" w:line="240" w:lineRule="auto"/>
              <w:jc w:val="right"/>
              <w:rPr>
                <w:rFonts w:eastAsia="Times New Roman" w:cstheme="minorHAnsi"/>
                <w:b/>
                <w:bCs/>
                <w:color w:val="000000"/>
                <w:sz w:val="20"/>
                <w:szCs w:val="20"/>
                <w:lang w:eastAsia="es-MX"/>
              </w:rPr>
            </w:pPr>
            <w:r w:rsidRPr="00AB62A9">
              <w:rPr>
                <w:rFonts w:eastAsia="Times New Roman" w:cstheme="minorHAnsi"/>
                <w:b/>
                <w:bCs/>
                <w:color w:val="000000"/>
                <w:sz w:val="20"/>
                <w:szCs w:val="20"/>
                <w:lang w:eastAsia="es-MX"/>
              </w:rPr>
              <w:t xml:space="preserve"> $           13,287,398.42 </w:t>
            </w:r>
          </w:p>
        </w:tc>
        <w:tc>
          <w:tcPr>
            <w:tcW w:w="698" w:type="pct"/>
            <w:tcBorders>
              <w:top w:val="nil"/>
              <w:left w:val="nil"/>
              <w:bottom w:val="single" w:sz="4" w:space="0" w:color="auto"/>
              <w:right w:val="single" w:sz="4" w:space="0" w:color="auto"/>
            </w:tcBorders>
            <w:shd w:val="clear" w:color="auto" w:fill="auto"/>
            <w:noWrap/>
            <w:vAlign w:val="center"/>
            <w:hideMark/>
          </w:tcPr>
          <w:p w14:paraId="667F1F0F" w14:textId="77777777" w:rsidR="00AB62A9" w:rsidRPr="00AB62A9" w:rsidRDefault="00AB62A9" w:rsidP="00AB62A9">
            <w:pPr>
              <w:spacing w:after="0" w:line="240" w:lineRule="auto"/>
              <w:jc w:val="center"/>
              <w:rPr>
                <w:rFonts w:eastAsia="Times New Roman" w:cstheme="minorHAnsi"/>
                <w:b/>
                <w:color w:val="000000"/>
                <w:sz w:val="20"/>
                <w:szCs w:val="20"/>
                <w:lang w:eastAsia="es-MX"/>
              </w:rPr>
            </w:pPr>
            <w:r w:rsidRPr="00AB62A9">
              <w:rPr>
                <w:rFonts w:eastAsia="Times New Roman" w:cstheme="minorHAnsi"/>
                <w:b/>
                <w:color w:val="000000"/>
                <w:sz w:val="20"/>
                <w:szCs w:val="20"/>
                <w:lang w:eastAsia="es-MX"/>
              </w:rPr>
              <w:t>10.8%</w:t>
            </w:r>
          </w:p>
        </w:tc>
      </w:tr>
      <w:tr w:rsidR="00061E75" w:rsidRPr="00AB62A9" w14:paraId="4F8C97CD" w14:textId="77777777" w:rsidTr="00B14BD2">
        <w:trPr>
          <w:trHeight w:val="300"/>
        </w:trPr>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25354F71" w14:textId="77777777" w:rsidR="00061E75" w:rsidRPr="00AB62A9" w:rsidRDefault="00061E75"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Urbanización</w:t>
            </w:r>
          </w:p>
        </w:tc>
        <w:tc>
          <w:tcPr>
            <w:tcW w:w="1347" w:type="pct"/>
            <w:vMerge w:val="restart"/>
            <w:tcBorders>
              <w:top w:val="nil"/>
              <w:left w:val="nil"/>
              <w:right w:val="single" w:sz="4" w:space="0" w:color="auto"/>
            </w:tcBorders>
            <w:shd w:val="clear" w:color="auto" w:fill="auto"/>
            <w:noWrap/>
            <w:vAlign w:val="center"/>
            <w:hideMark/>
          </w:tcPr>
          <w:p w14:paraId="09355B99" w14:textId="77777777" w:rsidR="00061E75" w:rsidRPr="00AB62A9" w:rsidRDefault="00061E75" w:rsidP="00061E75">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Alumbrado  Publico</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5F07C33D" w14:textId="77777777" w:rsidR="00061E75" w:rsidRPr="00AB62A9" w:rsidRDefault="00061E75"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Construcción</w:t>
            </w:r>
          </w:p>
        </w:tc>
        <w:tc>
          <w:tcPr>
            <w:tcW w:w="1183" w:type="pct"/>
            <w:tcBorders>
              <w:top w:val="nil"/>
              <w:left w:val="nil"/>
              <w:bottom w:val="single" w:sz="4" w:space="0" w:color="auto"/>
              <w:right w:val="single" w:sz="4" w:space="0" w:color="auto"/>
            </w:tcBorders>
            <w:shd w:val="clear" w:color="auto" w:fill="auto"/>
            <w:noWrap/>
            <w:vAlign w:val="center"/>
            <w:hideMark/>
          </w:tcPr>
          <w:p w14:paraId="47D9E003" w14:textId="77777777" w:rsidR="00061E75" w:rsidRPr="00AB62A9" w:rsidRDefault="00061E75"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863,993.68 </w:t>
            </w:r>
          </w:p>
        </w:tc>
        <w:tc>
          <w:tcPr>
            <w:tcW w:w="698" w:type="pct"/>
            <w:tcBorders>
              <w:top w:val="nil"/>
              <w:left w:val="nil"/>
              <w:bottom w:val="single" w:sz="4" w:space="0" w:color="auto"/>
              <w:right w:val="single" w:sz="4" w:space="0" w:color="auto"/>
            </w:tcBorders>
            <w:shd w:val="clear" w:color="auto" w:fill="auto"/>
            <w:noWrap/>
            <w:vAlign w:val="center"/>
            <w:hideMark/>
          </w:tcPr>
          <w:p w14:paraId="0C73BFAA" w14:textId="77777777" w:rsidR="00061E75" w:rsidRPr="00AB62A9" w:rsidRDefault="00061E75"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0.7%</w:t>
            </w:r>
          </w:p>
        </w:tc>
      </w:tr>
      <w:tr w:rsidR="00061E75" w:rsidRPr="00AB62A9" w14:paraId="7419ADB4"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5FA87268" w14:textId="77777777" w:rsidR="00061E75" w:rsidRPr="00AB62A9" w:rsidRDefault="00061E75" w:rsidP="00AB62A9">
            <w:pPr>
              <w:spacing w:after="0" w:line="240" w:lineRule="auto"/>
              <w:rPr>
                <w:rFonts w:eastAsia="Times New Roman" w:cstheme="minorHAnsi"/>
                <w:color w:val="000000"/>
                <w:sz w:val="20"/>
                <w:szCs w:val="20"/>
                <w:lang w:eastAsia="es-MX"/>
              </w:rPr>
            </w:pPr>
          </w:p>
        </w:tc>
        <w:tc>
          <w:tcPr>
            <w:tcW w:w="1347" w:type="pct"/>
            <w:vMerge/>
            <w:tcBorders>
              <w:left w:val="nil"/>
              <w:bottom w:val="single" w:sz="4" w:space="0" w:color="auto"/>
              <w:right w:val="single" w:sz="4" w:space="0" w:color="auto"/>
            </w:tcBorders>
            <w:shd w:val="clear" w:color="auto" w:fill="auto"/>
            <w:noWrap/>
            <w:vAlign w:val="center"/>
            <w:hideMark/>
          </w:tcPr>
          <w:p w14:paraId="5C39DEF0" w14:textId="77777777" w:rsidR="00061E75" w:rsidRPr="00AB62A9" w:rsidRDefault="00061E75" w:rsidP="00AB62A9">
            <w:pPr>
              <w:spacing w:after="0" w:line="240" w:lineRule="auto"/>
              <w:rPr>
                <w:rFonts w:eastAsia="Times New Roman" w:cstheme="minorHAnsi"/>
                <w:color w:val="000000"/>
                <w:sz w:val="20"/>
                <w:szCs w:val="20"/>
                <w:lang w:eastAsia="es-MX"/>
              </w:rPr>
            </w:pP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332A9141" w14:textId="77777777" w:rsidR="00061E75" w:rsidRPr="00AB62A9" w:rsidRDefault="00061E75"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Rehabilitación</w:t>
            </w:r>
          </w:p>
        </w:tc>
        <w:tc>
          <w:tcPr>
            <w:tcW w:w="1183" w:type="pct"/>
            <w:tcBorders>
              <w:top w:val="nil"/>
              <w:left w:val="nil"/>
              <w:bottom w:val="single" w:sz="4" w:space="0" w:color="auto"/>
              <w:right w:val="single" w:sz="4" w:space="0" w:color="auto"/>
            </w:tcBorders>
            <w:shd w:val="clear" w:color="auto" w:fill="auto"/>
            <w:noWrap/>
            <w:vAlign w:val="center"/>
            <w:hideMark/>
          </w:tcPr>
          <w:p w14:paraId="03132BF4" w14:textId="77777777" w:rsidR="00061E75" w:rsidRPr="00AB62A9" w:rsidRDefault="00061E75"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1,737,961.00 </w:t>
            </w:r>
          </w:p>
        </w:tc>
        <w:tc>
          <w:tcPr>
            <w:tcW w:w="698" w:type="pct"/>
            <w:tcBorders>
              <w:top w:val="nil"/>
              <w:left w:val="nil"/>
              <w:bottom w:val="single" w:sz="4" w:space="0" w:color="auto"/>
              <w:right w:val="single" w:sz="4" w:space="0" w:color="auto"/>
            </w:tcBorders>
            <w:shd w:val="clear" w:color="auto" w:fill="auto"/>
            <w:noWrap/>
            <w:vAlign w:val="center"/>
            <w:hideMark/>
          </w:tcPr>
          <w:p w14:paraId="1189F21B" w14:textId="77777777" w:rsidR="00061E75" w:rsidRPr="00AB62A9" w:rsidRDefault="00061E75"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1.4%</w:t>
            </w:r>
          </w:p>
        </w:tc>
      </w:tr>
      <w:tr w:rsidR="00AB62A9" w:rsidRPr="00AB62A9" w14:paraId="2B3765C4" w14:textId="77777777" w:rsidTr="00B14BD2">
        <w:trPr>
          <w:trHeight w:val="300"/>
        </w:trPr>
        <w:tc>
          <w:tcPr>
            <w:tcW w:w="737" w:type="pct"/>
            <w:vMerge/>
            <w:tcBorders>
              <w:top w:val="nil"/>
              <w:left w:val="single" w:sz="4" w:space="0" w:color="auto"/>
              <w:bottom w:val="single" w:sz="4" w:space="0" w:color="auto"/>
              <w:right w:val="single" w:sz="4" w:space="0" w:color="auto"/>
            </w:tcBorders>
            <w:vAlign w:val="center"/>
            <w:hideMark/>
          </w:tcPr>
          <w:p w14:paraId="1829D691"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347" w:type="pct"/>
            <w:tcBorders>
              <w:top w:val="nil"/>
              <w:left w:val="nil"/>
              <w:bottom w:val="single" w:sz="4" w:space="0" w:color="auto"/>
              <w:right w:val="single" w:sz="4" w:space="0" w:color="auto"/>
            </w:tcBorders>
            <w:shd w:val="clear" w:color="auto" w:fill="auto"/>
            <w:noWrap/>
            <w:vAlign w:val="center"/>
            <w:hideMark/>
          </w:tcPr>
          <w:p w14:paraId="18193C0A"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Encauzamiento arroyos</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1B210A6D"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Mantenimiento</w:t>
            </w:r>
          </w:p>
        </w:tc>
        <w:tc>
          <w:tcPr>
            <w:tcW w:w="1183" w:type="pct"/>
            <w:tcBorders>
              <w:top w:val="nil"/>
              <w:left w:val="nil"/>
              <w:bottom w:val="single" w:sz="4" w:space="0" w:color="auto"/>
              <w:right w:val="single" w:sz="4" w:space="0" w:color="auto"/>
            </w:tcBorders>
            <w:shd w:val="clear" w:color="auto" w:fill="auto"/>
            <w:noWrap/>
            <w:vAlign w:val="center"/>
            <w:hideMark/>
          </w:tcPr>
          <w:p w14:paraId="5D99B350"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3,478,260.00 </w:t>
            </w:r>
          </w:p>
        </w:tc>
        <w:tc>
          <w:tcPr>
            <w:tcW w:w="698" w:type="pct"/>
            <w:tcBorders>
              <w:top w:val="nil"/>
              <w:left w:val="nil"/>
              <w:bottom w:val="single" w:sz="4" w:space="0" w:color="auto"/>
              <w:right w:val="single" w:sz="4" w:space="0" w:color="auto"/>
            </w:tcBorders>
            <w:shd w:val="clear" w:color="auto" w:fill="auto"/>
            <w:noWrap/>
            <w:vAlign w:val="center"/>
            <w:hideMark/>
          </w:tcPr>
          <w:p w14:paraId="6C80FB59"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2.8%</w:t>
            </w:r>
          </w:p>
        </w:tc>
      </w:tr>
      <w:tr w:rsidR="00AB62A9" w:rsidRPr="00AB62A9" w14:paraId="6939E4EF" w14:textId="77777777" w:rsidTr="00B14BD2">
        <w:trPr>
          <w:trHeight w:val="70"/>
        </w:trPr>
        <w:tc>
          <w:tcPr>
            <w:tcW w:w="737" w:type="pct"/>
            <w:vMerge/>
            <w:tcBorders>
              <w:top w:val="nil"/>
              <w:left w:val="single" w:sz="4" w:space="0" w:color="auto"/>
              <w:bottom w:val="single" w:sz="4" w:space="0" w:color="auto"/>
              <w:right w:val="single" w:sz="4" w:space="0" w:color="auto"/>
            </w:tcBorders>
            <w:vAlign w:val="center"/>
            <w:hideMark/>
          </w:tcPr>
          <w:p w14:paraId="0747E15B" w14:textId="77777777" w:rsidR="00AB62A9" w:rsidRPr="00AB62A9" w:rsidRDefault="00AB62A9" w:rsidP="00AB62A9">
            <w:pPr>
              <w:spacing w:after="0" w:line="240" w:lineRule="auto"/>
              <w:rPr>
                <w:rFonts w:eastAsia="Times New Roman" w:cstheme="minorHAnsi"/>
                <w:color w:val="000000"/>
                <w:sz w:val="20"/>
                <w:szCs w:val="20"/>
                <w:lang w:eastAsia="es-MX"/>
              </w:rPr>
            </w:pPr>
          </w:p>
        </w:tc>
        <w:tc>
          <w:tcPr>
            <w:tcW w:w="1347" w:type="pct"/>
            <w:tcBorders>
              <w:top w:val="nil"/>
              <w:left w:val="nil"/>
              <w:bottom w:val="single" w:sz="4" w:space="0" w:color="auto"/>
              <w:right w:val="single" w:sz="4" w:space="0" w:color="auto"/>
            </w:tcBorders>
            <w:shd w:val="clear" w:color="auto" w:fill="auto"/>
            <w:noWrap/>
            <w:vAlign w:val="center"/>
            <w:hideMark/>
          </w:tcPr>
          <w:p w14:paraId="6B9D08AB"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Erosión en playa</w:t>
            </w:r>
          </w:p>
        </w:tc>
        <w:tc>
          <w:tcPr>
            <w:tcW w:w="1035" w:type="pct"/>
            <w:gridSpan w:val="2"/>
            <w:tcBorders>
              <w:top w:val="nil"/>
              <w:left w:val="nil"/>
              <w:bottom w:val="single" w:sz="4" w:space="0" w:color="auto"/>
              <w:right w:val="single" w:sz="4" w:space="0" w:color="auto"/>
            </w:tcBorders>
            <w:shd w:val="clear" w:color="auto" w:fill="auto"/>
            <w:noWrap/>
            <w:vAlign w:val="center"/>
            <w:hideMark/>
          </w:tcPr>
          <w:p w14:paraId="02627333"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Construcción</w:t>
            </w:r>
          </w:p>
        </w:tc>
        <w:tc>
          <w:tcPr>
            <w:tcW w:w="1183" w:type="pct"/>
            <w:tcBorders>
              <w:top w:val="nil"/>
              <w:left w:val="nil"/>
              <w:bottom w:val="single" w:sz="4" w:space="0" w:color="auto"/>
              <w:right w:val="single" w:sz="4" w:space="0" w:color="auto"/>
            </w:tcBorders>
            <w:shd w:val="clear" w:color="auto" w:fill="auto"/>
            <w:noWrap/>
            <w:vAlign w:val="center"/>
            <w:hideMark/>
          </w:tcPr>
          <w:p w14:paraId="15EA0E5F" w14:textId="77777777" w:rsidR="00AB62A9" w:rsidRPr="00AB62A9" w:rsidRDefault="00AB62A9" w:rsidP="00AB62A9">
            <w:pPr>
              <w:spacing w:after="0" w:line="240" w:lineRule="auto"/>
              <w:jc w:val="right"/>
              <w:rPr>
                <w:rFonts w:eastAsia="Times New Roman" w:cstheme="minorHAnsi"/>
                <w:color w:val="000000"/>
                <w:sz w:val="20"/>
                <w:szCs w:val="20"/>
                <w:lang w:eastAsia="es-MX"/>
              </w:rPr>
            </w:pPr>
            <w:r w:rsidRPr="00AB62A9">
              <w:rPr>
                <w:rFonts w:eastAsia="Times New Roman" w:cstheme="minorHAnsi"/>
                <w:color w:val="000000"/>
                <w:sz w:val="20"/>
                <w:szCs w:val="20"/>
                <w:lang w:eastAsia="es-MX"/>
              </w:rPr>
              <w:t xml:space="preserve"> $             3,000,000.00 </w:t>
            </w:r>
          </w:p>
        </w:tc>
        <w:tc>
          <w:tcPr>
            <w:tcW w:w="698" w:type="pct"/>
            <w:tcBorders>
              <w:top w:val="nil"/>
              <w:left w:val="nil"/>
              <w:bottom w:val="single" w:sz="4" w:space="0" w:color="auto"/>
              <w:right w:val="single" w:sz="4" w:space="0" w:color="auto"/>
            </w:tcBorders>
            <w:shd w:val="clear" w:color="auto" w:fill="auto"/>
            <w:noWrap/>
            <w:vAlign w:val="center"/>
            <w:hideMark/>
          </w:tcPr>
          <w:p w14:paraId="4F3617BF" w14:textId="77777777" w:rsidR="00AB62A9" w:rsidRPr="00AB62A9" w:rsidRDefault="00AB62A9" w:rsidP="00AB62A9">
            <w:pPr>
              <w:spacing w:after="0" w:line="240" w:lineRule="auto"/>
              <w:jc w:val="center"/>
              <w:rPr>
                <w:rFonts w:eastAsia="Times New Roman" w:cstheme="minorHAnsi"/>
                <w:color w:val="000000"/>
                <w:sz w:val="20"/>
                <w:szCs w:val="20"/>
                <w:lang w:eastAsia="es-MX"/>
              </w:rPr>
            </w:pPr>
            <w:r w:rsidRPr="00AB62A9">
              <w:rPr>
                <w:rFonts w:eastAsia="Times New Roman" w:cstheme="minorHAnsi"/>
                <w:color w:val="000000"/>
                <w:sz w:val="20"/>
                <w:szCs w:val="20"/>
                <w:lang w:eastAsia="es-MX"/>
              </w:rPr>
              <w:t>2.4%</w:t>
            </w:r>
          </w:p>
        </w:tc>
      </w:tr>
      <w:tr w:rsidR="00AB62A9" w:rsidRPr="00AB62A9" w14:paraId="27498356" w14:textId="77777777" w:rsidTr="00B14BD2">
        <w:trPr>
          <w:trHeight w:val="300"/>
        </w:trPr>
        <w:tc>
          <w:tcPr>
            <w:tcW w:w="311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089E6" w14:textId="77777777" w:rsidR="00AB62A9" w:rsidRPr="00AB62A9" w:rsidRDefault="00AB62A9" w:rsidP="00AB62A9">
            <w:pPr>
              <w:spacing w:after="0" w:line="240" w:lineRule="auto"/>
              <w:jc w:val="center"/>
              <w:rPr>
                <w:rFonts w:eastAsia="Times New Roman" w:cstheme="minorHAnsi"/>
                <w:b/>
                <w:bCs/>
                <w:color w:val="000000"/>
                <w:sz w:val="20"/>
                <w:szCs w:val="20"/>
                <w:lang w:eastAsia="es-MX"/>
              </w:rPr>
            </w:pPr>
            <w:r w:rsidRPr="00AB62A9">
              <w:rPr>
                <w:rFonts w:eastAsia="Times New Roman" w:cstheme="minorHAnsi"/>
                <w:b/>
                <w:bCs/>
                <w:color w:val="000000"/>
                <w:sz w:val="20"/>
                <w:szCs w:val="20"/>
                <w:lang w:eastAsia="es-MX"/>
              </w:rPr>
              <w:t>Subtotal</w:t>
            </w:r>
          </w:p>
        </w:tc>
        <w:tc>
          <w:tcPr>
            <w:tcW w:w="1183" w:type="pct"/>
            <w:tcBorders>
              <w:top w:val="nil"/>
              <w:left w:val="nil"/>
              <w:bottom w:val="single" w:sz="4" w:space="0" w:color="auto"/>
              <w:right w:val="single" w:sz="4" w:space="0" w:color="auto"/>
            </w:tcBorders>
            <w:shd w:val="clear" w:color="auto" w:fill="auto"/>
            <w:noWrap/>
            <w:vAlign w:val="center"/>
            <w:hideMark/>
          </w:tcPr>
          <w:p w14:paraId="2E873E08" w14:textId="77777777" w:rsidR="00AB62A9" w:rsidRPr="00AB62A9" w:rsidRDefault="00AB62A9" w:rsidP="00AB62A9">
            <w:pPr>
              <w:spacing w:after="0" w:line="240" w:lineRule="auto"/>
              <w:jc w:val="right"/>
              <w:rPr>
                <w:rFonts w:eastAsia="Times New Roman" w:cstheme="minorHAnsi"/>
                <w:b/>
                <w:bCs/>
                <w:color w:val="000000"/>
                <w:sz w:val="20"/>
                <w:szCs w:val="20"/>
                <w:lang w:eastAsia="es-MX"/>
              </w:rPr>
            </w:pPr>
            <w:r w:rsidRPr="00AB62A9">
              <w:rPr>
                <w:rFonts w:eastAsia="Times New Roman" w:cstheme="minorHAnsi"/>
                <w:b/>
                <w:bCs/>
                <w:color w:val="000000"/>
                <w:sz w:val="20"/>
                <w:szCs w:val="20"/>
                <w:lang w:eastAsia="es-MX"/>
              </w:rPr>
              <w:t xml:space="preserve"> $             9,080,214.68 </w:t>
            </w:r>
          </w:p>
        </w:tc>
        <w:tc>
          <w:tcPr>
            <w:tcW w:w="698" w:type="pct"/>
            <w:tcBorders>
              <w:top w:val="nil"/>
              <w:left w:val="nil"/>
              <w:bottom w:val="single" w:sz="4" w:space="0" w:color="auto"/>
              <w:right w:val="single" w:sz="4" w:space="0" w:color="auto"/>
            </w:tcBorders>
            <w:shd w:val="clear" w:color="auto" w:fill="auto"/>
            <w:noWrap/>
            <w:vAlign w:val="center"/>
            <w:hideMark/>
          </w:tcPr>
          <w:p w14:paraId="15638DF4" w14:textId="77777777" w:rsidR="00AB62A9" w:rsidRPr="00AB62A9" w:rsidRDefault="00AB62A9" w:rsidP="00AB62A9">
            <w:pPr>
              <w:spacing w:after="0" w:line="240" w:lineRule="auto"/>
              <w:jc w:val="center"/>
              <w:rPr>
                <w:rFonts w:eastAsia="Times New Roman" w:cstheme="minorHAnsi"/>
                <w:b/>
                <w:color w:val="000000"/>
                <w:sz w:val="20"/>
                <w:szCs w:val="20"/>
                <w:lang w:eastAsia="es-MX"/>
              </w:rPr>
            </w:pPr>
            <w:r w:rsidRPr="00AB62A9">
              <w:rPr>
                <w:rFonts w:eastAsia="Times New Roman" w:cstheme="minorHAnsi"/>
                <w:b/>
                <w:color w:val="000000"/>
                <w:sz w:val="20"/>
                <w:szCs w:val="20"/>
                <w:lang w:eastAsia="es-MX"/>
              </w:rPr>
              <w:t>7.4%</w:t>
            </w:r>
          </w:p>
        </w:tc>
      </w:tr>
      <w:tr w:rsidR="00AB62A9" w:rsidRPr="00AB62A9" w14:paraId="6D9059D0" w14:textId="77777777" w:rsidTr="00B14BD2">
        <w:trPr>
          <w:trHeight w:val="300"/>
        </w:trPr>
        <w:tc>
          <w:tcPr>
            <w:tcW w:w="3119"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04ED6" w14:textId="77777777" w:rsidR="00AB62A9" w:rsidRPr="00AB62A9" w:rsidRDefault="00AB62A9" w:rsidP="00AB62A9">
            <w:pPr>
              <w:spacing w:after="0" w:line="240" w:lineRule="auto"/>
              <w:jc w:val="center"/>
              <w:rPr>
                <w:rFonts w:eastAsia="Times New Roman" w:cstheme="minorHAnsi"/>
                <w:b/>
                <w:bCs/>
                <w:color w:val="000000"/>
                <w:sz w:val="20"/>
                <w:szCs w:val="20"/>
                <w:lang w:eastAsia="es-MX"/>
              </w:rPr>
            </w:pPr>
            <w:r w:rsidRPr="00AB62A9">
              <w:rPr>
                <w:rFonts w:eastAsia="Times New Roman" w:cstheme="minorHAnsi"/>
                <w:b/>
                <w:bCs/>
                <w:color w:val="000000"/>
                <w:sz w:val="20"/>
                <w:szCs w:val="20"/>
                <w:lang w:eastAsia="es-MX"/>
              </w:rPr>
              <w:lastRenderedPageBreak/>
              <w:t>Total</w:t>
            </w:r>
          </w:p>
        </w:tc>
        <w:tc>
          <w:tcPr>
            <w:tcW w:w="1183" w:type="pct"/>
            <w:tcBorders>
              <w:top w:val="nil"/>
              <w:left w:val="nil"/>
              <w:bottom w:val="single" w:sz="4" w:space="0" w:color="auto"/>
              <w:right w:val="single" w:sz="4" w:space="0" w:color="auto"/>
            </w:tcBorders>
            <w:shd w:val="clear" w:color="auto" w:fill="auto"/>
            <w:noWrap/>
            <w:vAlign w:val="center"/>
            <w:hideMark/>
          </w:tcPr>
          <w:p w14:paraId="201D445B" w14:textId="77777777" w:rsidR="00AB62A9" w:rsidRPr="00AB62A9" w:rsidRDefault="00AB62A9" w:rsidP="00AB62A9">
            <w:pPr>
              <w:spacing w:after="0" w:line="240" w:lineRule="auto"/>
              <w:jc w:val="right"/>
              <w:rPr>
                <w:rFonts w:eastAsia="Times New Roman" w:cstheme="minorHAnsi"/>
                <w:b/>
                <w:bCs/>
                <w:color w:val="000000"/>
                <w:sz w:val="20"/>
                <w:szCs w:val="20"/>
                <w:lang w:eastAsia="es-MX"/>
              </w:rPr>
            </w:pPr>
            <w:r w:rsidRPr="00AB62A9">
              <w:rPr>
                <w:rFonts w:eastAsia="Times New Roman" w:cstheme="minorHAnsi"/>
                <w:b/>
                <w:bCs/>
                <w:color w:val="000000"/>
                <w:sz w:val="20"/>
                <w:szCs w:val="20"/>
                <w:lang w:eastAsia="es-MX"/>
              </w:rPr>
              <w:t xml:space="preserve"> $         122,863,187.57 </w:t>
            </w:r>
          </w:p>
        </w:tc>
        <w:tc>
          <w:tcPr>
            <w:tcW w:w="698" w:type="pct"/>
            <w:tcBorders>
              <w:top w:val="nil"/>
              <w:left w:val="nil"/>
              <w:bottom w:val="single" w:sz="4" w:space="0" w:color="auto"/>
              <w:right w:val="single" w:sz="4" w:space="0" w:color="auto"/>
            </w:tcBorders>
            <w:shd w:val="clear" w:color="auto" w:fill="auto"/>
            <w:noWrap/>
            <w:vAlign w:val="center"/>
            <w:hideMark/>
          </w:tcPr>
          <w:p w14:paraId="1DD41E05" w14:textId="77777777" w:rsidR="00AB62A9" w:rsidRPr="00AB62A9" w:rsidRDefault="00AB62A9" w:rsidP="00AB62A9">
            <w:pPr>
              <w:spacing w:after="0" w:line="240" w:lineRule="auto"/>
              <w:jc w:val="center"/>
              <w:rPr>
                <w:rFonts w:eastAsia="Times New Roman" w:cstheme="minorHAnsi"/>
                <w:b/>
                <w:color w:val="000000"/>
                <w:sz w:val="20"/>
                <w:szCs w:val="20"/>
                <w:lang w:eastAsia="es-MX"/>
              </w:rPr>
            </w:pPr>
            <w:r w:rsidRPr="00AB62A9">
              <w:rPr>
                <w:rFonts w:eastAsia="Times New Roman" w:cstheme="minorHAnsi"/>
                <w:b/>
                <w:color w:val="000000"/>
                <w:sz w:val="20"/>
                <w:szCs w:val="20"/>
                <w:lang w:eastAsia="es-MX"/>
              </w:rPr>
              <w:t>100%</w:t>
            </w:r>
          </w:p>
        </w:tc>
      </w:tr>
      <w:tr w:rsidR="00AB62A9" w:rsidRPr="00AB62A9" w14:paraId="07F8ED13" w14:textId="77777777" w:rsidTr="00AB62A9">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28303" w14:textId="77777777" w:rsidR="00AB62A9" w:rsidRPr="00AB62A9" w:rsidRDefault="00AB62A9" w:rsidP="00AB62A9">
            <w:pPr>
              <w:spacing w:after="0" w:line="240" w:lineRule="auto"/>
              <w:rPr>
                <w:rFonts w:eastAsia="Times New Roman" w:cstheme="minorHAnsi"/>
                <w:color w:val="000000"/>
                <w:sz w:val="20"/>
                <w:szCs w:val="20"/>
                <w:lang w:eastAsia="es-MX"/>
              </w:rPr>
            </w:pPr>
            <w:r w:rsidRPr="00AB62A9">
              <w:rPr>
                <w:rFonts w:eastAsia="Times New Roman" w:cstheme="minorHAnsi"/>
                <w:color w:val="000000"/>
                <w:sz w:val="20"/>
                <w:szCs w:val="20"/>
                <w:lang w:eastAsia="es-MX"/>
              </w:rPr>
              <w:t>Fuente: elaborado por TECSO con base al informe “Resumen Obras 2017” suministrado por la Dependencia</w:t>
            </w:r>
          </w:p>
        </w:tc>
      </w:tr>
    </w:tbl>
    <w:p w14:paraId="73ABA35A" w14:textId="77777777" w:rsidR="007D1412" w:rsidRPr="00AB62A9" w:rsidRDefault="007D1412" w:rsidP="004A0804">
      <w:pPr>
        <w:spacing w:after="240"/>
        <w:jc w:val="both"/>
        <w:rPr>
          <w:rFonts w:ascii="Century Gothic" w:hAnsi="Century Gothic"/>
          <w:sz w:val="8"/>
          <w:szCs w:val="24"/>
          <w:lang w:val="es-ES_tradnl"/>
        </w:rPr>
      </w:pPr>
    </w:p>
    <w:p w14:paraId="1AA6AF68" w14:textId="77777777" w:rsidR="00C36102" w:rsidRDefault="00AB62A9" w:rsidP="0072466A">
      <w:pPr>
        <w:spacing w:after="240"/>
        <w:jc w:val="both"/>
        <w:rPr>
          <w:rFonts w:ascii="Century Gothic" w:hAnsi="Century Gothic"/>
          <w:sz w:val="24"/>
          <w:szCs w:val="24"/>
          <w:lang w:val="es-ES_tradnl"/>
        </w:rPr>
      </w:pPr>
      <w:r>
        <w:rPr>
          <w:rFonts w:ascii="Century Gothic" w:hAnsi="Century Gothic"/>
          <w:sz w:val="24"/>
          <w:szCs w:val="24"/>
          <w:lang w:val="es-ES_tradnl"/>
        </w:rPr>
        <w:t xml:space="preserve">Como se puede observar los rubros de inversión son diversos, </w:t>
      </w:r>
      <w:r w:rsidR="00C36102">
        <w:rPr>
          <w:rFonts w:ascii="Century Gothic" w:hAnsi="Century Gothic"/>
          <w:sz w:val="24"/>
          <w:szCs w:val="24"/>
          <w:lang w:val="es-ES_tradnl"/>
        </w:rPr>
        <w:t>van desde infraestructura deportiva, cultural, de salud, urbanización, hasta la infraestructura de las oficinas o instituciones de gobierno.</w:t>
      </w:r>
      <w:r w:rsidR="0072466A">
        <w:rPr>
          <w:rFonts w:ascii="Century Gothic" w:hAnsi="Century Gothic"/>
          <w:sz w:val="24"/>
          <w:szCs w:val="24"/>
          <w:lang w:val="es-ES_tradnl"/>
        </w:rPr>
        <w:t xml:space="preserve"> De estas, se destaca la inversión en infraestructura deportiva, por más de 54 millones, es decir el 44.1% del total de la inversión del programa. </w:t>
      </w:r>
    </w:p>
    <w:p w14:paraId="07A3D811" w14:textId="77777777" w:rsidR="00A067B0" w:rsidRDefault="003669D2" w:rsidP="0072466A">
      <w:pPr>
        <w:spacing w:after="240"/>
        <w:jc w:val="both"/>
        <w:rPr>
          <w:rFonts w:ascii="Century Gothic" w:hAnsi="Century Gothic"/>
          <w:sz w:val="24"/>
          <w:szCs w:val="24"/>
          <w:lang w:val="es-ES_tradnl"/>
        </w:rPr>
      </w:pPr>
      <w:r>
        <w:rPr>
          <w:rFonts w:ascii="Century Gothic" w:hAnsi="Century Gothic"/>
          <w:sz w:val="24"/>
          <w:szCs w:val="24"/>
          <w:lang w:val="es-ES_tradnl"/>
        </w:rPr>
        <w:t>Otro análisis, es la inversión por municipio, esto con el fin de resaltar la importancia que el gobierno estatal ha dado a la priorización de la infraestructura como medio para mejorar las condiciones de la población. Así, en el siguiente cuadro se presenta la inversión realizada por municipio, donde como primer punto se puede observar que por medio del programa “Infraestructura no Habitacional”, se realizaron obras en los 10 municipios del estado</w:t>
      </w:r>
      <w:r>
        <w:rPr>
          <w:rStyle w:val="Refdenotaalpie"/>
          <w:rFonts w:ascii="Century Gothic" w:hAnsi="Century Gothic"/>
          <w:sz w:val="24"/>
          <w:szCs w:val="24"/>
          <w:lang w:val="es-ES_tradnl"/>
        </w:rPr>
        <w:footnoteReference w:id="6"/>
      </w:r>
      <w:r>
        <w:rPr>
          <w:rFonts w:ascii="Century Gothic" w:hAnsi="Century Gothic"/>
          <w:sz w:val="24"/>
          <w:szCs w:val="24"/>
          <w:lang w:val="es-ES_tradnl"/>
        </w:rPr>
        <w:t>:</w:t>
      </w:r>
    </w:p>
    <w:tbl>
      <w:tblPr>
        <w:tblW w:w="5000" w:type="pct"/>
        <w:tblCellMar>
          <w:left w:w="70" w:type="dxa"/>
          <w:right w:w="70" w:type="dxa"/>
        </w:tblCellMar>
        <w:tblLook w:val="04A0" w:firstRow="1" w:lastRow="0" w:firstColumn="1" w:lastColumn="0" w:noHBand="0" w:noVBand="1"/>
      </w:tblPr>
      <w:tblGrid>
        <w:gridCol w:w="1331"/>
        <w:gridCol w:w="1152"/>
        <w:gridCol w:w="1230"/>
        <w:gridCol w:w="1376"/>
        <w:gridCol w:w="1266"/>
        <w:gridCol w:w="1230"/>
        <w:gridCol w:w="1243"/>
      </w:tblGrid>
      <w:tr w:rsidR="00A067B0" w:rsidRPr="00A067B0" w14:paraId="4EF00CD1" w14:textId="77777777" w:rsidTr="00A067B0">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000000" w:fill="0E4E7A"/>
            <w:noWrap/>
            <w:vAlign w:val="bottom"/>
            <w:hideMark/>
          </w:tcPr>
          <w:p w14:paraId="33A4A8E4" w14:textId="77777777" w:rsidR="00A067B0" w:rsidRPr="00A067B0" w:rsidRDefault="003E3B3D" w:rsidP="00A067B0">
            <w:pPr>
              <w:spacing w:after="0" w:line="240" w:lineRule="auto"/>
              <w:jc w:val="center"/>
              <w:rPr>
                <w:rFonts w:eastAsia="Times New Roman" w:cstheme="minorHAnsi"/>
                <w:b/>
                <w:bCs/>
                <w:color w:val="FFFFFF"/>
                <w:sz w:val="20"/>
                <w:szCs w:val="20"/>
                <w:lang w:eastAsia="es-MX"/>
              </w:rPr>
            </w:pPr>
            <w:r>
              <w:rPr>
                <w:rFonts w:eastAsia="Times New Roman" w:cstheme="minorHAnsi"/>
                <w:b/>
                <w:bCs/>
                <w:color w:val="FFFFFF"/>
                <w:sz w:val="20"/>
                <w:szCs w:val="20"/>
                <w:lang w:eastAsia="es-MX"/>
              </w:rPr>
              <w:t>Cuadro 2.4</w:t>
            </w:r>
            <w:r w:rsidR="00A067B0" w:rsidRPr="00A067B0">
              <w:rPr>
                <w:rFonts w:eastAsia="Times New Roman" w:cstheme="minorHAnsi"/>
                <w:b/>
                <w:bCs/>
                <w:color w:val="FFFFFF"/>
                <w:sz w:val="20"/>
                <w:szCs w:val="20"/>
                <w:lang w:eastAsia="es-MX"/>
              </w:rPr>
              <w:t>. Inversión realizada en Infraestructura no Habitacional por Municipio, SEIDUR 2017</w:t>
            </w:r>
          </w:p>
        </w:tc>
      </w:tr>
      <w:tr w:rsidR="00A067B0" w:rsidRPr="00A067B0" w14:paraId="6ADFCF90" w14:textId="77777777" w:rsidTr="00A067B0">
        <w:trPr>
          <w:trHeight w:val="600"/>
        </w:trPr>
        <w:tc>
          <w:tcPr>
            <w:tcW w:w="730" w:type="pct"/>
            <w:tcBorders>
              <w:top w:val="nil"/>
              <w:left w:val="single" w:sz="4" w:space="0" w:color="auto"/>
              <w:bottom w:val="single" w:sz="4" w:space="0" w:color="auto"/>
              <w:right w:val="single" w:sz="4" w:space="0" w:color="auto"/>
            </w:tcBorders>
            <w:shd w:val="clear" w:color="000000" w:fill="0E4E7A"/>
            <w:noWrap/>
            <w:vAlign w:val="center"/>
            <w:hideMark/>
          </w:tcPr>
          <w:p w14:paraId="6A288D88" w14:textId="77777777" w:rsidR="00A067B0" w:rsidRPr="00A067B0" w:rsidRDefault="00A067B0" w:rsidP="00A067B0">
            <w:pPr>
              <w:spacing w:after="0" w:line="240" w:lineRule="auto"/>
              <w:jc w:val="center"/>
              <w:rPr>
                <w:rFonts w:eastAsia="Times New Roman" w:cstheme="minorHAnsi"/>
                <w:b/>
                <w:bCs/>
                <w:color w:val="FFFFFF"/>
                <w:sz w:val="16"/>
                <w:szCs w:val="20"/>
                <w:lang w:eastAsia="es-MX"/>
              </w:rPr>
            </w:pPr>
            <w:r w:rsidRPr="00A067B0">
              <w:rPr>
                <w:rFonts w:eastAsia="Times New Roman" w:cstheme="minorHAnsi"/>
                <w:b/>
                <w:bCs/>
                <w:color w:val="FFFFFF"/>
                <w:sz w:val="16"/>
                <w:szCs w:val="20"/>
                <w:lang w:eastAsia="es-MX"/>
              </w:rPr>
              <w:t>Municipio</w:t>
            </w:r>
          </w:p>
        </w:tc>
        <w:tc>
          <w:tcPr>
            <w:tcW w:w="681" w:type="pct"/>
            <w:tcBorders>
              <w:top w:val="nil"/>
              <w:left w:val="nil"/>
              <w:bottom w:val="single" w:sz="4" w:space="0" w:color="auto"/>
              <w:right w:val="single" w:sz="4" w:space="0" w:color="auto"/>
            </w:tcBorders>
            <w:shd w:val="clear" w:color="000000" w:fill="0E4E7A"/>
            <w:vAlign w:val="center"/>
            <w:hideMark/>
          </w:tcPr>
          <w:p w14:paraId="30CA91EB" w14:textId="77777777" w:rsidR="00A067B0" w:rsidRPr="00A067B0" w:rsidRDefault="00A067B0" w:rsidP="00A067B0">
            <w:pPr>
              <w:spacing w:after="0" w:line="240" w:lineRule="auto"/>
              <w:jc w:val="center"/>
              <w:rPr>
                <w:rFonts w:eastAsia="Times New Roman" w:cstheme="minorHAnsi"/>
                <w:b/>
                <w:bCs/>
                <w:color w:val="FFFFFF"/>
                <w:sz w:val="16"/>
                <w:szCs w:val="20"/>
                <w:lang w:eastAsia="es-MX"/>
              </w:rPr>
            </w:pPr>
            <w:r w:rsidRPr="00A067B0">
              <w:rPr>
                <w:rFonts w:eastAsia="Times New Roman" w:cstheme="minorHAnsi"/>
                <w:b/>
                <w:bCs/>
                <w:color w:val="FFFFFF"/>
                <w:sz w:val="16"/>
                <w:szCs w:val="20"/>
                <w:lang w:eastAsia="es-MX"/>
              </w:rPr>
              <w:t>Infraestructura comunitaria</w:t>
            </w:r>
          </w:p>
        </w:tc>
        <w:tc>
          <w:tcPr>
            <w:tcW w:w="674" w:type="pct"/>
            <w:tcBorders>
              <w:top w:val="nil"/>
              <w:left w:val="nil"/>
              <w:bottom w:val="single" w:sz="4" w:space="0" w:color="auto"/>
              <w:right w:val="single" w:sz="4" w:space="0" w:color="auto"/>
            </w:tcBorders>
            <w:shd w:val="clear" w:color="000000" w:fill="0E4E7A"/>
            <w:vAlign w:val="center"/>
            <w:hideMark/>
          </w:tcPr>
          <w:p w14:paraId="664CB358" w14:textId="77777777" w:rsidR="00A067B0" w:rsidRPr="00A067B0" w:rsidRDefault="00A067B0" w:rsidP="00A067B0">
            <w:pPr>
              <w:spacing w:after="0" w:line="240" w:lineRule="auto"/>
              <w:jc w:val="center"/>
              <w:rPr>
                <w:rFonts w:eastAsia="Times New Roman" w:cstheme="minorHAnsi"/>
                <w:b/>
                <w:bCs/>
                <w:color w:val="FFFFFF"/>
                <w:sz w:val="16"/>
                <w:szCs w:val="20"/>
                <w:lang w:eastAsia="es-MX"/>
              </w:rPr>
            </w:pPr>
            <w:r w:rsidRPr="00A067B0">
              <w:rPr>
                <w:rFonts w:eastAsia="Times New Roman" w:cstheme="minorHAnsi"/>
                <w:b/>
                <w:bCs/>
                <w:color w:val="FFFFFF"/>
                <w:sz w:val="16"/>
                <w:szCs w:val="20"/>
                <w:lang w:eastAsia="es-MX"/>
              </w:rPr>
              <w:t>Infraestructura cultural</w:t>
            </w:r>
          </w:p>
        </w:tc>
        <w:tc>
          <w:tcPr>
            <w:tcW w:w="807" w:type="pct"/>
            <w:tcBorders>
              <w:top w:val="nil"/>
              <w:left w:val="nil"/>
              <w:bottom w:val="single" w:sz="4" w:space="0" w:color="auto"/>
              <w:right w:val="single" w:sz="4" w:space="0" w:color="auto"/>
            </w:tcBorders>
            <w:shd w:val="clear" w:color="000000" w:fill="0E4E7A"/>
            <w:vAlign w:val="center"/>
            <w:hideMark/>
          </w:tcPr>
          <w:p w14:paraId="2789220B" w14:textId="77777777" w:rsidR="00A067B0" w:rsidRPr="00A067B0" w:rsidRDefault="00A067B0" w:rsidP="00A067B0">
            <w:pPr>
              <w:spacing w:after="0" w:line="240" w:lineRule="auto"/>
              <w:jc w:val="center"/>
              <w:rPr>
                <w:rFonts w:eastAsia="Times New Roman" w:cstheme="minorHAnsi"/>
                <w:b/>
                <w:bCs/>
                <w:color w:val="FFFFFF"/>
                <w:sz w:val="16"/>
                <w:szCs w:val="20"/>
                <w:lang w:eastAsia="es-MX"/>
              </w:rPr>
            </w:pPr>
            <w:r w:rsidRPr="00A067B0">
              <w:rPr>
                <w:rFonts w:eastAsia="Times New Roman" w:cstheme="minorHAnsi"/>
                <w:b/>
                <w:bCs/>
                <w:color w:val="FFFFFF"/>
                <w:sz w:val="16"/>
                <w:szCs w:val="20"/>
                <w:lang w:eastAsia="es-MX"/>
              </w:rPr>
              <w:t>Infraestructura Deportiva</w:t>
            </w:r>
          </w:p>
        </w:tc>
        <w:tc>
          <w:tcPr>
            <w:tcW w:w="696" w:type="pct"/>
            <w:tcBorders>
              <w:top w:val="nil"/>
              <w:left w:val="nil"/>
              <w:bottom w:val="single" w:sz="4" w:space="0" w:color="auto"/>
              <w:right w:val="single" w:sz="4" w:space="0" w:color="auto"/>
            </w:tcBorders>
            <w:shd w:val="clear" w:color="000000" w:fill="0E4E7A"/>
            <w:vAlign w:val="center"/>
            <w:hideMark/>
          </w:tcPr>
          <w:p w14:paraId="52EBC920" w14:textId="77777777" w:rsidR="00A067B0" w:rsidRPr="00A067B0" w:rsidRDefault="00A067B0" w:rsidP="00A067B0">
            <w:pPr>
              <w:spacing w:after="0" w:line="240" w:lineRule="auto"/>
              <w:jc w:val="center"/>
              <w:rPr>
                <w:rFonts w:eastAsia="Times New Roman" w:cstheme="minorHAnsi"/>
                <w:b/>
                <w:bCs/>
                <w:color w:val="FFFFFF"/>
                <w:sz w:val="16"/>
                <w:szCs w:val="20"/>
                <w:lang w:eastAsia="es-MX"/>
              </w:rPr>
            </w:pPr>
            <w:r w:rsidRPr="00A067B0">
              <w:rPr>
                <w:rFonts w:eastAsia="Times New Roman" w:cstheme="minorHAnsi"/>
                <w:b/>
                <w:bCs/>
                <w:color w:val="FFFFFF"/>
                <w:sz w:val="16"/>
                <w:szCs w:val="20"/>
                <w:lang w:eastAsia="es-MX"/>
              </w:rPr>
              <w:t>Infraestructura Gobierno</w:t>
            </w:r>
          </w:p>
        </w:tc>
        <w:tc>
          <w:tcPr>
            <w:tcW w:w="680" w:type="pct"/>
            <w:tcBorders>
              <w:top w:val="nil"/>
              <w:left w:val="nil"/>
              <w:bottom w:val="single" w:sz="4" w:space="0" w:color="auto"/>
              <w:right w:val="single" w:sz="4" w:space="0" w:color="auto"/>
            </w:tcBorders>
            <w:shd w:val="clear" w:color="000000" w:fill="0E4E7A"/>
            <w:vAlign w:val="center"/>
            <w:hideMark/>
          </w:tcPr>
          <w:p w14:paraId="3A8FB541" w14:textId="77777777" w:rsidR="00A067B0" w:rsidRPr="00A067B0" w:rsidRDefault="00A067B0" w:rsidP="00A067B0">
            <w:pPr>
              <w:spacing w:after="0" w:line="240" w:lineRule="auto"/>
              <w:jc w:val="center"/>
              <w:rPr>
                <w:rFonts w:eastAsia="Times New Roman" w:cstheme="minorHAnsi"/>
                <w:b/>
                <w:bCs/>
                <w:color w:val="FFFFFF"/>
                <w:sz w:val="16"/>
                <w:szCs w:val="20"/>
                <w:lang w:eastAsia="es-MX"/>
              </w:rPr>
            </w:pPr>
            <w:r w:rsidRPr="00A067B0">
              <w:rPr>
                <w:rFonts w:eastAsia="Times New Roman" w:cstheme="minorHAnsi"/>
                <w:b/>
                <w:bCs/>
                <w:color w:val="FFFFFF"/>
                <w:sz w:val="16"/>
                <w:szCs w:val="20"/>
                <w:lang w:eastAsia="es-MX"/>
              </w:rPr>
              <w:t>Infraestructura salud</w:t>
            </w:r>
          </w:p>
        </w:tc>
        <w:tc>
          <w:tcPr>
            <w:tcW w:w="733" w:type="pct"/>
            <w:tcBorders>
              <w:top w:val="nil"/>
              <w:left w:val="nil"/>
              <w:bottom w:val="single" w:sz="4" w:space="0" w:color="auto"/>
              <w:right w:val="single" w:sz="4" w:space="0" w:color="auto"/>
            </w:tcBorders>
            <w:shd w:val="clear" w:color="000000" w:fill="0E4E7A"/>
            <w:vAlign w:val="center"/>
            <w:hideMark/>
          </w:tcPr>
          <w:p w14:paraId="36295648" w14:textId="77777777" w:rsidR="00A067B0" w:rsidRPr="00A067B0" w:rsidRDefault="00A067B0" w:rsidP="00A067B0">
            <w:pPr>
              <w:spacing w:after="0" w:line="240" w:lineRule="auto"/>
              <w:jc w:val="center"/>
              <w:rPr>
                <w:rFonts w:eastAsia="Times New Roman" w:cstheme="minorHAnsi"/>
                <w:b/>
                <w:bCs/>
                <w:color w:val="FFFFFF"/>
                <w:sz w:val="16"/>
                <w:szCs w:val="20"/>
                <w:lang w:eastAsia="es-MX"/>
              </w:rPr>
            </w:pPr>
            <w:r w:rsidRPr="00A067B0">
              <w:rPr>
                <w:rFonts w:eastAsia="Times New Roman" w:cstheme="minorHAnsi"/>
                <w:b/>
                <w:bCs/>
                <w:color w:val="FFFFFF"/>
                <w:sz w:val="16"/>
                <w:szCs w:val="20"/>
                <w:lang w:eastAsia="es-MX"/>
              </w:rPr>
              <w:t>Urbanización</w:t>
            </w:r>
          </w:p>
        </w:tc>
      </w:tr>
      <w:tr w:rsidR="003669D2" w:rsidRPr="00A067B0" w14:paraId="14E946FF" w14:textId="77777777" w:rsidTr="00A067B0">
        <w:trPr>
          <w:trHeight w:val="300"/>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272AA520" w14:textId="77777777" w:rsidR="00A067B0" w:rsidRPr="00A067B0" w:rsidRDefault="00A067B0" w:rsidP="00A067B0">
            <w:pPr>
              <w:spacing w:after="0" w:line="240" w:lineRule="auto"/>
              <w:rPr>
                <w:rFonts w:eastAsia="Times New Roman" w:cstheme="minorHAnsi"/>
                <w:bCs/>
                <w:color w:val="000000"/>
                <w:sz w:val="16"/>
                <w:szCs w:val="18"/>
                <w:lang w:eastAsia="es-MX"/>
              </w:rPr>
            </w:pPr>
            <w:r w:rsidRPr="00A067B0">
              <w:rPr>
                <w:rFonts w:eastAsia="Times New Roman" w:cstheme="minorHAnsi"/>
                <w:bCs/>
                <w:color w:val="000000"/>
                <w:sz w:val="16"/>
                <w:szCs w:val="18"/>
                <w:lang w:eastAsia="es-MX"/>
              </w:rPr>
              <w:t>ARMERÍA</w:t>
            </w:r>
          </w:p>
        </w:tc>
        <w:tc>
          <w:tcPr>
            <w:tcW w:w="681" w:type="pct"/>
            <w:tcBorders>
              <w:top w:val="nil"/>
              <w:left w:val="nil"/>
              <w:bottom w:val="single" w:sz="4" w:space="0" w:color="auto"/>
              <w:right w:val="single" w:sz="4" w:space="0" w:color="auto"/>
            </w:tcBorders>
            <w:shd w:val="clear" w:color="auto" w:fill="auto"/>
            <w:noWrap/>
            <w:vAlign w:val="bottom"/>
            <w:hideMark/>
          </w:tcPr>
          <w:p w14:paraId="2A0D7FFD"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Pr>
                <w:rFonts w:eastAsia="Times New Roman" w:cstheme="minorHAnsi"/>
                <w:color w:val="000000"/>
                <w:sz w:val="16"/>
                <w:szCs w:val="16"/>
                <w:lang w:eastAsia="es-MX"/>
              </w:rPr>
              <w:t xml:space="preserve"> $</w:t>
            </w:r>
            <w:r w:rsidRPr="00A067B0">
              <w:rPr>
                <w:rFonts w:eastAsia="Times New Roman" w:cstheme="minorHAnsi"/>
                <w:color w:val="000000"/>
                <w:sz w:val="16"/>
                <w:szCs w:val="16"/>
                <w:lang w:eastAsia="es-MX"/>
              </w:rPr>
              <w:t xml:space="preserve">1,764,668.51 </w:t>
            </w:r>
          </w:p>
        </w:tc>
        <w:tc>
          <w:tcPr>
            <w:tcW w:w="674" w:type="pct"/>
            <w:tcBorders>
              <w:top w:val="nil"/>
              <w:left w:val="nil"/>
              <w:bottom w:val="single" w:sz="4" w:space="0" w:color="auto"/>
              <w:right w:val="single" w:sz="4" w:space="0" w:color="auto"/>
            </w:tcBorders>
            <w:shd w:val="clear" w:color="auto" w:fill="auto"/>
            <w:noWrap/>
            <w:vAlign w:val="bottom"/>
            <w:hideMark/>
          </w:tcPr>
          <w:p w14:paraId="62F3CBB3"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807" w:type="pct"/>
            <w:tcBorders>
              <w:top w:val="nil"/>
              <w:left w:val="nil"/>
              <w:bottom w:val="single" w:sz="4" w:space="0" w:color="auto"/>
              <w:right w:val="single" w:sz="4" w:space="0" w:color="auto"/>
            </w:tcBorders>
            <w:shd w:val="clear" w:color="auto" w:fill="auto"/>
            <w:noWrap/>
            <w:vAlign w:val="bottom"/>
            <w:hideMark/>
          </w:tcPr>
          <w:p w14:paraId="3DDA741C"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xml:space="preserve"> $ </w:t>
            </w:r>
            <w:r>
              <w:rPr>
                <w:rFonts w:eastAsia="Times New Roman" w:cstheme="minorHAnsi"/>
                <w:color w:val="000000"/>
                <w:sz w:val="16"/>
                <w:szCs w:val="16"/>
                <w:lang w:eastAsia="es-MX"/>
              </w:rPr>
              <w:t xml:space="preserve"> </w:t>
            </w:r>
            <w:r w:rsidRPr="00A067B0">
              <w:rPr>
                <w:rFonts w:eastAsia="Times New Roman" w:cstheme="minorHAnsi"/>
                <w:color w:val="000000"/>
                <w:sz w:val="16"/>
                <w:szCs w:val="16"/>
                <w:lang w:eastAsia="es-MX"/>
              </w:rPr>
              <w:t xml:space="preserve">2,477,701.04 </w:t>
            </w:r>
          </w:p>
        </w:tc>
        <w:tc>
          <w:tcPr>
            <w:tcW w:w="696" w:type="pct"/>
            <w:tcBorders>
              <w:top w:val="nil"/>
              <w:left w:val="nil"/>
              <w:bottom w:val="single" w:sz="4" w:space="0" w:color="auto"/>
              <w:right w:val="single" w:sz="4" w:space="0" w:color="auto"/>
            </w:tcBorders>
            <w:shd w:val="clear" w:color="auto" w:fill="auto"/>
            <w:noWrap/>
            <w:vAlign w:val="bottom"/>
            <w:hideMark/>
          </w:tcPr>
          <w:p w14:paraId="00A52719"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680" w:type="pct"/>
            <w:tcBorders>
              <w:top w:val="nil"/>
              <w:left w:val="nil"/>
              <w:bottom w:val="single" w:sz="4" w:space="0" w:color="auto"/>
              <w:right w:val="single" w:sz="4" w:space="0" w:color="auto"/>
            </w:tcBorders>
            <w:shd w:val="clear" w:color="auto" w:fill="auto"/>
            <w:noWrap/>
            <w:vAlign w:val="bottom"/>
            <w:hideMark/>
          </w:tcPr>
          <w:p w14:paraId="5AD9A426"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733" w:type="pct"/>
            <w:tcBorders>
              <w:top w:val="nil"/>
              <w:left w:val="nil"/>
              <w:bottom w:val="single" w:sz="4" w:space="0" w:color="auto"/>
              <w:right w:val="single" w:sz="4" w:space="0" w:color="auto"/>
            </w:tcBorders>
            <w:shd w:val="clear" w:color="auto" w:fill="auto"/>
            <w:noWrap/>
            <w:vAlign w:val="bottom"/>
            <w:hideMark/>
          </w:tcPr>
          <w:p w14:paraId="6A7B3D3D"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xml:space="preserve"> $ 5,601,954.68 </w:t>
            </w:r>
          </w:p>
        </w:tc>
      </w:tr>
      <w:tr w:rsidR="003669D2" w:rsidRPr="00A067B0" w14:paraId="62B5423F" w14:textId="77777777" w:rsidTr="00A067B0">
        <w:trPr>
          <w:trHeight w:val="300"/>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54556573" w14:textId="77777777" w:rsidR="00A067B0" w:rsidRPr="00A067B0" w:rsidRDefault="00A067B0" w:rsidP="00A067B0">
            <w:pPr>
              <w:spacing w:after="0" w:line="240" w:lineRule="auto"/>
              <w:rPr>
                <w:rFonts w:eastAsia="Times New Roman" w:cstheme="minorHAnsi"/>
                <w:bCs/>
                <w:color w:val="000000"/>
                <w:sz w:val="16"/>
                <w:szCs w:val="18"/>
                <w:lang w:eastAsia="es-MX"/>
              </w:rPr>
            </w:pPr>
            <w:r w:rsidRPr="00A067B0">
              <w:rPr>
                <w:rFonts w:eastAsia="Times New Roman" w:cstheme="minorHAnsi"/>
                <w:bCs/>
                <w:color w:val="000000"/>
                <w:sz w:val="16"/>
                <w:szCs w:val="18"/>
                <w:lang w:eastAsia="es-MX"/>
              </w:rPr>
              <w:t>COLIMA</w:t>
            </w:r>
          </w:p>
        </w:tc>
        <w:tc>
          <w:tcPr>
            <w:tcW w:w="681" w:type="pct"/>
            <w:tcBorders>
              <w:top w:val="nil"/>
              <w:left w:val="nil"/>
              <w:bottom w:val="single" w:sz="4" w:space="0" w:color="auto"/>
              <w:right w:val="single" w:sz="4" w:space="0" w:color="auto"/>
            </w:tcBorders>
            <w:shd w:val="clear" w:color="auto" w:fill="auto"/>
            <w:noWrap/>
            <w:vAlign w:val="bottom"/>
            <w:hideMark/>
          </w:tcPr>
          <w:p w14:paraId="6B21CB2F"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Pr>
                <w:rFonts w:eastAsia="Times New Roman" w:cstheme="minorHAnsi"/>
                <w:color w:val="000000"/>
                <w:sz w:val="16"/>
                <w:szCs w:val="16"/>
                <w:lang w:eastAsia="es-MX"/>
              </w:rPr>
              <w:t xml:space="preserve"> $   </w:t>
            </w:r>
            <w:r w:rsidRPr="00A067B0">
              <w:rPr>
                <w:rFonts w:eastAsia="Times New Roman" w:cstheme="minorHAnsi"/>
                <w:color w:val="000000"/>
                <w:sz w:val="16"/>
                <w:szCs w:val="16"/>
                <w:lang w:eastAsia="es-MX"/>
              </w:rPr>
              <w:t xml:space="preserve">574,855.31 </w:t>
            </w:r>
          </w:p>
        </w:tc>
        <w:tc>
          <w:tcPr>
            <w:tcW w:w="674" w:type="pct"/>
            <w:tcBorders>
              <w:top w:val="nil"/>
              <w:left w:val="nil"/>
              <w:bottom w:val="single" w:sz="4" w:space="0" w:color="auto"/>
              <w:right w:val="single" w:sz="4" w:space="0" w:color="auto"/>
            </w:tcBorders>
            <w:shd w:val="clear" w:color="auto" w:fill="auto"/>
            <w:noWrap/>
            <w:vAlign w:val="bottom"/>
            <w:hideMark/>
          </w:tcPr>
          <w:p w14:paraId="0A7CC52F"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Pr>
                <w:rFonts w:eastAsia="Times New Roman" w:cstheme="minorHAnsi"/>
                <w:color w:val="000000"/>
                <w:sz w:val="16"/>
                <w:szCs w:val="16"/>
                <w:lang w:eastAsia="es-MX"/>
              </w:rPr>
              <w:t xml:space="preserve"> $ </w:t>
            </w:r>
            <w:r w:rsidRPr="00A067B0">
              <w:rPr>
                <w:rFonts w:eastAsia="Times New Roman" w:cstheme="minorHAnsi"/>
                <w:color w:val="000000"/>
                <w:sz w:val="16"/>
                <w:szCs w:val="16"/>
                <w:lang w:eastAsia="es-MX"/>
              </w:rPr>
              <w:t xml:space="preserve">10,238,996.99 </w:t>
            </w:r>
          </w:p>
        </w:tc>
        <w:tc>
          <w:tcPr>
            <w:tcW w:w="807" w:type="pct"/>
            <w:tcBorders>
              <w:top w:val="nil"/>
              <w:left w:val="nil"/>
              <w:bottom w:val="single" w:sz="4" w:space="0" w:color="auto"/>
              <w:right w:val="single" w:sz="4" w:space="0" w:color="auto"/>
            </w:tcBorders>
            <w:shd w:val="clear" w:color="auto" w:fill="auto"/>
            <w:noWrap/>
            <w:vAlign w:val="bottom"/>
            <w:hideMark/>
          </w:tcPr>
          <w:p w14:paraId="6FA56055"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Pr>
                <w:rFonts w:eastAsia="Times New Roman" w:cstheme="minorHAnsi"/>
                <w:color w:val="000000"/>
                <w:sz w:val="16"/>
                <w:szCs w:val="16"/>
                <w:lang w:eastAsia="es-MX"/>
              </w:rPr>
              <w:t xml:space="preserve"> $ </w:t>
            </w:r>
            <w:r w:rsidRPr="00A067B0">
              <w:rPr>
                <w:rFonts w:eastAsia="Times New Roman" w:cstheme="minorHAnsi"/>
                <w:color w:val="000000"/>
                <w:sz w:val="16"/>
                <w:szCs w:val="16"/>
                <w:lang w:eastAsia="es-MX"/>
              </w:rPr>
              <w:t xml:space="preserve">33,213,127.45 </w:t>
            </w:r>
          </w:p>
        </w:tc>
        <w:tc>
          <w:tcPr>
            <w:tcW w:w="696" w:type="pct"/>
            <w:tcBorders>
              <w:top w:val="nil"/>
              <w:left w:val="nil"/>
              <w:bottom w:val="single" w:sz="4" w:space="0" w:color="auto"/>
              <w:right w:val="single" w:sz="4" w:space="0" w:color="auto"/>
            </w:tcBorders>
            <w:shd w:val="clear" w:color="auto" w:fill="auto"/>
            <w:noWrap/>
            <w:vAlign w:val="bottom"/>
            <w:hideMark/>
          </w:tcPr>
          <w:p w14:paraId="366D88ED"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xml:space="preserve"> $ 17,409,193.50 </w:t>
            </w:r>
          </w:p>
        </w:tc>
        <w:tc>
          <w:tcPr>
            <w:tcW w:w="680" w:type="pct"/>
            <w:tcBorders>
              <w:top w:val="nil"/>
              <w:left w:val="nil"/>
              <w:bottom w:val="single" w:sz="4" w:space="0" w:color="auto"/>
              <w:right w:val="single" w:sz="4" w:space="0" w:color="auto"/>
            </w:tcBorders>
            <w:shd w:val="clear" w:color="auto" w:fill="auto"/>
            <w:noWrap/>
            <w:vAlign w:val="bottom"/>
            <w:hideMark/>
          </w:tcPr>
          <w:p w14:paraId="232AC33E"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xml:space="preserve"> $  3,569,290.76 </w:t>
            </w:r>
          </w:p>
        </w:tc>
        <w:tc>
          <w:tcPr>
            <w:tcW w:w="733" w:type="pct"/>
            <w:tcBorders>
              <w:top w:val="nil"/>
              <w:left w:val="nil"/>
              <w:bottom w:val="single" w:sz="4" w:space="0" w:color="auto"/>
              <w:right w:val="single" w:sz="4" w:space="0" w:color="auto"/>
            </w:tcBorders>
            <w:shd w:val="clear" w:color="auto" w:fill="auto"/>
            <w:noWrap/>
            <w:vAlign w:val="bottom"/>
            <w:hideMark/>
          </w:tcPr>
          <w:p w14:paraId="3A90DE84"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r>
      <w:tr w:rsidR="003669D2" w:rsidRPr="00A067B0" w14:paraId="7658C60D" w14:textId="77777777" w:rsidTr="00A067B0">
        <w:trPr>
          <w:trHeight w:val="300"/>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5EBB51FD" w14:textId="77777777" w:rsidR="00A067B0" w:rsidRPr="00A067B0" w:rsidRDefault="00A067B0" w:rsidP="00A067B0">
            <w:pPr>
              <w:spacing w:after="0" w:line="240" w:lineRule="auto"/>
              <w:rPr>
                <w:rFonts w:eastAsia="Times New Roman" w:cstheme="minorHAnsi"/>
                <w:bCs/>
                <w:color w:val="000000"/>
                <w:sz w:val="16"/>
                <w:szCs w:val="18"/>
                <w:lang w:eastAsia="es-MX"/>
              </w:rPr>
            </w:pPr>
            <w:r w:rsidRPr="00A067B0">
              <w:rPr>
                <w:rFonts w:eastAsia="Times New Roman" w:cstheme="minorHAnsi"/>
                <w:bCs/>
                <w:color w:val="000000"/>
                <w:sz w:val="16"/>
                <w:szCs w:val="18"/>
                <w:lang w:eastAsia="es-MX"/>
              </w:rPr>
              <w:t>VILLA DE ÁLVAREZ</w:t>
            </w:r>
          </w:p>
        </w:tc>
        <w:tc>
          <w:tcPr>
            <w:tcW w:w="681" w:type="pct"/>
            <w:tcBorders>
              <w:top w:val="nil"/>
              <w:left w:val="nil"/>
              <w:bottom w:val="single" w:sz="4" w:space="0" w:color="auto"/>
              <w:right w:val="single" w:sz="4" w:space="0" w:color="auto"/>
            </w:tcBorders>
            <w:shd w:val="clear" w:color="auto" w:fill="auto"/>
            <w:noWrap/>
            <w:vAlign w:val="bottom"/>
            <w:hideMark/>
          </w:tcPr>
          <w:p w14:paraId="53452E5A"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Pr>
                <w:rFonts w:eastAsia="Times New Roman" w:cstheme="minorHAnsi"/>
                <w:color w:val="000000"/>
                <w:sz w:val="16"/>
                <w:szCs w:val="16"/>
                <w:lang w:eastAsia="es-MX"/>
              </w:rPr>
              <w:t xml:space="preserve"> $   </w:t>
            </w:r>
            <w:r w:rsidRPr="00A067B0">
              <w:rPr>
                <w:rFonts w:eastAsia="Times New Roman" w:cstheme="minorHAnsi"/>
                <w:color w:val="000000"/>
                <w:sz w:val="16"/>
                <w:szCs w:val="16"/>
                <w:lang w:eastAsia="es-MX"/>
              </w:rPr>
              <w:t xml:space="preserve">149,972.85 </w:t>
            </w:r>
          </w:p>
        </w:tc>
        <w:tc>
          <w:tcPr>
            <w:tcW w:w="674" w:type="pct"/>
            <w:tcBorders>
              <w:top w:val="nil"/>
              <w:left w:val="nil"/>
              <w:bottom w:val="single" w:sz="4" w:space="0" w:color="auto"/>
              <w:right w:val="single" w:sz="4" w:space="0" w:color="auto"/>
            </w:tcBorders>
            <w:shd w:val="clear" w:color="auto" w:fill="auto"/>
            <w:noWrap/>
            <w:vAlign w:val="bottom"/>
            <w:hideMark/>
          </w:tcPr>
          <w:p w14:paraId="20100B90"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807" w:type="pct"/>
            <w:tcBorders>
              <w:top w:val="nil"/>
              <w:left w:val="nil"/>
              <w:bottom w:val="single" w:sz="4" w:space="0" w:color="auto"/>
              <w:right w:val="single" w:sz="4" w:space="0" w:color="auto"/>
            </w:tcBorders>
            <w:shd w:val="clear" w:color="auto" w:fill="auto"/>
            <w:noWrap/>
            <w:vAlign w:val="bottom"/>
            <w:hideMark/>
          </w:tcPr>
          <w:p w14:paraId="22985720"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Pr>
                <w:rFonts w:eastAsia="Times New Roman" w:cstheme="minorHAnsi"/>
                <w:color w:val="000000"/>
                <w:sz w:val="16"/>
                <w:szCs w:val="16"/>
                <w:lang w:eastAsia="es-MX"/>
              </w:rPr>
              <w:t xml:space="preserve"> $</w:t>
            </w:r>
            <w:r w:rsidRPr="00A067B0">
              <w:rPr>
                <w:rFonts w:eastAsia="Times New Roman" w:cstheme="minorHAnsi"/>
                <w:color w:val="000000"/>
                <w:sz w:val="16"/>
                <w:szCs w:val="16"/>
                <w:lang w:eastAsia="es-MX"/>
              </w:rPr>
              <w:t xml:space="preserve">  2,419,256.87 </w:t>
            </w:r>
          </w:p>
        </w:tc>
        <w:tc>
          <w:tcPr>
            <w:tcW w:w="696" w:type="pct"/>
            <w:tcBorders>
              <w:top w:val="nil"/>
              <w:left w:val="nil"/>
              <w:bottom w:val="single" w:sz="4" w:space="0" w:color="auto"/>
              <w:right w:val="single" w:sz="4" w:space="0" w:color="auto"/>
            </w:tcBorders>
            <w:shd w:val="clear" w:color="auto" w:fill="auto"/>
            <w:noWrap/>
            <w:vAlign w:val="bottom"/>
            <w:hideMark/>
          </w:tcPr>
          <w:p w14:paraId="495328DD"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xml:space="preserve"> $  </w:t>
            </w:r>
            <w:r>
              <w:rPr>
                <w:rFonts w:eastAsia="Times New Roman" w:cstheme="minorHAnsi"/>
                <w:color w:val="000000"/>
                <w:sz w:val="16"/>
                <w:szCs w:val="16"/>
                <w:lang w:eastAsia="es-MX"/>
              </w:rPr>
              <w:t xml:space="preserve"> </w:t>
            </w:r>
            <w:r w:rsidRPr="00A067B0">
              <w:rPr>
                <w:rFonts w:eastAsia="Times New Roman" w:cstheme="minorHAnsi"/>
                <w:color w:val="000000"/>
                <w:sz w:val="16"/>
                <w:szCs w:val="16"/>
                <w:lang w:eastAsia="es-MX"/>
              </w:rPr>
              <w:t xml:space="preserve">   557,106.43 </w:t>
            </w:r>
          </w:p>
        </w:tc>
        <w:tc>
          <w:tcPr>
            <w:tcW w:w="680" w:type="pct"/>
            <w:tcBorders>
              <w:top w:val="nil"/>
              <w:left w:val="nil"/>
              <w:bottom w:val="single" w:sz="4" w:space="0" w:color="auto"/>
              <w:right w:val="single" w:sz="4" w:space="0" w:color="auto"/>
            </w:tcBorders>
            <w:shd w:val="clear" w:color="auto" w:fill="auto"/>
            <w:noWrap/>
            <w:vAlign w:val="bottom"/>
            <w:hideMark/>
          </w:tcPr>
          <w:p w14:paraId="16536FA5"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xml:space="preserve"> $  1,599,999.90 </w:t>
            </w:r>
          </w:p>
        </w:tc>
        <w:tc>
          <w:tcPr>
            <w:tcW w:w="733" w:type="pct"/>
            <w:tcBorders>
              <w:top w:val="nil"/>
              <w:left w:val="nil"/>
              <w:bottom w:val="single" w:sz="4" w:space="0" w:color="auto"/>
              <w:right w:val="single" w:sz="4" w:space="0" w:color="auto"/>
            </w:tcBorders>
            <w:shd w:val="clear" w:color="auto" w:fill="auto"/>
            <w:noWrap/>
            <w:vAlign w:val="bottom"/>
            <w:hideMark/>
          </w:tcPr>
          <w:p w14:paraId="19EEB9C0"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r>
      <w:tr w:rsidR="003669D2" w:rsidRPr="00A067B0" w14:paraId="0A60BA9D" w14:textId="77777777" w:rsidTr="00A067B0">
        <w:trPr>
          <w:trHeight w:val="300"/>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46B2CF9E" w14:textId="77777777" w:rsidR="00A067B0" w:rsidRPr="00A067B0" w:rsidRDefault="00A067B0" w:rsidP="00A067B0">
            <w:pPr>
              <w:spacing w:after="0" w:line="240" w:lineRule="auto"/>
              <w:rPr>
                <w:rFonts w:eastAsia="Times New Roman" w:cstheme="minorHAnsi"/>
                <w:bCs/>
                <w:color w:val="000000"/>
                <w:sz w:val="16"/>
                <w:szCs w:val="18"/>
                <w:lang w:eastAsia="es-MX"/>
              </w:rPr>
            </w:pPr>
            <w:r w:rsidRPr="00A067B0">
              <w:rPr>
                <w:rFonts w:eastAsia="Times New Roman" w:cstheme="minorHAnsi"/>
                <w:bCs/>
                <w:color w:val="000000"/>
                <w:sz w:val="16"/>
                <w:szCs w:val="18"/>
                <w:lang w:eastAsia="es-MX"/>
              </w:rPr>
              <w:t>MANZANILLO</w:t>
            </w:r>
          </w:p>
        </w:tc>
        <w:tc>
          <w:tcPr>
            <w:tcW w:w="681" w:type="pct"/>
            <w:tcBorders>
              <w:top w:val="nil"/>
              <w:left w:val="nil"/>
              <w:bottom w:val="single" w:sz="4" w:space="0" w:color="auto"/>
              <w:right w:val="single" w:sz="4" w:space="0" w:color="auto"/>
            </w:tcBorders>
            <w:shd w:val="clear" w:color="auto" w:fill="auto"/>
            <w:noWrap/>
            <w:vAlign w:val="bottom"/>
            <w:hideMark/>
          </w:tcPr>
          <w:p w14:paraId="54D3B3A5"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674" w:type="pct"/>
            <w:tcBorders>
              <w:top w:val="nil"/>
              <w:left w:val="nil"/>
              <w:bottom w:val="single" w:sz="4" w:space="0" w:color="auto"/>
              <w:right w:val="single" w:sz="4" w:space="0" w:color="auto"/>
            </w:tcBorders>
            <w:shd w:val="clear" w:color="auto" w:fill="auto"/>
            <w:noWrap/>
            <w:vAlign w:val="bottom"/>
            <w:hideMark/>
          </w:tcPr>
          <w:p w14:paraId="589F9336"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Pr>
                <w:rFonts w:eastAsia="Times New Roman" w:cstheme="minorHAnsi"/>
                <w:color w:val="000000"/>
                <w:sz w:val="16"/>
                <w:szCs w:val="16"/>
                <w:lang w:eastAsia="es-MX"/>
              </w:rPr>
              <w:t xml:space="preserve"> $</w:t>
            </w:r>
            <w:r w:rsidRPr="00A067B0">
              <w:rPr>
                <w:rFonts w:eastAsia="Times New Roman" w:cstheme="minorHAnsi"/>
                <w:color w:val="000000"/>
                <w:sz w:val="16"/>
                <w:szCs w:val="16"/>
                <w:lang w:eastAsia="es-MX"/>
              </w:rPr>
              <w:t xml:space="preserve"> 1,286,398.33 </w:t>
            </w:r>
          </w:p>
        </w:tc>
        <w:tc>
          <w:tcPr>
            <w:tcW w:w="807" w:type="pct"/>
            <w:tcBorders>
              <w:top w:val="nil"/>
              <w:left w:val="nil"/>
              <w:bottom w:val="single" w:sz="4" w:space="0" w:color="auto"/>
              <w:right w:val="single" w:sz="4" w:space="0" w:color="auto"/>
            </w:tcBorders>
            <w:shd w:val="clear" w:color="auto" w:fill="auto"/>
            <w:noWrap/>
            <w:vAlign w:val="bottom"/>
            <w:hideMark/>
          </w:tcPr>
          <w:p w14:paraId="7CDF6963"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Pr>
                <w:rFonts w:eastAsia="Times New Roman" w:cstheme="minorHAnsi"/>
                <w:color w:val="000000"/>
                <w:sz w:val="16"/>
                <w:szCs w:val="16"/>
                <w:lang w:eastAsia="es-MX"/>
              </w:rPr>
              <w:t xml:space="preserve"> $ </w:t>
            </w:r>
            <w:r w:rsidRPr="00A067B0">
              <w:rPr>
                <w:rFonts w:eastAsia="Times New Roman" w:cstheme="minorHAnsi"/>
                <w:color w:val="000000"/>
                <w:sz w:val="16"/>
                <w:szCs w:val="16"/>
                <w:lang w:eastAsia="es-MX"/>
              </w:rPr>
              <w:t xml:space="preserve"> 6,185,784.03 </w:t>
            </w:r>
          </w:p>
        </w:tc>
        <w:tc>
          <w:tcPr>
            <w:tcW w:w="696" w:type="pct"/>
            <w:tcBorders>
              <w:top w:val="nil"/>
              <w:left w:val="nil"/>
              <w:bottom w:val="single" w:sz="4" w:space="0" w:color="auto"/>
              <w:right w:val="single" w:sz="4" w:space="0" w:color="auto"/>
            </w:tcBorders>
            <w:shd w:val="clear" w:color="auto" w:fill="auto"/>
            <w:noWrap/>
            <w:vAlign w:val="bottom"/>
            <w:hideMark/>
          </w:tcPr>
          <w:p w14:paraId="21DAF4F3"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xml:space="preserve"> $</w:t>
            </w:r>
            <w:r>
              <w:rPr>
                <w:rFonts w:eastAsia="Times New Roman" w:cstheme="minorHAnsi"/>
                <w:color w:val="000000"/>
                <w:sz w:val="16"/>
                <w:szCs w:val="16"/>
                <w:lang w:eastAsia="es-MX"/>
              </w:rPr>
              <w:t xml:space="preserve">    </w:t>
            </w:r>
            <w:r w:rsidRPr="00A067B0">
              <w:rPr>
                <w:rFonts w:eastAsia="Times New Roman" w:cstheme="minorHAnsi"/>
                <w:color w:val="000000"/>
                <w:sz w:val="16"/>
                <w:szCs w:val="16"/>
                <w:lang w:eastAsia="es-MX"/>
              </w:rPr>
              <w:t xml:space="preserve">  468,662.50 </w:t>
            </w:r>
          </w:p>
        </w:tc>
        <w:tc>
          <w:tcPr>
            <w:tcW w:w="680" w:type="pct"/>
            <w:tcBorders>
              <w:top w:val="nil"/>
              <w:left w:val="nil"/>
              <w:bottom w:val="single" w:sz="4" w:space="0" w:color="auto"/>
              <w:right w:val="single" w:sz="4" w:space="0" w:color="auto"/>
            </w:tcBorders>
            <w:shd w:val="clear" w:color="auto" w:fill="auto"/>
            <w:noWrap/>
            <w:vAlign w:val="bottom"/>
            <w:hideMark/>
          </w:tcPr>
          <w:p w14:paraId="67F3DD06"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xml:space="preserve"> $</w:t>
            </w:r>
            <w:r>
              <w:rPr>
                <w:rFonts w:eastAsia="Times New Roman" w:cstheme="minorHAnsi"/>
                <w:color w:val="000000"/>
                <w:sz w:val="16"/>
                <w:szCs w:val="16"/>
                <w:lang w:eastAsia="es-MX"/>
              </w:rPr>
              <w:t xml:space="preserve">  </w:t>
            </w:r>
            <w:r w:rsidRPr="00A067B0">
              <w:rPr>
                <w:rFonts w:eastAsia="Times New Roman" w:cstheme="minorHAnsi"/>
                <w:color w:val="000000"/>
                <w:sz w:val="16"/>
                <w:szCs w:val="16"/>
                <w:lang w:eastAsia="es-MX"/>
              </w:rPr>
              <w:t xml:space="preserve">   999,675.61 </w:t>
            </w:r>
          </w:p>
        </w:tc>
        <w:tc>
          <w:tcPr>
            <w:tcW w:w="733" w:type="pct"/>
            <w:tcBorders>
              <w:top w:val="nil"/>
              <w:left w:val="nil"/>
              <w:bottom w:val="single" w:sz="4" w:space="0" w:color="auto"/>
              <w:right w:val="single" w:sz="4" w:space="0" w:color="auto"/>
            </w:tcBorders>
            <w:shd w:val="clear" w:color="auto" w:fill="auto"/>
            <w:noWrap/>
            <w:vAlign w:val="bottom"/>
            <w:hideMark/>
          </w:tcPr>
          <w:p w14:paraId="11732BB7"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r>
      <w:tr w:rsidR="003669D2" w:rsidRPr="00A067B0" w14:paraId="1F22843C" w14:textId="77777777" w:rsidTr="00A067B0">
        <w:trPr>
          <w:trHeight w:val="300"/>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3BE3D62D" w14:textId="77777777" w:rsidR="00A067B0" w:rsidRPr="00A067B0" w:rsidRDefault="00A067B0" w:rsidP="00A067B0">
            <w:pPr>
              <w:spacing w:after="0" w:line="240" w:lineRule="auto"/>
              <w:rPr>
                <w:rFonts w:eastAsia="Times New Roman" w:cstheme="minorHAnsi"/>
                <w:color w:val="000000"/>
                <w:sz w:val="16"/>
                <w:szCs w:val="18"/>
                <w:lang w:eastAsia="es-MX"/>
              </w:rPr>
            </w:pPr>
            <w:r w:rsidRPr="00A067B0">
              <w:rPr>
                <w:rFonts w:eastAsia="Times New Roman" w:cstheme="minorHAnsi"/>
                <w:color w:val="000000"/>
                <w:sz w:val="16"/>
                <w:szCs w:val="18"/>
                <w:lang w:eastAsia="es-MX"/>
              </w:rPr>
              <w:t>COMALA</w:t>
            </w:r>
          </w:p>
        </w:tc>
        <w:tc>
          <w:tcPr>
            <w:tcW w:w="681" w:type="pct"/>
            <w:tcBorders>
              <w:top w:val="nil"/>
              <w:left w:val="nil"/>
              <w:bottom w:val="single" w:sz="4" w:space="0" w:color="auto"/>
              <w:right w:val="single" w:sz="4" w:space="0" w:color="auto"/>
            </w:tcBorders>
            <w:shd w:val="clear" w:color="auto" w:fill="auto"/>
            <w:noWrap/>
            <w:vAlign w:val="bottom"/>
            <w:hideMark/>
          </w:tcPr>
          <w:p w14:paraId="2E9C5E94"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674" w:type="pct"/>
            <w:tcBorders>
              <w:top w:val="nil"/>
              <w:left w:val="nil"/>
              <w:bottom w:val="single" w:sz="4" w:space="0" w:color="auto"/>
              <w:right w:val="single" w:sz="4" w:space="0" w:color="auto"/>
            </w:tcBorders>
            <w:shd w:val="clear" w:color="auto" w:fill="auto"/>
            <w:noWrap/>
            <w:vAlign w:val="bottom"/>
            <w:hideMark/>
          </w:tcPr>
          <w:p w14:paraId="3FE532A0"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807" w:type="pct"/>
            <w:tcBorders>
              <w:top w:val="nil"/>
              <w:left w:val="nil"/>
              <w:bottom w:val="single" w:sz="4" w:space="0" w:color="auto"/>
              <w:right w:val="single" w:sz="4" w:space="0" w:color="auto"/>
            </w:tcBorders>
            <w:shd w:val="clear" w:color="auto" w:fill="auto"/>
            <w:noWrap/>
            <w:vAlign w:val="bottom"/>
            <w:hideMark/>
          </w:tcPr>
          <w:p w14:paraId="56D3FC51"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xml:space="preserve"> $ </w:t>
            </w:r>
            <w:r>
              <w:rPr>
                <w:rFonts w:eastAsia="Times New Roman" w:cstheme="minorHAnsi"/>
                <w:color w:val="000000"/>
                <w:sz w:val="16"/>
                <w:szCs w:val="16"/>
                <w:lang w:eastAsia="es-MX"/>
              </w:rPr>
              <w:t xml:space="preserve">   </w:t>
            </w:r>
            <w:r w:rsidRPr="00A067B0">
              <w:rPr>
                <w:rFonts w:eastAsia="Times New Roman" w:cstheme="minorHAnsi"/>
                <w:color w:val="000000"/>
                <w:sz w:val="16"/>
                <w:szCs w:val="16"/>
                <w:lang w:eastAsia="es-MX"/>
              </w:rPr>
              <w:t xml:space="preserve"> 588,119.49 </w:t>
            </w:r>
          </w:p>
        </w:tc>
        <w:tc>
          <w:tcPr>
            <w:tcW w:w="696" w:type="pct"/>
            <w:tcBorders>
              <w:top w:val="nil"/>
              <w:left w:val="nil"/>
              <w:bottom w:val="single" w:sz="4" w:space="0" w:color="auto"/>
              <w:right w:val="single" w:sz="4" w:space="0" w:color="auto"/>
            </w:tcBorders>
            <w:shd w:val="clear" w:color="auto" w:fill="auto"/>
            <w:noWrap/>
            <w:vAlign w:val="bottom"/>
            <w:hideMark/>
          </w:tcPr>
          <w:p w14:paraId="1D838140"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Pr>
                <w:rFonts w:eastAsia="Times New Roman" w:cstheme="minorHAnsi"/>
                <w:color w:val="000000"/>
                <w:sz w:val="16"/>
                <w:szCs w:val="16"/>
                <w:lang w:eastAsia="es-MX"/>
              </w:rPr>
              <w:t xml:space="preserve"> $   </w:t>
            </w:r>
            <w:r w:rsidRPr="00A067B0">
              <w:rPr>
                <w:rFonts w:eastAsia="Times New Roman" w:cstheme="minorHAnsi"/>
                <w:color w:val="000000"/>
                <w:sz w:val="16"/>
                <w:szCs w:val="16"/>
                <w:lang w:eastAsia="es-MX"/>
              </w:rPr>
              <w:t xml:space="preserve">     29,325.55 </w:t>
            </w:r>
          </w:p>
        </w:tc>
        <w:tc>
          <w:tcPr>
            <w:tcW w:w="680" w:type="pct"/>
            <w:tcBorders>
              <w:top w:val="nil"/>
              <w:left w:val="nil"/>
              <w:bottom w:val="single" w:sz="4" w:space="0" w:color="auto"/>
              <w:right w:val="single" w:sz="4" w:space="0" w:color="auto"/>
            </w:tcBorders>
            <w:shd w:val="clear" w:color="auto" w:fill="auto"/>
            <w:noWrap/>
            <w:vAlign w:val="bottom"/>
            <w:hideMark/>
          </w:tcPr>
          <w:p w14:paraId="59023536"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733" w:type="pct"/>
            <w:tcBorders>
              <w:top w:val="nil"/>
              <w:left w:val="nil"/>
              <w:bottom w:val="single" w:sz="4" w:space="0" w:color="auto"/>
              <w:right w:val="single" w:sz="4" w:space="0" w:color="auto"/>
            </w:tcBorders>
            <w:shd w:val="clear" w:color="auto" w:fill="auto"/>
            <w:noWrap/>
            <w:vAlign w:val="bottom"/>
            <w:hideMark/>
          </w:tcPr>
          <w:p w14:paraId="44C044F7"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r>
      <w:tr w:rsidR="003669D2" w:rsidRPr="00A067B0" w14:paraId="0A120970" w14:textId="77777777" w:rsidTr="00A067B0">
        <w:trPr>
          <w:trHeight w:val="300"/>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0A37B6BC" w14:textId="77777777" w:rsidR="00A067B0" w:rsidRPr="00A067B0" w:rsidRDefault="00A067B0" w:rsidP="00A067B0">
            <w:pPr>
              <w:spacing w:after="0" w:line="240" w:lineRule="auto"/>
              <w:rPr>
                <w:rFonts w:eastAsia="Times New Roman" w:cstheme="minorHAnsi"/>
                <w:color w:val="000000"/>
                <w:sz w:val="16"/>
                <w:szCs w:val="18"/>
                <w:lang w:eastAsia="es-MX"/>
              </w:rPr>
            </w:pPr>
            <w:r w:rsidRPr="00A067B0">
              <w:rPr>
                <w:rFonts w:eastAsia="Times New Roman" w:cstheme="minorHAnsi"/>
                <w:color w:val="000000"/>
                <w:sz w:val="16"/>
                <w:szCs w:val="18"/>
                <w:lang w:eastAsia="es-MX"/>
              </w:rPr>
              <w:t>COQUIMATLÁN</w:t>
            </w:r>
          </w:p>
        </w:tc>
        <w:tc>
          <w:tcPr>
            <w:tcW w:w="681" w:type="pct"/>
            <w:tcBorders>
              <w:top w:val="nil"/>
              <w:left w:val="nil"/>
              <w:bottom w:val="single" w:sz="4" w:space="0" w:color="auto"/>
              <w:right w:val="single" w:sz="4" w:space="0" w:color="auto"/>
            </w:tcBorders>
            <w:shd w:val="clear" w:color="auto" w:fill="auto"/>
            <w:noWrap/>
            <w:vAlign w:val="bottom"/>
            <w:hideMark/>
          </w:tcPr>
          <w:p w14:paraId="166A01F9"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674" w:type="pct"/>
            <w:tcBorders>
              <w:top w:val="nil"/>
              <w:left w:val="nil"/>
              <w:bottom w:val="single" w:sz="4" w:space="0" w:color="auto"/>
              <w:right w:val="single" w:sz="4" w:space="0" w:color="auto"/>
            </w:tcBorders>
            <w:shd w:val="clear" w:color="auto" w:fill="auto"/>
            <w:noWrap/>
            <w:vAlign w:val="bottom"/>
            <w:hideMark/>
          </w:tcPr>
          <w:p w14:paraId="7BDA5F5B"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807" w:type="pct"/>
            <w:tcBorders>
              <w:top w:val="nil"/>
              <w:left w:val="nil"/>
              <w:bottom w:val="single" w:sz="4" w:space="0" w:color="auto"/>
              <w:right w:val="single" w:sz="4" w:space="0" w:color="auto"/>
            </w:tcBorders>
            <w:shd w:val="clear" w:color="auto" w:fill="auto"/>
            <w:noWrap/>
            <w:vAlign w:val="bottom"/>
            <w:hideMark/>
          </w:tcPr>
          <w:p w14:paraId="03892537"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xml:space="preserve"> $     534,203.20 </w:t>
            </w:r>
          </w:p>
        </w:tc>
        <w:tc>
          <w:tcPr>
            <w:tcW w:w="696" w:type="pct"/>
            <w:tcBorders>
              <w:top w:val="nil"/>
              <w:left w:val="nil"/>
              <w:bottom w:val="single" w:sz="4" w:space="0" w:color="auto"/>
              <w:right w:val="single" w:sz="4" w:space="0" w:color="auto"/>
            </w:tcBorders>
            <w:shd w:val="clear" w:color="auto" w:fill="auto"/>
            <w:noWrap/>
            <w:vAlign w:val="bottom"/>
            <w:hideMark/>
          </w:tcPr>
          <w:p w14:paraId="3F656BE6"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680" w:type="pct"/>
            <w:tcBorders>
              <w:top w:val="nil"/>
              <w:left w:val="nil"/>
              <w:bottom w:val="single" w:sz="4" w:space="0" w:color="auto"/>
              <w:right w:val="single" w:sz="4" w:space="0" w:color="auto"/>
            </w:tcBorders>
            <w:shd w:val="clear" w:color="auto" w:fill="auto"/>
            <w:noWrap/>
            <w:vAlign w:val="bottom"/>
            <w:hideMark/>
          </w:tcPr>
          <w:p w14:paraId="30E923E2"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733" w:type="pct"/>
            <w:tcBorders>
              <w:top w:val="nil"/>
              <w:left w:val="nil"/>
              <w:bottom w:val="single" w:sz="4" w:space="0" w:color="auto"/>
              <w:right w:val="single" w:sz="4" w:space="0" w:color="auto"/>
            </w:tcBorders>
            <w:shd w:val="clear" w:color="auto" w:fill="auto"/>
            <w:noWrap/>
            <w:vAlign w:val="bottom"/>
            <w:hideMark/>
          </w:tcPr>
          <w:p w14:paraId="7B1259F5"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xml:space="preserve"> $ 3,478,260.00 </w:t>
            </w:r>
          </w:p>
        </w:tc>
      </w:tr>
      <w:tr w:rsidR="003669D2" w:rsidRPr="00A067B0" w14:paraId="489CD2E5" w14:textId="77777777" w:rsidTr="00A067B0">
        <w:trPr>
          <w:trHeight w:val="300"/>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7100C3DC" w14:textId="77777777" w:rsidR="00A067B0" w:rsidRPr="00A067B0" w:rsidRDefault="00A067B0" w:rsidP="00A067B0">
            <w:pPr>
              <w:spacing w:after="0" w:line="240" w:lineRule="auto"/>
              <w:rPr>
                <w:rFonts w:eastAsia="Times New Roman" w:cstheme="minorHAnsi"/>
                <w:color w:val="000000"/>
                <w:sz w:val="16"/>
                <w:szCs w:val="18"/>
                <w:lang w:eastAsia="es-MX"/>
              </w:rPr>
            </w:pPr>
            <w:r w:rsidRPr="00A067B0">
              <w:rPr>
                <w:rFonts w:eastAsia="Times New Roman" w:cstheme="minorHAnsi"/>
                <w:color w:val="000000"/>
                <w:sz w:val="16"/>
                <w:szCs w:val="18"/>
                <w:lang w:eastAsia="es-MX"/>
              </w:rPr>
              <w:t>CUAUHTÉMOC</w:t>
            </w:r>
          </w:p>
        </w:tc>
        <w:tc>
          <w:tcPr>
            <w:tcW w:w="681" w:type="pct"/>
            <w:tcBorders>
              <w:top w:val="nil"/>
              <w:left w:val="nil"/>
              <w:bottom w:val="single" w:sz="4" w:space="0" w:color="auto"/>
              <w:right w:val="single" w:sz="4" w:space="0" w:color="auto"/>
            </w:tcBorders>
            <w:shd w:val="clear" w:color="auto" w:fill="auto"/>
            <w:noWrap/>
            <w:vAlign w:val="bottom"/>
            <w:hideMark/>
          </w:tcPr>
          <w:p w14:paraId="4566B546"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674" w:type="pct"/>
            <w:tcBorders>
              <w:top w:val="nil"/>
              <w:left w:val="nil"/>
              <w:bottom w:val="single" w:sz="4" w:space="0" w:color="auto"/>
              <w:right w:val="single" w:sz="4" w:space="0" w:color="auto"/>
            </w:tcBorders>
            <w:shd w:val="clear" w:color="auto" w:fill="auto"/>
            <w:noWrap/>
            <w:vAlign w:val="bottom"/>
            <w:hideMark/>
          </w:tcPr>
          <w:p w14:paraId="10451D11"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807" w:type="pct"/>
            <w:tcBorders>
              <w:top w:val="nil"/>
              <w:left w:val="nil"/>
              <w:bottom w:val="single" w:sz="4" w:space="0" w:color="auto"/>
              <w:right w:val="single" w:sz="4" w:space="0" w:color="auto"/>
            </w:tcBorders>
            <w:shd w:val="clear" w:color="auto" w:fill="auto"/>
            <w:noWrap/>
            <w:vAlign w:val="bottom"/>
            <w:hideMark/>
          </w:tcPr>
          <w:p w14:paraId="4678D876"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Pr>
                <w:rFonts w:eastAsia="Times New Roman" w:cstheme="minorHAnsi"/>
                <w:color w:val="000000"/>
                <w:sz w:val="16"/>
                <w:szCs w:val="16"/>
                <w:lang w:eastAsia="es-MX"/>
              </w:rPr>
              <w:t xml:space="preserve"> $ </w:t>
            </w:r>
            <w:r w:rsidRPr="00A067B0">
              <w:rPr>
                <w:rFonts w:eastAsia="Times New Roman" w:cstheme="minorHAnsi"/>
                <w:color w:val="000000"/>
                <w:sz w:val="16"/>
                <w:szCs w:val="16"/>
                <w:lang w:eastAsia="es-MX"/>
              </w:rPr>
              <w:t xml:space="preserve"> 2,142,485.39 </w:t>
            </w:r>
          </w:p>
        </w:tc>
        <w:tc>
          <w:tcPr>
            <w:tcW w:w="696" w:type="pct"/>
            <w:tcBorders>
              <w:top w:val="nil"/>
              <w:left w:val="nil"/>
              <w:bottom w:val="single" w:sz="4" w:space="0" w:color="auto"/>
              <w:right w:val="single" w:sz="4" w:space="0" w:color="auto"/>
            </w:tcBorders>
            <w:shd w:val="clear" w:color="auto" w:fill="auto"/>
            <w:noWrap/>
            <w:vAlign w:val="bottom"/>
            <w:hideMark/>
          </w:tcPr>
          <w:p w14:paraId="2515050E"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Pr>
                <w:rFonts w:eastAsia="Times New Roman" w:cstheme="minorHAnsi"/>
                <w:color w:val="000000"/>
                <w:sz w:val="16"/>
                <w:szCs w:val="16"/>
                <w:lang w:eastAsia="es-MX"/>
              </w:rPr>
              <w:t xml:space="preserve"> $  </w:t>
            </w:r>
            <w:r w:rsidRPr="00A067B0">
              <w:rPr>
                <w:rFonts w:eastAsia="Times New Roman" w:cstheme="minorHAnsi"/>
                <w:color w:val="000000"/>
                <w:sz w:val="16"/>
                <w:szCs w:val="16"/>
                <w:lang w:eastAsia="es-MX"/>
              </w:rPr>
              <w:t xml:space="preserve">   122,906.57 </w:t>
            </w:r>
          </w:p>
        </w:tc>
        <w:tc>
          <w:tcPr>
            <w:tcW w:w="680" w:type="pct"/>
            <w:tcBorders>
              <w:top w:val="nil"/>
              <w:left w:val="nil"/>
              <w:bottom w:val="single" w:sz="4" w:space="0" w:color="auto"/>
              <w:right w:val="single" w:sz="4" w:space="0" w:color="auto"/>
            </w:tcBorders>
            <w:shd w:val="clear" w:color="auto" w:fill="auto"/>
            <w:noWrap/>
            <w:vAlign w:val="bottom"/>
            <w:hideMark/>
          </w:tcPr>
          <w:p w14:paraId="326FA9ED"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733" w:type="pct"/>
            <w:tcBorders>
              <w:top w:val="nil"/>
              <w:left w:val="nil"/>
              <w:bottom w:val="single" w:sz="4" w:space="0" w:color="auto"/>
              <w:right w:val="single" w:sz="4" w:space="0" w:color="auto"/>
            </w:tcBorders>
            <w:shd w:val="clear" w:color="auto" w:fill="auto"/>
            <w:noWrap/>
            <w:vAlign w:val="bottom"/>
            <w:hideMark/>
          </w:tcPr>
          <w:p w14:paraId="00D6B9A6"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r>
      <w:tr w:rsidR="003669D2" w:rsidRPr="00A067B0" w14:paraId="4FF9D08B" w14:textId="77777777" w:rsidTr="00A067B0">
        <w:trPr>
          <w:trHeight w:val="300"/>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435380DF" w14:textId="77777777" w:rsidR="00A067B0" w:rsidRPr="00A067B0" w:rsidRDefault="00A067B0" w:rsidP="00A067B0">
            <w:pPr>
              <w:spacing w:after="0" w:line="240" w:lineRule="auto"/>
              <w:rPr>
                <w:rFonts w:eastAsia="Times New Roman" w:cstheme="minorHAnsi"/>
                <w:color w:val="000000"/>
                <w:sz w:val="16"/>
                <w:szCs w:val="18"/>
                <w:lang w:eastAsia="es-MX"/>
              </w:rPr>
            </w:pPr>
            <w:r w:rsidRPr="00A067B0">
              <w:rPr>
                <w:rFonts w:eastAsia="Times New Roman" w:cstheme="minorHAnsi"/>
                <w:color w:val="000000"/>
                <w:sz w:val="16"/>
                <w:szCs w:val="18"/>
                <w:lang w:eastAsia="es-MX"/>
              </w:rPr>
              <w:t>IXTLAHUACÁN</w:t>
            </w:r>
          </w:p>
        </w:tc>
        <w:tc>
          <w:tcPr>
            <w:tcW w:w="681" w:type="pct"/>
            <w:tcBorders>
              <w:top w:val="nil"/>
              <w:left w:val="nil"/>
              <w:bottom w:val="single" w:sz="4" w:space="0" w:color="auto"/>
              <w:right w:val="single" w:sz="4" w:space="0" w:color="auto"/>
            </w:tcBorders>
            <w:shd w:val="clear" w:color="auto" w:fill="auto"/>
            <w:noWrap/>
            <w:vAlign w:val="bottom"/>
            <w:hideMark/>
          </w:tcPr>
          <w:p w14:paraId="7583BC9B"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674" w:type="pct"/>
            <w:tcBorders>
              <w:top w:val="nil"/>
              <w:left w:val="nil"/>
              <w:bottom w:val="single" w:sz="4" w:space="0" w:color="auto"/>
              <w:right w:val="single" w:sz="4" w:space="0" w:color="auto"/>
            </w:tcBorders>
            <w:shd w:val="clear" w:color="auto" w:fill="auto"/>
            <w:noWrap/>
            <w:vAlign w:val="bottom"/>
            <w:hideMark/>
          </w:tcPr>
          <w:p w14:paraId="59E77F17"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807" w:type="pct"/>
            <w:tcBorders>
              <w:top w:val="nil"/>
              <w:left w:val="nil"/>
              <w:bottom w:val="single" w:sz="4" w:space="0" w:color="auto"/>
              <w:right w:val="single" w:sz="4" w:space="0" w:color="auto"/>
            </w:tcBorders>
            <w:shd w:val="clear" w:color="auto" w:fill="auto"/>
            <w:noWrap/>
            <w:vAlign w:val="bottom"/>
            <w:hideMark/>
          </w:tcPr>
          <w:p w14:paraId="21038E11"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Pr>
                <w:rFonts w:eastAsia="Times New Roman" w:cstheme="minorHAnsi"/>
                <w:color w:val="000000"/>
                <w:sz w:val="16"/>
                <w:szCs w:val="16"/>
                <w:lang w:eastAsia="es-MX"/>
              </w:rPr>
              <w:t xml:space="preserve"> $ </w:t>
            </w:r>
            <w:r w:rsidRPr="00A067B0">
              <w:rPr>
                <w:rFonts w:eastAsia="Times New Roman" w:cstheme="minorHAnsi"/>
                <w:color w:val="000000"/>
                <w:sz w:val="16"/>
                <w:szCs w:val="16"/>
                <w:lang w:eastAsia="es-MX"/>
              </w:rPr>
              <w:t xml:space="preserve"> 4,119,350.82 </w:t>
            </w:r>
          </w:p>
        </w:tc>
        <w:tc>
          <w:tcPr>
            <w:tcW w:w="696" w:type="pct"/>
            <w:tcBorders>
              <w:top w:val="nil"/>
              <w:left w:val="nil"/>
              <w:bottom w:val="single" w:sz="4" w:space="0" w:color="auto"/>
              <w:right w:val="single" w:sz="4" w:space="0" w:color="auto"/>
            </w:tcBorders>
            <w:shd w:val="clear" w:color="auto" w:fill="auto"/>
            <w:noWrap/>
            <w:vAlign w:val="bottom"/>
            <w:hideMark/>
          </w:tcPr>
          <w:p w14:paraId="206DED8E"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680" w:type="pct"/>
            <w:tcBorders>
              <w:top w:val="nil"/>
              <w:left w:val="nil"/>
              <w:bottom w:val="single" w:sz="4" w:space="0" w:color="auto"/>
              <w:right w:val="single" w:sz="4" w:space="0" w:color="auto"/>
            </w:tcBorders>
            <w:shd w:val="clear" w:color="auto" w:fill="auto"/>
            <w:noWrap/>
            <w:vAlign w:val="bottom"/>
            <w:hideMark/>
          </w:tcPr>
          <w:p w14:paraId="343F3016"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733" w:type="pct"/>
            <w:tcBorders>
              <w:top w:val="nil"/>
              <w:left w:val="nil"/>
              <w:bottom w:val="single" w:sz="4" w:space="0" w:color="auto"/>
              <w:right w:val="single" w:sz="4" w:space="0" w:color="auto"/>
            </w:tcBorders>
            <w:shd w:val="clear" w:color="auto" w:fill="auto"/>
            <w:noWrap/>
            <w:vAlign w:val="bottom"/>
            <w:hideMark/>
          </w:tcPr>
          <w:p w14:paraId="77248B1D"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r>
      <w:tr w:rsidR="003669D2" w:rsidRPr="00A067B0" w14:paraId="14216A9F" w14:textId="77777777" w:rsidTr="00A067B0">
        <w:trPr>
          <w:trHeight w:val="300"/>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3DC24BD3" w14:textId="77777777" w:rsidR="00A067B0" w:rsidRPr="00A067B0" w:rsidRDefault="00A067B0" w:rsidP="00A067B0">
            <w:pPr>
              <w:spacing w:after="0" w:line="240" w:lineRule="auto"/>
              <w:rPr>
                <w:rFonts w:eastAsia="Times New Roman" w:cstheme="minorHAnsi"/>
                <w:color w:val="000000"/>
                <w:sz w:val="16"/>
                <w:szCs w:val="18"/>
                <w:lang w:eastAsia="es-MX"/>
              </w:rPr>
            </w:pPr>
            <w:r w:rsidRPr="00A067B0">
              <w:rPr>
                <w:rFonts w:eastAsia="Times New Roman" w:cstheme="minorHAnsi"/>
                <w:color w:val="000000"/>
                <w:sz w:val="16"/>
                <w:szCs w:val="18"/>
                <w:lang w:eastAsia="es-MX"/>
              </w:rPr>
              <w:t>MINATITLÁN</w:t>
            </w:r>
          </w:p>
        </w:tc>
        <w:tc>
          <w:tcPr>
            <w:tcW w:w="681" w:type="pct"/>
            <w:tcBorders>
              <w:top w:val="nil"/>
              <w:left w:val="nil"/>
              <w:bottom w:val="single" w:sz="4" w:space="0" w:color="auto"/>
              <w:right w:val="single" w:sz="4" w:space="0" w:color="auto"/>
            </w:tcBorders>
            <w:shd w:val="clear" w:color="auto" w:fill="auto"/>
            <w:noWrap/>
            <w:vAlign w:val="bottom"/>
            <w:hideMark/>
          </w:tcPr>
          <w:p w14:paraId="61E3A3A2"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674" w:type="pct"/>
            <w:tcBorders>
              <w:top w:val="nil"/>
              <w:left w:val="nil"/>
              <w:bottom w:val="single" w:sz="4" w:space="0" w:color="auto"/>
              <w:right w:val="single" w:sz="4" w:space="0" w:color="auto"/>
            </w:tcBorders>
            <w:shd w:val="clear" w:color="auto" w:fill="auto"/>
            <w:noWrap/>
            <w:vAlign w:val="bottom"/>
            <w:hideMark/>
          </w:tcPr>
          <w:p w14:paraId="750970B7"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807" w:type="pct"/>
            <w:tcBorders>
              <w:top w:val="nil"/>
              <w:left w:val="nil"/>
              <w:bottom w:val="single" w:sz="4" w:space="0" w:color="auto"/>
              <w:right w:val="single" w:sz="4" w:space="0" w:color="auto"/>
            </w:tcBorders>
            <w:shd w:val="clear" w:color="auto" w:fill="auto"/>
            <w:noWrap/>
            <w:vAlign w:val="bottom"/>
            <w:hideMark/>
          </w:tcPr>
          <w:p w14:paraId="063607C8"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Pr>
                <w:rFonts w:eastAsia="Times New Roman" w:cstheme="minorHAnsi"/>
                <w:color w:val="000000"/>
                <w:sz w:val="16"/>
                <w:szCs w:val="16"/>
                <w:lang w:eastAsia="es-MX"/>
              </w:rPr>
              <w:t xml:space="preserve"> $ </w:t>
            </w:r>
            <w:r w:rsidRPr="00A067B0">
              <w:rPr>
                <w:rFonts w:eastAsia="Times New Roman" w:cstheme="minorHAnsi"/>
                <w:color w:val="000000"/>
                <w:sz w:val="16"/>
                <w:szCs w:val="16"/>
                <w:lang w:eastAsia="es-MX"/>
              </w:rPr>
              <w:t xml:space="preserve">     392,657.52 </w:t>
            </w:r>
          </w:p>
        </w:tc>
        <w:tc>
          <w:tcPr>
            <w:tcW w:w="696" w:type="pct"/>
            <w:tcBorders>
              <w:top w:val="nil"/>
              <w:left w:val="nil"/>
              <w:bottom w:val="single" w:sz="4" w:space="0" w:color="auto"/>
              <w:right w:val="single" w:sz="4" w:space="0" w:color="auto"/>
            </w:tcBorders>
            <w:shd w:val="clear" w:color="auto" w:fill="auto"/>
            <w:noWrap/>
            <w:vAlign w:val="bottom"/>
            <w:hideMark/>
          </w:tcPr>
          <w:p w14:paraId="61D53B54"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680" w:type="pct"/>
            <w:tcBorders>
              <w:top w:val="nil"/>
              <w:left w:val="nil"/>
              <w:bottom w:val="single" w:sz="4" w:space="0" w:color="auto"/>
              <w:right w:val="single" w:sz="4" w:space="0" w:color="auto"/>
            </w:tcBorders>
            <w:shd w:val="clear" w:color="auto" w:fill="auto"/>
            <w:noWrap/>
            <w:vAlign w:val="bottom"/>
            <w:hideMark/>
          </w:tcPr>
          <w:p w14:paraId="4C51DDC8"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733" w:type="pct"/>
            <w:tcBorders>
              <w:top w:val="nil"/>
              <w:left w:val="nil"/>
              <w:bottom w:val="single" w:sz="4" w:space="0" w:color="auto"/>
              <w:right w:val="single" w:sz="4" w:space="0" w:color="auto"/>
            </w:tcBorders>
            <w:shd w:val="clear" w:color="auto" w:fill="auto"/>
            <w:noWrap/>
            <w:vAlign w:val="bottom"/>
            <w:hideMark/>
          </w:tcPr>
          <w:p w14:paraId="7BB61A71"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r>
      <w:tr w:rsidR="003669D2" w:rsidRPr="00A067B0" w14:paraId="5BB0B245" w14:textId="77777777" w:rsidTr="00A067B0">
        <w:trPr>
          <w:trHeight w:val="300"/>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61041C1E" w14:textId="77777777" w:rsidR="00A067B0" w:rsidRPr="00A067B0" w:rsidRDefault="00A067B0" w:rsidP="00A067B0">
            <w:pPr>
              <w:spacing w:after="0" w:line="240" w:lineRule="auto"/>
              <w:rPr>
                <w:rFonts w:eastAsia="Times New Roman" w:cstheme="minorHAnsi"/>
                <w:color w:val="000000"/>
                <w:sz w:val="16"/>
                <w:szCs w:val="18"/>
                <w:lang w:eastAsia="es-MX"/>
              </w:rPr>
            </w:pPr>
            <w:r w:rsidRPr="00A067B0">
              <w:rPr>
                <w:rFonts w:eastAsia="Times New Roman" w:cstheme="minorHAnsi"/>
                <w:color w:val="000000"/>
                <w:sz w:val="16"/>
                <w:szCs w:val="18"/>
                <w:lang w:eastAsia="es-MX"/>
              </w:rPr>
              <w:t>TECOMÁN</w:t>
            </w:r>
          </w:p>
        </w:tc>
        <w:tc>
          <w:tcPr>
            <w:tcW w:w="681" w:type="pct"/>
            <w:tcBorders>
              <w:top w:val="nil"/>
              <w:left w:val="nil"/>
              <w:bottom w:val="single" w:sz="4" w:space="0" w:color="auto"/>
              <w:right w:val="single" w:sz="4" w:space="0" w:color="auto"/>
            </w:tcBorders>
            <w:shd w:val="clear" w:color="auto" w:fill="auto"/>
            <w:noWrap/>
            <w:vAlign w:val="bottom"/>
            <w:hideMark/>
          </w:tcPr>
          <w:p w14:paraId="75B79A3D"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674" w:type="pct"/>
            <w:tcBorders>
              <w:top w:val="nil"/>
              <w:left w:val="nil"/>
              <w:bottom w:val="single" w:sz="4" w:space="0" w:color="auto"/>
              <w:right w:val="single" w:sz="4" w:space="0" w:color="auto"/>
            </w:tcBorders>
            <w:shd w:val="clear" w:color="auto" w:fill="auto"/>
            <w:noWrap/>
            <w:vAlign w:val="bottom"/>
            <w:hideMark/>
          </w:tcPr>
          <w:p w14:paraId="1FA51338"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807" w:type="pct"/>
            <w:tcBorders>
              <w:top w:val="nil"/>
              <w:left w:val="nil"/>
              <w:bottom w:val="single" w:sz="4" w:space="0" w:color="auto"/>
              <w:right w:val="single" w:sz="4" w:space="0" w:color="auto"/>
            </w:tcBorders>
            <w:shd w:val="clear" w:color="auto" w:fill="auto"/>
            <w:noWrap/>
            <w:vAlign w:val="bottom"/>
            <w:hideMark/>
          </w:tcPr>
          <w:p w14:paraId="1ADF04F7"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Pr>
                <w:rFonts w:eastAsia="Times New Roman" w:cstheme="minorHAnsi"/>
                <w:color w:val="000000"/>
                <w:sz w:val="16"/>
                <w:szCs w:val="16"/>
                <w:lang w:eastAsia="es-MX"/>
              </w:rPr>
              <w:t xml:space="preserve"> $ </w:t>
            </w:r>
            <w:r w:rsidRPr="00A067B0">
              <w:rPr>
                <w:rFonts w:eastAsia="Times New Roman" w:cstheme="minorHAnsi"/>
                <w:color w:val="000000"/>
                <w:sz w:val="16"/>
                <w:szCs w:val="16"/>
                <w:lang w:eastAsia="es-MX"/>
              </w:rPr>
              <w:t xml:space="preserve">  2,133,396.07 </w:t>
            </w:r>
          </w:p>
        </w:tc>
        <w:tc>
          <w:tcPr>
            <w:tcW w:w="696" w:type="pct"/>
            <w:tcBorders>
              <w:top w:val="nil"/>
              <w:left w:val="nil"/>
              <w:bottom w:val="single" w:sz="4" w:space="0" w:color="auto"/>
              <w:right w:val="single" w:sz="4" w:space="0" w:color="auto"/>
            </w:tcBorders>
            <w:shd w:val="clear" w:color="auto" w:fill="auto"/>
            <w:noWrap/>
            <w:vAlign w:val="bottom"/>
            <w:hideMark/>
          </w:tcPr>
          <w:p w14:paraId="78CE455A"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680" w:type="pct"/>
            <w:tcBorders>
              <w:top w:val="nil"/>
              <w:left w:val="nil"/>
              <w:bottom w:val="single" w:sz="4" w:space="0" w:color="auto"/>
              <w:right w:val="single" w:sz="4" w:space="0" w:color="auto"/>
            </w:tcBorders>
            <w:shd w:val="clear" w:color="auto" w:fill="auto"/>
            <w:noWrap/>
            <w:vAlign w:val="bottom"/>
            <w:hideMark/>
          </w:tcPr>
          <w:p w14:paraId="1C4794CB"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xml:space="preserve"> $   ,118,432.15 </w:t>
            </w:r>
          </w:p>
        </w:tc>
        <w:tc>
          <w:tcPr>
            <w:tcW w:w="733" w:type="pct"/>
            <w:tcBorders>
              <w:top w:val="nil"/>
              <w:left w:val="nil"/>
              <w:bottom w:val="single" w:sz="4" w:space="0" w:color="auto"/>
              <w:right w:val="single" w:sz="4" w:space="0" w:color="auto"/>
            </w:tcBorders>
            <w:shd w:val="clear" w:color="auto" w:fill="auto"/>
            <w:noWrap/>
            <w:vAlign w:val="bottom"/>
            <w:hideMark/>
          </w:tcPr>
          <w:p w14:paraId="0123F668"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r>
      <w:tr w:rsidR="003669D2" w:rsidRPr="00A067B0" w14:paraId="478A0ACF" w14:textId="77777777" w:rsidTr="00A067B0">
        <w:trPr>
          <w:trHeight w:val="300"/>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24B3EDA4" w14:textId="77777777" w:rsidR="00A067B0" w:rsidRPr="00A067B0" w:rsidRDefault="00A067B0" w:rsidP="00A067B0">
            <w:pPr>
              <w:spacing w:after="0" w:line="240" w:lineRule="auto"/>
              <w:rPr>
                <w:rFonts w:eastAsia="Times New Roman" w:cstheme="minorHAnsi"/>
                <w:color w:val="000000"/>
                <w:sz w:val="16"/>
                <w:szCs w:val="18"/>
                <w:lang w:eastAsia="es-MX"/>
              </w:rPr>
            </w:pPr>
            <w:r w:rsidRPr="00A067B0">
              <w:rPr>
                <w:rFonts w:eastAsia="Times New Roman" w:cstheme="minorHAnsi"/>
                <w:color w:val="000000"/>
                <w:sz w:val="16"/>
                <w:szCs w:val="18"/>
                <w:lang w:eastAsia="es-MX"/>
              </w:rPr>
              <w:t>VARIOS</w:t>
            </w:r>
          </w:p>
        </w:tc>
        <w:tc>
          <w:tcPr>
            <w:tcW w:w="681" w:type="pct"/>
            <w:tcBorders>
              <w:top w:val="nil"/>
              <w:left w:val="nil"/>
              <w:bottom w:val="single" w:sz="4" w:space="0" w:color="auto"/>
              <w:right w:val="single" w:sz="4" w:space="0" w:color="auto"/>
            </w:tcBorders>
            <w:shd w:val="clear" w:color="auto" w:fill="auto"/>
            <w:noWrap/>
            <w:vAlign w:val="bottom"/>
            <w:hideMark/>
          </w:tcPr>
          <w:p w14:paraId="25B07316"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674" w:type="pct"/>
            <w:tcBorders>
              <w:top w:val="nil"/>
              <w:left w:val="nil"/>
              <w:bottom w:val="single" w:sz="4" w:space="0" w:color="auto"/>
              <w:right w:val="single" w:sz="4" w:space="0" w:color="auto"/>
            </w:tcBorders>
            <w:shd w:val="clear" w:color="auto" w:fill="auto"/>
            <w:noWrap/>
            <w:vAlign w:val="bottom"/>
            <w:hideMark/>
          </w:tcPr>
          <w:p w14:paraId="7D3BE9E8"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807" w:type="pct"/>
            <w:tcBorders>
              <w:top w:val="nil"/>
              <w:left w:val="nil"/>
              <w:bottom w:val="single" w:sz="4" w:space="0" w:color="auto"/>
              <w:right w:val="single" w:sz="4" w:space="0" w:color="auto"/>
            </w:tcBorders>
            <w:shd w:val="clear" w:color="auto" w:fill="auto"/>
            <w:noWrap/>
            <w:vAlign w:val="bottom"/>
            <w:hideMark/>
          </w:tcPr>
          <w:p w14:paraId="7E895E17"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696" w:type="pct"/>
            <w:tcBorders>
              <w:top w:val="nil"/>
              <w:left w:val="nil"/>
              <w:bottom w:val="single" w:sz="4" w:space="0" w:color="auto"/>
              <w:right w:val="single" w:sz="4" w:space="0" w:color="auto"/>
            </w:tcBorders>
            <w:shd w:val="clear" w:color="auto" w:fill="auto"/>
            <w:noWrap/>
            <w:vAlign w:val="bottom"/>
            <w:hideMark/>
          </w:tcPr>
          <w:p w14:paraId="76EB9F73"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Pr>
                <w:rFonts w:eastAsia="Times New Roman" w:cstheme="minorHAnsi"/>
                <w:color w:val="000000"/>
                <w:sz w:val="16"/>
                <w:szCs w:val="16"/>
                <w:lang w:eastAsia="es-MX"/>
              </w:rPr>
              <w:t xml:space="preserve"> $</w:t>
            </w:r>
            <w:r w:rsidRPr="00A067B0">
              <w:rPr>
                <w:rFonts w:eastAsia="Times New Roman" w:cstheme="minorHAnsi"/>
                <w:color w:val="000000"/>
                <w:sz w:val="16"/>
                <w:szCs w:val="16"/>
                <w:lang w:eastAsia="es-MX"/>
              </w:rPr>
              <w:t xml:space="preserve">     312,900.00 </w:t>
            </w:r>
          </w:p>
        </w:tc>
        <w:tc>
          <w:tcPr>
            <w:tcW w:w="680" w:type="pct"/>
            <w:tcBorders>
              <w:top w:val="nil"/>
              <w:left w:val="nil"/>
              <w:bottom w:val="single" w:sz="4" w:space="0" w:color="auto"/>
              <w:right w:val="single" w:sz="4" w:space="0" w:color="auto"/>
            </w:tcBorders>
            <w:shd w:val="clear" w:color="auto" w:fill="auto"/>
            <w:noWrap/>
            <w:vAlign w:val="bottom"/>
            <w:hideMark/>
          </w:tcPr>
          <w:p w14:paraId="4850EBCC"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c>
          <w:tcPr>
            <w:tcW w:w="733" w:type="pct"/>
            <w:tcBorders>
              <w:top w:val="nil"/>
              <w:left w:val="nil"/>
              <w:bottom w:val="single" w:sz="4" w:space="0" w:color="auto"/>
              <w:right w:val="single" w:sz="4" w:space="0" w:color="auto"/>
            </w:tcBorders>
            <w:shd w:val="clear" w:color="auto" w:fill="auto"/>
            <w:noWrap/>
            <w:vAlign w:val="bottom"/>
            <w:hideMark/>
          </w:tcPr>
          <w:p w14:paraId="6372D609" w14:textId="77777777" w:rsidR="00A067B0" w:rsidRPr="00A067B0" w:rsidRDefault="00A067B0" w:rsidP="00A067B0">
            <w:pPr>
              <w:spacing w:after="0" w:line="240" w:lineRule="auto"/>
              <w:jc w:val="right"/>
              <w:rPr>
                <w:rFonts w:eastAsia="Times New Roman" w:cstheme="minorHAnsi"/>
                <w:color w:val="000000"/>
                <w:sz w:val="16"/>
                <w:szCs w:val="16"/>
                <w:lang w:eastAsia="es-MX"/>
              </w:rPr>
            </w:pPr>
            <w:r w:rsidRPr="00A067B0">
              <w:rPr>
                <w:rFonts w:eastAsia="Times New Roman" w:cstheme="minorHAnsi"/>
                <w:color w:val="000000"/>
                <w:sz w:val="16"/>
                <w:szCs w:val="16"/>
                <w:lang w:eastAsia="es-MX"/>
              </w:rPr>
              <w:t> </w:t>
            </w:r>
          </w:p>
        </w:tc>
      </w:tr>
      <w:tr w:rsidR="003669D2" w:rsidRPr="00A067B0" w14:paraId="31078C18" w14:textId="77777777" w:rsidTr="00A067B0">
        <w:trPr>
          <w:trHeight w:val="300"/>
        </w:trPr>
        <w:tc>
          <w:tcPr>
            <w:tcW w:w="730" w:type="pct"/>
            <w:tcBorders>
              <w:top w:val="nil"/>
              <w:left w:val="single" w:sz="4" w:space="0" w:color="auto"/>
              <w:bottom w:val="single" w:sz="4" w:space="0" w:color="auto"/>
              <w:right w:val="single" w:sz="4" w:space="0" w:color="auto"/>
            </w:tcBorders>
            <w:shd w:val="clear" w:color="auto" w:fill="auto"/>
            <w:noWrap/>
            <w:vAlign w:val="bottom"/>
            <w:hideMark/>
          </w:tcPr>
          <w:p w14:paraId="15CD847D" w14:textId="77777777" w:rsidR="00A067B0" w:rsidRPr="00A067B0" w:rsidRDefault="00A067B0" w:rsidP="00A067B0">
            <w:pPr>
              <w:spacing w:after="0" w:line="240" w:lineRule="auto"/>
              <w:rPr>
                <w:rFonts w:eastAsia="Times New Roman" w:cstheme="minorHAnsi"/>
                <w:color w:val="000000"/>
                <w:sz w:val="18"/>
                <w:szCs w:val="18"/>
                <w:lang w:eastAsia="es-MX"/>
              </w:rPr>
            </w:pPr>
            <w:r w:rsidRPr="00A067B0">
              <w:rPr>
                <w:rFonts w:eastAsia="Times New Roman" w:cstheme="minorHAnsi"/>
                <w:color w:val="000000"/>
                <w:sz w:val="18"/>
                <w:szCs w:val="18"/>
                <w:lang w:eastAsia="es-MX"/>
              </w:rPr>
              <w:t> </w:t>
            </w:r>
          </w:p>
        </w:tc>
        <w:tc>
          <w:tcPr>
            <w:tcW w:w="681" w:type="pct"/>
            <w:tcBorders>
              <w:top w:val="nil"/>
              <w:left w:val="nil"/>
              <w:bottom w:val="single" w:sz="4" w:space="0" w:color="auto"/>
              <w:right w:val="single" w:sz="4" w:space="0" w:color="auto"/>
            </w:tcBorders>
            <w:shd w:val="clear" w:color="auto" w:fill="auto"/>
            <w:noWrap/>
            <w:vAlign w:val="bottom"/>
            <w:hideMark/>
          </w:tcPr>
          <w:p w14:paraId="0860685C" w14:textId="77777777" w:rsidR="00A067B0" w:rsidRPr="00A067B0" w:rsidRDefault="00A067B0" w:rsidP="00A067B0">
            <w:pPr>
              <w:spacing w:after="0" w:line="240" w:lineRule="auto"/>
              <w:jc w:val="right"/>
              <w:rPr>
                <w:rFonts w:eastAsia="Times New Roman" w:cstheme="minorHAnsi"/>
                <w:b/>
                <w:bCs/>
                <w:color w:val="000000"/>
                <w:sz w:val="16"/>
                <w:szCs w:val="16"/>
                <w:lang w:eastAsia="es-MX"/>
              </w:rPr>
            </w:pPr>
            <w:r w:rsidRPr="00A067B0">
              <w:rPr>
                <w:rFonts w:eastAsia="Times New Roman" w:cstheme="minorHAnsi"/>
                <w:b/>
                <w:bCs/>
                <w:color w:val="000000"/>
                <w:sz w:val="16"/>
                <w:szCs w:val="16"/>
                <w:lang w:eastAsia="es-MX"/>
              </w:rPr>
              <w:t xml:space="preserve"> $ 2,489,496.67 </w:t>
            </w:r>
          </w:p>
        </w:tc>
        <w:tc>
          <w:tcPr>
            <w:tcW w:w="674" w:type="pct"/>
            <w:tcBorders>
              <w:top w:val="nil"/>
              <w:left w:val="nil"/>
              <w:bottom w:val="single" w:sz="4" w:space="0" w:color="auto"/>
              <w:right w:val="single" w:sz="4" w:space="0" w:color="auto"/>
            </w:tcBorders>
            <w:shd w:val="clear" w:color="auto" w:fill="auto"/>
            <w:noWrap/>
            <w:vAlign w:val="bottom"/>
            <w:hideMark/>
          </w:tcPr>
          <w:p w14:paraId="759046B1" w14:textId="77777777" w:rsidR="00A067B0" w:rsidRPr="00A067B0" w:rsidRDefault="00A067B0" w:rsidP="003669D2">
            <w:pPr>
              <w:spacing w:after="0" w:line="240" w:lineRule="auto"/>
              <w:jc w:val="right"/>
              <w:rPr>
                <w:rFonts w:eastAsia="Times New Roman" w:cstheme="minorHAnsi"/>
                <w:b/>
                <w:bCs/>
                <w:color w:val="000000"/>
                <w:sz w:val="16"/>
                <w:szCs w:val="16"/>
                <w:lang w:eastAsia="es-MX"/>
              </w:rPr>
            </w:pPr>
            <w:r w:rsidRPr="00A067B0">
              <w:rPr>
                <w:rFonts w:eastAsia="Times New Roman" w:cstheme="minorHAnsi"/>
                <w:b/>
                <w:bCs/>
                <w:color w:val="000000"/>
                <w:sz w:val="16"/>
                <w:szCs w:val="16"/>
                <w:lang w:eastAsia="es-MX"/>
              </w:rPr>
              <w:t xml:space="preserve"> $ 11,525,395.32 </w:t>
            </w:r>
          </w:p>
        </w:tc>
        <w:tc>
          <w:tcPr>
            <w:tcW w:w="807" w:type="pct"/>
            <w:tcBorders>
              <w:top w:val="nil"/>
              <w:left w:val="nil"/>
              <w:bottom w:val="single" w:sz="4" w:space="0" w:color="auto"/>
              <w:right w:val="single" w:sz="4" w:space="0" w:color="auto"/>
            </w:tcBorders>
            <w:shd w:val="clear" w:color="auto" w:fill="auto"/>
            <w:noWrap/>
            <w:vAlign w:val="bottom"/>
            <w:hideMark/>
          </w:tcPr>
          <w:p w14:paraId="3AF4FA20" w14:textId="77777777" w:rsidR="00A067B0" w:rsidRPr="00A067B0" w:rsidRDefault="003669D2" w:rsidP="003669D2">
            <w:pPr>
              <w:spacing w:after="0" w:line="240" w:lineRule="auto"/>
              <w:jc w:val="right"/>
              <w:rPr>
                <w:rFonts w:eastAsia="Times New Roman" w:cstheme="minorHAnsi"/>
                <w:b/>
                <w:bCs/>
                <w:color w:val="000000"/>
                <w:sz w:val="16"/>
                <w:szCs w:val="16"/>
                <w:lang w:eastAsia="es-MX"/>
              </w:rPr>
            </w:pPr>
            <w:r>
              <w:rPr>
                <w:rFonts w:eastAsia="Times New Roman" w:cstheme="minorHAnsi"/>
                <w:b/>
                <w:bCs/>
                <w:color w:val="000000"/>
                <w:sz w:val="16"/>
                <w:szCs w:val="16"/>
                <w:lang w:eastAsia="es-MX"/>
              </w:rPr>
              <w:t xml:space="preserve"> $ </w:t>
            </w:r>
            <w:r w:rsidR="00A067B0" w:rsidRPr="00A067B0">
              <w:rPr>
                <w:rFonts w:eastAsia="Times New Roman" w:cstheme="minorHAnsi"/>
                <w:b/>
                <w:bCs/>
                <w:color w:val="000000"/>
                <w:sz w:val="16"/>
                <w:szCs w:val="16"/>
                <w:lang w:eastAsia="es-MX"/>
              </w:rPr>
              <w:t xml:space="preserve"> 54,206,081.87 </w:t>
            </w:r>
          </w:p>
        </w:tc>
        <w:tc>
          <w:tcPr>
            <w:tcW w:w="696" w:type="pct"/>
            <w:tcBorders>
              <w:top w:val="nil"/>
              <w:left w:val="nil"/>
              <w:bottom w:val="single" w:sz="4" w:space="0" w:color="auto"/>
              <w:right w:val="single" w:sz="4" w:space="0" w:color="auto"/>
            </w:tcBorders>
            <w:shd w:val="clear" w:color="auto" w:fill="auto"/>
            <w:noWrap/>
            <w:vAlign w:val="bottom"/>
            <w:hideMark/>
          </w:tcPr>
          <w:p w14:paraId="632C60FC" w14:textId="77777777" w:rsidR="00A067B0" w:rsidRPr="00A067B0" w:rsidRDefault="00A067B0" w:rsidP="00A067B0">
            <w:pPr>
              <w:spacing w:after="0" w:line="240" w:lineRule="auto"/>
              <w:jc w:val="right"/>
              <w:rPr>
                <w:rFonts w:eastAsia="Times New Roman" w:cstheme="minorHAnsi"/>
                <w:b/>
                <w:bCs/>
                <w:color w:val="000000"/>
                <w:sz w:val="16"/>
                <w:szCs w:val="16"/>
                <w:lang w:eastAsia="es-MX"/>
              </w:rPr>
            </w:pPr>
            <w:r w:rsidRPr="00A067B0">
              <w:rPr>
                <w:rFonts w:eastAsia="Times New Roman" w:cstheme="minorHAnsi"/>
                <w:b/>
                <w:bCs/>
                <w:color w:val="000000"/>
                <w:sz w:val="16"/>
                <w:szCs w:val="16"/>
                <w:lang w:eastAsia="es-MX"/>
              </w:rPr>
              <w:t xml:space="preserve"> $  18,900,094.55 </w:t>
            </w:r>
          </w:p>
        </w:tc>
        <w:tc>
          <w:tcPr>
            <w:tcW w:w="680" w:type="pct"/>
            <w:tcBorders>
              <w:top w:val="nil"/>
              <w:left w:val="nil"/>
              <w:bottom w:val="single" w:sz="4" w:space="0" w:color="auto"/>
              <w:right w:val="single" w:sz="4" w:space="0" w:color="auto"/>
            </w:tcBorders>
            <w:shd w:val="clear" w:color="auto" w:fill="auto"/>
            <w:noWrap/>
            <w:vAlign w:val="bottom"/>
            <w:hideMark/>
          </w:tcPr>
          <w:p w14:paraId="389188B3" w14:textId="77777777" w:rsidR="00A067B0" w:rsidRPr="00A067B0" w:rsidRDefault="00A067B0" w:rsidP="00A067B0">
            <w:pPr>
              <w:spacing w:after="0" w:line="240" w:lineRule="auto"/>
              <w:jc w:val="right"/>
              <w:rPr>
                <w:rFonts w:eastAsia="Times New Roman" w:cstheme="minorHAnsi"/>
                <w:b/>
                <w:bCs/>
                <w:color w:val="000000"/>
                <w:sz w:val="16"/>
                <w:szCs w:val="16"/>
                <w:lang w:eastAsia="es-MX"/>
              </w:rPr>
            </w:pPr>
            <w:r w:rsidRPr="00A067B0">
              <w:rPr>
                <w:rFonts w:eastAsia="Times New Roman" w:cstheme="minorHAnsi"/>
                <w:b/>
                <w:bCs/>
                <w:color w:val="000000"/>
                <w:sz w:val="16"/>
                <w:szCs w:val="16"/>
                <w:lang w:eastAsia="es-MX"/>
              </w:rPr>
              <w:t xml:space="preserve"> $ 13,287,398.42 </w:t>
            </w:r>
          </w:p>
        </w:tc>
        <w:tc>
          <w:tcPr>
            <w:tcW w:w="733" w:type="pct"/>
            <w:tcBorders>
              <w:top w:val="nil"/>
              <w:left w:val="nil"/>
              <w:bottom w:val="single" w:sz="4" w:space="0" w:color="auto"/>
              <w:right w:val="single" w:sz="4" w:space="0" w:color="auto"/>
            </w:tcBorders>
            <w:shd w:val="clear" w:color="auto" w:fill="auto"/>
            <w:noWrap/>
            <w:vAlign w:val="bottom"/>
            <w:hideMark/>
          </w:tcPr>
          <w:p w14:paraId="42361D1C" w14:textId="77777777" w:rsidR="00A067B0" w:rsidRPr="00A067B0" w:rsidRDefault="00A067B0" w:rsidP="00A067B0">
            <w:pPr>
              <w:spacing w:after="0" w:line="240" w:lineRule="auto"/>
              <w:jc w:val="right"/>
              <w:rPr>
                <w:rFonts w:eastAsia="Times New Roman" w:cstheme="minorHAnsi"/>
                <w:b/>
                <w:bCs/>
                <w:color w:val="000000"/>
                <w:sz w:val="16"/>
                <w:szCs w:val="16"/>
                <w:lang w:eastAsia="es-MX"/>
              </w:rPr>
            </w:pPr>
            <w:r w:rsidRPr="00A067B0">
              <w:rPr>
                <w:rFonts w:eastAsia="Times New Roman" w:cstheme="minorHAnsi"/>
                <w:b/>
                <w:bCs/>
                <w:color w:val="000000"/>
                <w:sz w:val="16"/>
                <w:szCs w:val="16"/>
                <w:lang w:eastAsia="es-MX"/>
              </w:rPr>
              <w:t xml:space="preserve"> $9,080,214.68 </w:t>
            </w:r>
          </w:p>
        </w:tc>
      </w:tr>
      <w:tr w:rsidR="00A067B0" w:rsidRPr="00A067B0" w14:paraId="674D8A3D" w14:textId="77777777" w:rsidTr="00A067B0">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65528" w14:textId="77777777" w:rsidR="00A067B0" w:rsidRPr="00A067B0" w:rsidRDefault="00A067B0" w:rsidP="00A067B0">
            <w:pPr>
              <w:spacing w:after="0" w:line="240" w:lineRule="auto"/>
              <w:rPr>
                <w:rFonts w:eastAsia="Times New Roman" w:cstheme="minorHAnsi"/>
                <w:color w:val="000000"/>
                <w:sz w:val="18"/>
                <w:szCs w:val="18"/>
                <w:lang w:eastAsia="es-MX"/>
              </w:rPr>
            </w:pPr>
            <w:r w:rsidRPr="00A067B0">
              <w:rPr>
                <w:rFonts w:eastAsia="Times New Roman" w:cstheme="minorHAnsi"/>
                <w:color w:val="000000"/>
                <w:sz w:val="18"/>
                <w:szCs w:val="18"/>
                <w:lang w:eastAsia="es-MX"/>
              </w:rPr>
              <w:t>Fuente: elaborado por TECSO con base al informe “Resumen Obras 2017” suministrado por la Dependencia</w:t>
            </w:r>
          </w:p>
        </w:tc>
      </w:tr>
    </w:tbl>
    <w:p w14:paraId="24BD3488" w14:textId="77777777" w:rsidR="00A067B0" w:rsidRPr="003669D2" w:rsidRDefault="00A067B0" w:rsidP="0072466A">
      <w:pPr>
        <w:spacing w:after="240"/>
        <w:jc w:val="both"/>
        <w:rPr>
          <w:rFonts w:ascii="Century Gothic" w:hAnsi="Century Gothic"/>
          <w:sz w:val="2"/>
          <w:szCs w:val="24"/>
        </w:rPr>
      </w:pPr>
    </w:p>
    <w:p w14:paraId="09950E3D" w14:textId="77777777" w:rsidR="00A067B0" w:rsidRDefault="00890B9B" w:rsidP="0072466A">
      <w:pPr>
        <w:spacing w:after="240"/>
        <w:jc w:val="both"/>
        <w:rPr>
          <w:rFonts w:ascii="Century Gothic" w:hAnsi="Century Gothic"/>
          <w:sz w:val="24"/>
          <w:szCs w:val="24"/>
          <w:lang w:val="es-ES_tradnl"/>
        </w:rPr>
      </w:pPr>
      <w:r>
        <w:rPr>
          <w:rFonts w:ascii="Century Gothic" w:hAnsi="Century Gothic"/>
          <w:sz w:val="24"/>
          <w:szCs w:val="24"/>
          <w:lang w:val="es-ES_tradnl"/>
        </w:rPr>
        <w:lastRenderedPageBreak/>
        <w:t xml:space="preserve">Se resalta la inversión en infraestructura deportiva, pues en los 10 municipios se realizó este tipo de obra, esto data la </w:t>
      </w:r>
      <w:r w:rsidRPr="00F36E88">
        <w:rPr>
          <w:rFonts w:ascii="Century Gothic" w:hAnsi="Century Gothic"/>
          <w:b/>
          <w:sz w:val="24"/>
          <w:szCs w:val="24"/>
          <w:lang w:val="es-ES_tradnl"/>
        </w:rPr>
        <w:t>importancia que le ha dado el gobierno estatal a la cultura deportiva</w:t>
      </w:r>
      <w:r>
        <w:rPr>
          <w:rFonts w:ascii="Century Gothic" w:hAnsi="Century Gothic"/>
          <w:sz w:val="24"/>
          <w:szCs w:val="24"/>
          <w:lang w:val="es-ES_tradnl"/>
        </w:rPr>
        <w:t xml:space="preserve">, </w:t>
      </w:r>
      <w:r w:rsidR="00F36E88">
        <w:rPr>
          <w:rFonts w:ascii="Century Gothic" w:hAnsi="Century Gothic"/>
          <w:sz w:val="24"/>
          <w:szCs w:val="24"/>
          <w:lang w:val="es-ES_tradnl"/>
        </w:rPr>
        <w:t>tal como lo expresa en su Plan de Desarrollo:</w:t>
      </w:r>
    </w:p>
    <w:p w14:paraId="365002EB" w14:textId="77777777" w:rsidR="00F36E88" w:rsidRDefault="00F36E88" w:rsidP="00F36E88">
      <w:pPr>
        <w:spacing w:after="240"/>
        <w:ind w:left="284" w:right="333"/>
        <w:jc w:val="both"/>
        <w:rPr>
          <w:rFonts w:ascii="Century Gothic" w:hAnsi="Century Gothic"/>
          <w:sz w:val="24"/>
          <w:szCs w:val="24"/>
          <w:lang w:val="es-ES_tradnl"/>
        </w:rPr>
      </w:pPr>
      <w:r>
        <w:rPr>
          <w:rFonts w:ascii="Century Gothic" w:hAnsi="Century Gothic"/>
          <w:sz w:val="24"/>
          <w:szCs w:val="24"/>
          <w:lang w:val="es-ES_tradnl"/>
        </w:rPr>
        <w:t>Deporte como un pilar del desarrollo social: A la par del crecimiento de las ciudades es necesario incrementar la infraestructura recreativa, cultural y deportiva, para que los niños, jóvenes, adultos mayores, y en general todas las familias colimenses, cuenten con espacios suficientes de convivencia y disfrute. (Plan Estatal de Desarrollo de Colima 2016 – 2021).</w:t>
      </w:r>
    </w:p>
    <w:p w14:paraId="368CB329" w14:textId="77777777" w:rsidR="00087287" w:rsidRDefault="0072466A" w:rsidP="0072466A">
      <w:pPr>
        <w:spacing w:after="240"/>
        <w:jc w:val="both"/>
        <w:rPr>
          <w:rFonts w:ascii="Century Gothic" w:hAnsi="Century Gothic"/>
          <w:sz w:val="24"/>
          <w:szCs w:val="24"/>
          <w:lang w:val="es-ES_tradnl"/>
        </w:rPr>
      </w:pPr>
      <w:r>
        <w:rPr>
          <w:rFonts w:ascii="Century Gothic" w:hAnsi="Century Gothic"/>
          <w:sz w:val="24"/>
          <w:szCs w:val="24"/>
          <w:lang w:val="es-ES_tradnl"/>
        </w:rPr>
        <w:t>Sin embargo</w:t>
      </w:r>
      <w:r w:rsidR="00087287">
        <w:rPr>
          <w:rFonts w:ascii="Century Gothic" w:hAnsi="Century Gothic"/>
          <w:sz w:val="24"/>
          <w:szCs w:val="24"/>
          <w:lang w:val="es-ES_tradnl"/>
        </w:rPr>
        <w:t>,</w:t>
      </w:r>
      <w:r>
        <w:rPr>
          <w:rFonts w:ascii="Century Gothic" w:hAnsi="Century Gothic"/>
          <w:sz w:val="24"/>
          <w:szCs w:val="24"/>
          <w:lang w:val="es-ES_tradnl"/>
        </w:rPr>
        <w:t xml:space="preserve"> es importarte recalcar que los productos finales que entrega el programa son diversos y de igual forma el concepto de este es amplio, </w:t>
      </w:r>
      <w:r w:rsidR="00087287">
        <w:rPr>
          <w:rFonts w:ascii="Century Gothic" w:hAnsi="Century Gothic"/>
          <w:sz w:val="24"/>
          <w:szCs w:val="24"/>
          <w:lang w:val="es-ES_tradnl"/>
        </w:rPr>
        <w:t>tal como lo señala la dependencia:</w:t>
      </w:r>
    </w:p>
    <w:p w14:paraId="4EC1F1CD" w14:textId="77777777" w:rsidR="00087287" w:rsidRDefault="00087287" w:rsidP="00087287">
      <w:pPr>
        <w:spacing w:after="240"/>
        <w:ind w:left="284" w:right="333"/>
        <w:jc w:val="both"/>
        <w:rPr>
          <w:rFonts w:ascii="Century Gothic" w:hAnsi="Century Gothic"/>
          <w:sz w:val="24"/>
          <w:szCs w:val="24"/>
          <w:lang w:val="es-ES_tradnl"/>
        </w:rPr>
      </w:pPr>
      <w:r w:rsidRPr="00087287">
        <w:rPr>
          <w:rFonts w:ascii="Century Gothic" w:hAnsi="Century Gothic"/>
          <w:sz w:val="24"/>
          <w:szCs w:val="24"/>
          <w:lang w:val="es-ES_tradnl"/>
        </w:rPr>
        <w:t>El sector no habitacional que tiene como finalidad la generación de infraestructura, rehabilitación y ampliación de espacios educativos, artísticos y culturales, ampliaciones y mejoramientos de los espacios para la práctica del deporte, entre otras acciones de infraestructura urbana y social</w:t>
      </w:r>
      <w:r>
        <w:rPr>
          <w:rStyle w:val="Refdenotaalpie"/>
          <w:rFonts w:ascii="Century Gothic" w:hAnsi="Century Gothic"/>
          <w:sz w:val="24"/>
          <w:szCs w:val="24"/>
          <w:lang w:val="es-ES_tradnl"/>
        </w:rPr>
        <w:footnoteReference w:id="7"/>
      </w:r>
      <w:r>
        <w:rPr>
          <w:rFonts w:ascii="Century Gothic" w:hAnsi="Century Gothic"/>
          <w:sz w:val="24"/>
          <w:szCs w:val="24"/>
          <w:lang w:val="es-ES_tradnl"/>
        </w:rPr>
        <w:t>.</w:t>
      </w:r>
      <w:r w:rsidR="0072466A">
        <w:rPr>
          <w:rFonts w:ascii="Century Gothic" w:hAnsi="Century Gothic"/>
          <w:sz w:val="24"/>
          <w:szCs w:val="24"/>
          <w:lang w:val="es-ES_tradnl"/>
        </w:rPr>
        <w:t xml:space="preserve"> </w:t>
      </w:r>
    </w:p>
    <w:p w14:paraId="01663160" w14:textId="77777777" w:rsidR="0072466A" w:rsidRPr="007D1412" w:rsidRDefault="00087287" w:rsidP="0072466A">
      <w:pPr>
        <w:spacing w:after="240"/>
        <w:jc w:val="both"/>
        <w:rPr>
          <w:rFonts w:ascii="Century Gothic" w:hAnsi="Century Gothic"/>
          <w:sz w:val="24"/>
          <w:szCs w:val="24"/>
          <w:lang w:val="es-ES_tradnl"/>
        </w:rPr>
      </w:pPr>
      <w:r>
        <w:rPr>
          <w:rFonts w:ascii="Century Gothic" w:hAnsi="Century Gothic"/>
          <w:sz w:val="24"/>
          <w:szCs w:val="24"/>
          <w:lang w:val="es-ES_tradnl"/>
        </w:rPr>
        <w:t>E</w:t>
      </w:r>
      <w:r w:rsidR="0072466A">
        <w:rPr>
          <w:rFonts w:ascii="Century Gothic" w:hAnsi="Century Gothic"/>
          <w:sz w:val="24"/>
          <w:szCs w:val="24"/>
          <w:lang w:val="es-ES_tradnl"/>
        </w:rPr>
        <w:t>ste puede llegar a abarcar todo tipo de obra que no sea encaminada a lo habitacional, lo que puede generar inconvenientes para medir el logro de las acciones de gobierno.</w:t>
      </w:r>
    </w:p>
    <w:p w14:paraId="4880D291" w14:textId="77777777" w:rsidR="00A157D2" w:rsidRPr="00A157D2" w:rsidRDefault="0072466A" w:rsidP="0072466A">
      <w:pPr>
        <w:spacing w:after="240"/>
        <w:jc w:val="both"/>
        <w:rPr>
          <w:rFonts w:ascii="Century Gothic" w:hAnsi="Century Gothic"/>
          <w:sz w:val="24"/>
          <w:szCs w:val="24"/>
        </w:rPr>
      </w:pPr>
      <w:r>
        <w:rPr>
          <w:rFonts w:ascii="Century Gothic" w:hAnsi="Century Gothic"/>
          <w:sz w:val="24"/>
          <w:szCs w:val="24"/>
        </w:rPr>
        <w:t xml:space="preserve">Así, </w:t>
      </w:r>
      <w:r w:rsidRPr="00A157D2">
        <w:rPr>
          <w:rFonts w:ascii="Century Gothic" w:hAnsi="Century Gothic"/>
          <w:b/>
          <w:sz w:val="24"/>
          <w:szCs w:val="24"/>
        </w:rPr>
        <w:t>una primera recomendación que surge de esta revisión, es realizar una adecuada clasificación de las obras en los programas a los que se relacionan y contribuyen a su logro</w:t>
      </w:r>
      <w:r w:rsidRPr="00A157D2">
        <w:rPr>
          <w:rFonts w:ascii="Century Gothic" w:hAnsi="Century Gothic"/>
          <w:sz w:val="24"/>
          <w:szCs w:val="24"/>
        </w:rPr>
        <w:t xml:space="preserve">, </w:t>
      </w:r>
      <w:r w:rsidR="00A157D2" w:rsidRPr="00A157D2">
        <w:rPr>
          <w:rFonts w:ascii="Century Gothic" w:hAnsi="Century Gothic"/>
          <w:sz w:val="24"/>
          <w:szCs w:val="24"/>
        </w:rPr>
        <w:t>independientemente de que dependencia ejecute o lleve a cabo la obra.</w:t>
      </w:r>
    </w:p>
    <w:p w14:paraId="111AE257" w14:textId="77777777" w:rsidR="00A157D2" w:rsidRPr="00A157D2" w:rsidRDefault="00A157D2" w:rsidP="00A157D2">
      <w:pPr>
        <w:spacing w:after="240"/>
        <w:jc w:val="both"/>
        <w:rPr>
          <w:rFonts w:ascii="Century Gothic" w:hAnsi="Century Gothic"/>
          <w:sz w:val="24"/>
          <w:szCs w:val="24"/>
        </w:rPr>
      </w:pPr>
      <w:r w:rsidRPr="00A157D2">
        <w:rPr>
          <w:rFonts w:ascii="Century Gothic" w:hAnsi="Century Gothic"/>
          <w:sz w:val="24"/>
          <w:szCs w:val="24"/>
        </w:rPr>
        <w:t>Para esto se debe tener claridad que los programa</w:t>
      </w:r>
      <w:r>
        <w:rPr>
          <w:rFonts w:ascii="Century Gothic" w:hAnsi="Century Gothic"/>
          <w:sz w:val="24"/>
          <w:szCs w:val="24"/>
        </w:rPr>
        <w:t>s presupuestarios</w:t>
      </w:r>
      <w:r w:rsidRPr="00A157D2">
        <w:rPr>
          <w:rFonts w:ascii="Century Gothic" w:hAnsi="Century Gothic"/>
          <w:sz w:val="24"/>
          <w:szCs w:val="24"/>
        </w:rPr>
        <w:t xml:space="preserve"> se establecen con el objeto de </w:t>
      </w:r>
      <w:r w:rsidRPr="00A157D2">
        <w:rPr>
          <w:rFonts w:ascii="Century Gothic" w:hAnsi="Century Gothic"/>
          <w:b/>
          <w:sz w:val="24"/>
          <w:szCs w:val="24"/>
        </w:rPr>
        <w:t>atender o resolver un problema específico en determinada población</w:t>
      </w:r>
      <w:r w:rsidRPr="00A157D2">
        <w:rPr>
          <w:rFonts w:ascii="Century Gothic" w:hAnsi="Century Gothic"/>
          <w:sz w:val="24"/>
          <w:szCs w:val="24"/>
        </w:rPr>
        <w:t>. En general se puede entender como Programa Presupuestario:</w:t>
      </w:r>
    </w:p>
    <w:p w14:paraId="4F69E47E" w14:textId="77777777" w:rsidR="00A157D2" w:rsidRPr="00A157D2" w:rsidRDefault="00A157D2" w:rsidP="00A157D2">
      <w:pPr>
        <w:spacing w:after="240"/>
        <w:ind w:left="284" w:right="283"/>
        <w:jc w:val="both"/>
        <w:rPr>
          <w:rFonts w:ascii="Century Gothic" w:hAnsi="Century Gothic"/>
          <w:sz w:val="24"/>
          <w:szCs w:val="24"/>
        </w:rPr>
      </w:pPr>
      <w:r w:rsidRPr="00A157D2">
        <w:rPr>
          <w:rFonts w:ascii="Century Gothic" w:hAnsi="Century Gothic"/>
          <w:sz w:val="24"/>
          <w:szCs w:val="24"/>
        </w:rPr>
        <w:lastRenderedPageBreak/>
        <w:t xml:space="preserve">Un conjunto articulado de bienes y/o servicios que se producen y entregan a una población objetivo (o un área de enfoque) </w:t>
      </w:r>
      <w:r w:rsidRPr="00A157D2">
        <w:rPr>
          <w:rFonts w:ascii="Century Gothic" w:hAnsi="Century Gothic"/>
          <w:b/>
          <w:sz w:val="24"/>
          <w:szCs w:val="24"/>
        </w:rPr>
        <w:t>con el fin de atender necesidades específicas</w:t>
      </w:r>
      <w:r w:rsidRPr="00A157D2">
        <w:rPr>
          <w:rFonts w:ascii="Century Gothic" w:hAnsi="Century Gothic"/>
          <w:sz w:val="24"/>
          <w:szCs w:val="24"/>
        </w:rPr>
        <w:t xml:space="preserve"> (problemas específicos que </w:t>
      </w:r>
      <w:r w:rsidR="00F36E88" w:rsidRPr="00A157D2">
        <w:rPr>
          <w:rFonts w:ascii="Century Gothic" w:hAnsi="Century Gothic"/>
          <w:sz w:val="24"/>
          <w:szCs w:val="24"/>
        </w:rPr>
        <w:t>atienden</w:t>
      </w:r>
      <w:r w:rsidRPr="00A157D2">
        <w:rPr>
          <w:rFonts w:ascii="Century Gothic" w:hAnsi="Century Gothic"/>
          <w:sz w:val="24"/>
          <w:szCs w:val="24"/>
        </w:rPr>
        <w:t xml:space="preserve"> la dependencia u organismo) que le permitirán mejorar sus condiciones de vida. (INDETEC, 2012, p:3).</w:t>
      </w:r>
    </w:p>
    <w:p w14:paraId="2C6F9B27" w14:textId="77777777" w:rsidR="00A157D2" w:rsidRPr="00A157D2" w:rsidRDefault="00A157D2" w:rsidP="00A157D2">
      <w:pPr>
        <w:spacing w:after="240"/>
        <w:jc w:val="both"/>
        <w:rPr>
          <w:rFonts w:ascii="Century Gothic" w:hAnsi="Century Gothic"/>
          <w:sz w:val="24"/>
          <w:szCs w:val="24"/>
        </w:rPr>
      </w:pPr>
      <w:r w:rsidRPr="00A157D2">
        <w:rPr>
          <w:rFonts w:ascii="Century Gothic" w:hAnsi="Century Gothic"/>
          <w:sz w:val="24"/>
          <w:szCs w:val="24"/>
        </w:rPr>
        <w:t xml:space="preserve">Es decir, los Programas Presupuestarios se convierten en el </w:t>
      </w:r>
      <w:r w:rsidRPr="00A157D2">
        <w:rPr>
          <w:rFonts w:ascii="Century Gothic" w:hAnsi="Century Gothic"/>
          <w:b/>
          <w:sz w:val="24"/>
          <w:szCs w:val="24"/>
        </w:rPr>
        <w:t>medio por los que el gobierno atiende las diferentes problemáticas</w:t>
      </w:r>
      <w:r w:rsidRPr="00A157D2">
        <w:rPr>
          <w:rFonts w:ascii="Century Gothic" w:hAnsi="Century Gothic"/>
          <w:sz w:val="24"/>
          <w:szCs w:val="24"/>
        </w:rPr>
        <w:t xml:space="preserve"> que llegue a presentar</w:t>
      </w:r>
      <w:r w:rsidR="000A2E65">
        <w:rPr>
          <w:rFonts w:ascii="Century Gothic" w:hAnsi="Century Gothic"/>
          <w:sz w:val="24"/>
          <w:szCs w:val="24"/>
        </w:rPr>
        <w:t xml:space="preserve"> </w:t>
      </w:r>
      <w:r w:rsidRPr="00A157D2">
        <w:rPr>
          <w:rFonts w:ascii="Century Gothic" w:hAnsi="Century Gothic"/>
          <w:sz w:val="24"/>
          <w:szCs w:val="24"/>
        </w:rPr>
        <w:t>la sociedad, bien sea que estos respondan a una necesidad, demanda de la población, compromisos específicos de los planes de gobierno o a servicios que por obligación (Constitucional) se deben suministrar a la sociedad.</w:t>
      </w:r>
    </w:p>
    <w:p w14:paraId="509FF7CA" w14:textId="77777777" w:rsidR="0072466A" w:rsidRDefault="0072466A" w:rsidP="0072466A">
      <w:pPr>
        <w:spacing w:after="240"/>
        <w:jc w:val="both"/>
        <w:rPr>
          <w:rFonts w:ascii="Century Gothic" w:hAnsi="Century Gothic"/>
          <w:sz w:val="24"/>
          <w:szCs w:val="24"/>
        </w:rPr>
      </w:pPr>
      <w:r w:rsidRPr="00B00921">
        <w:rPr>
          <w:rFonts w:ascii="Century Gothic" w:hAnsi="Century Gothic"/>
          <w:sz w:val="24"/>
          <w:szCs w:val="24"/>
        </w:rPr>
        <w:t xml:space="preserve">Después de </w:t>
      </w:r>
      <w:r>
        <w:rPr>
          <w:rFonts w:ascii="Century Gothic" w:hAnsi="Century Gothic"/>
          <w:sz w:val="24"/>
          <w:szCs w:val="24"/>
        </w:rPr>
        <w:t>este preámbulo, donde se presentaron algunas características del programa, se procede a presentar los principales hallazgos en cuanto al análisis de consistencia y resultados, al programa presupuestario “</w:t>
      </w:r>
      <w:r w:rsidR="00A157D2">
        <w:rPr>
          <w:rFonts w:ascii="Century Gothic" w:hAnsi="Century Gothic"/>
          <w:b/>
          <w:i/>
          <w:sz w:val="24"/>
          <w:szCs w:val="24"/>
        </w:rPr>
        <w:t>Infraestructura no Habitacional</w:t>
      </w:r>
      <w:r>
        <w:rPr>
          <w:rFonts w:ascii="Century Gothic" w:hAnsi="Century Gothic"/>
          <w:sz w:val="24"/>
          <w:szCs w:val="24"/>
        </w:rPr>
        <w:t xml:space="preserve">”, con base en la información proporcionada por </w:t>
      </w:r>
      <w:r w:rsidR="00A157D2">
        <w:rPr>
          <w:rFonts w:ascii="Century Gothic" w:hAnsi="Century Gothic"/>
          <w:sz w:val="24"/>
          <w:szCs w:val="24"/>
        </w:rPr>
        <w:t>la dependencia</w:t>
      </w:r>
      <w:r>
        <w:rPr>
          <w:rFonts w:ascii="Century Gothic" w:hAnsi="Century Gothic"/>
          <w:sz w:val="24"/>
          <w:szCs w:val="24"/>
        </w:rPr>
        <w:t xml:space="preserve"> y de la investigación y confrontación de los datos realizada por TECSO.</w:t>
      </w:r>
    </w:p>
    <w:p w14:paraId="23F1EB4F" w14:textId="77777777" w:rsidR="00363140" w:rsidRDefault="00C01403" w:rsidP="003A4F88">
      <w:pPr>
        <w:spacing w:after="240"/>
        <w:jc w:val="both"/>
        <w:rPr>
          <w:rFonts w:ascii="Century Gothic" w:hAnsi="Century Gothic"/>
          <w:sz w:val="24"/>
          <w:szCs w:val="24"/>
        </w:rPr>
      </w:pPr>
      <w:r>
        <w:rPr>
          <w:rFonts w:ascii="Century Gothic" w:hAnsi="Century Gothic"/>
          <w:sz w:val="24"/>
          <w:szCs w:val="24"/>
        </w:rPr>
        <w:t xml:space="preserve">La información para la evaluación del programa fue integrada por la </w:t>
      </w:r>
      <w:r>
        <w:rPr>
          <w:rFonts w:ascii="Century Gothic" w:hAnsi="Century Gothic"/>
          <w:sz w:val="24"/>
          <w:szCs w:val="24"/>
          <w:lang w:val="es-ES_tradnl"/>
        </w:rPr>
        <w:t>SEIDUR, y se debe mencionar que u</w:t>
      </w:r>
      <w:r w:rsidR="00363140">
        <w:rPr>
          <w:rFonts w:ascii="Century Gothic" w:hAnsi="Century Gothic"/>
          <w:sz w:val="24"/>
          <w:szCs w:val="24"/>
        </w:rPr>
        <w:t xml:space="preserve">n tema que se observó al revisar la información contenida en </w:t>
      </w:r>
      <w:r>
        <w:rPr>
          <w:rFonts w:ascii="Century Gothic" w:hAnsi="Century Gothic"/>
          <w:sz w:val="24"/>
          <w:szCs w:val="24"/>
        </w:rPr>
        <w:t>dicha</w:t>
      </w:r>
      <w:r w:rsidR="00363140">
        <w:rPr>
          <w:rFonts w:ascii="Century Gothic" w:hAnsi="Century Gothic"/>
          <w:sz w:val="24"/>
          <w:szCs w:val="24"/>
        </w:rPr>
        <w:t xml:space="preserve"> cédula, es que esta se </w:t>
      </w:r>
      <w:r>
        <w:rPr>
          <w:rFonts w:ascii="Century Gothic" w:hAnsi="Century Gothic"/>
          <w:sz w:val="24"/>
          <w:szCs w:val="24"/>
        </w:rPr>
        <w:t>contestó</w:t>
      </w:r>
      <w:r w:rsidR="00363140">
        <w:rPr>
          <w:rFonts w:ascii="Century Gothic" w:hAnsi="Century Gothic"/>
          <w:sz w:val="24"/>
          <w:szCs w:val="24"/>
        </w:rPr>
        <w:t xml:space="preserve"> considerando sólo la obra que fue financiada con los recursos del FAFEF, </w:t>
      </w:r>
      <w:r w:rsidR="003A4F88">
        <w:rPr>
          <w:rFonts w:ascii="Century Gothic" w:hAnsi="Century Gothic"/>
          <w:sz w:val="24"/>
          <w:szCs w:val="24"/>
        </w:rPr>
        <w:t>sin embargo la evaluación al ser del programa presupuestario en general esta debe hacerse sobre todas las obras independientemente del origen de la fuente de financiamiento. Por ello, para algunos apartados fue necesario en el transcurso del análisis profundizar en todas las obras y en algunos casos requerir información a la dependencia.</w:t>
      </w:r>
    </w:p>
    <w:p w14:paraId="12DCF0E5" w14:textId="77777777" w:rsidR="003A4F88" w:rsidRDefault="003A4F88" w:rsidP="003A4F88">
      <w:pPr>
        <w:spacing w:after="240"/>
        <w:jc w:val="both"/>
        <w:rPr>
          <w:rFonts w:ascii="Century Gothic" w:hAnsi="Century Gothic"/>
          <w:sz w:val="24"/>
          <w:szCs w:val="24"/>
        </w:rPr>
      </w:pPr>
      <w:r>
        <w:rPr>
          <w:rFonts w:ascii="Century Gothic" w:hAnsi="Century Gothic"/>
          <w:sz w:val="24"/>
          <w:szCs w:val="24"/>
          <w:lang w:val="es-ES_tradnl"/>
        </w:rPr>
        <w:t xml:space="preserve">Bajo este entendido tanto la cédula como las evidencias e información proporcionada </w:t>
      </w:r>
      <w:r w:rsidR="0072466A">
        <w:rPr>
          <w:rFonts w:ascii="Century Gothic" w:hAnsi="Century Gothic"/>
          <w:sz w:val="24"/>
          <w:szCs w:val="24"/>
        </w:rPr>
        <w:t>fue revisada por TECSO d</w:t>
      </w:r>
      <w:r w:rsidR="0072466A" w:rsidRPr="004255DC">
        <w:rPr>
          <w:rFonts w:ascii="Century Gothic" w:hAnsi="Century Gothic"/>
          <w:sz w:val="24"/>
          <w:szCs w:val="24"/>
        </w:rPr>
        <w:t xml:space="preserve">e acuerdo con la metodología </w:t>
      </w:r>
      <w:r w:rsidR="0072466A">
        <w:rPr>
          <w:rFonts w:ascii="Century Gothic" w:hAnsi="Century Gothic"/>
          <w:sz w:val="24"/>
          <w:szCs w:val="24"/>
        </w:rPr>
        <w:t>instituida por el</w:t>
      </w:r>
      <w:r w:rsidR="0072466A" w:rsidRPr="004255DC">
        <w:rPr>
          <w:rFonts w:ascii="Century Gothic" w:hAnsi="Century Gothic"/>
          <w:sz w:val="24"/>
          <w:szCs w:val="24"/>
        </w:rPr>
        <w:t xml:space="preserve"> CONEVAL en </w:t>
      </w:r>
      <w:r w:rsidR="0072466A">
        <w:rPr>
          <w:rFonts w:ascii="Century Gothic" w:hAnsi="Century Gothic"/>
          <w:sz w:val="24"/>
          <w:szCs w:val="24"/>
        </w:rPr>
        <w:t>c</w:t>
      </w:r>
      <w:r w:rsidR="0072466A" w:rsidRPr="004255DC">
        <w:rPr>
          <w:rFonts w:ascii="Century Gothic" w:hAnsi="Century Gothic"/>
          <w:sz w:val="24"/>
          <w:szCs w:val="24"/>
        </w:rPr>
        <w:t>umplimiento a</w:t>
      </w:r>
      <w:r w:rsidR="0072466A">
        <w:rPr>
          <w:rFonts w:ascii="Century Gothic" w:hAnsi="Century Gothic"/>
          <w:sz w:val="24"/>
          <w:szCs w:val="24"/>
        </w:rPr>
        <w:t xml:space="preserve"> las disposiciones </w:t>
      </w:r>
      <w:r w:rsidR="0072466A" w:rsidRPr="00896367">
        <w:rPr>
          <w:rFonts w:ascii="Century Gothic" w:hAnsi="Century Gothic"/>
          <w:sz w:val="24"/>
          <w:szCs w:val="24"/>
        </w:rPr>
        <w:t>estableci</w:t>
      </w:r>
      <w:r w:rsidR="0072466A">
        <w:rPr>
          <w:rFonts w:ascii="Century Gothic" w:hAnsi="Century Gothic"/>
          <w:sz w:val="24"/>
          <w:szCs w:val="24"/>
        </w:rPr>
        <w:t xml:space="preserve">das. </w:t>
      </w:r>
    </w:p>
    <w:p w14:paraId="411247B3" w14:textId="77777777" w:rsidR="0072466A" w:rsidRDefault="0072466A" w:rsidP="003A4F88">
      <w:pPr>
        <w:spacing w:after="240"/>
        <w:jc w:val="both"/>
        <w:rPr>
          <w:rFonts w:ascii="Century Gothic" w:hAnsi="Century Gothic"/>
          <w:sz w:val="24"/>
          <w:szCs w:val="24"/>
        </w:rPr>
      </w:pPr>
      <w:r>
        <w:rPr>
          <w:rFonts w:ascii="Century Gothic" w:hAnsi="Century Gothic"/>
          <w:sz w:val="24"/>
          <w:szCs w:val="24"/>
        </w:rPr>
        <w:t>Como resultado, se observa</w:t>
      </w:r>
      <w:r w:rsidRPr="00896367">
        <w:rPr>
          <w:rFonts w:ascii="Century Gothic" w:hAnsi="Century Gothic"/>
          <w:sz w:val="24"/>
          <w:szCs w:val="24"/>
        </w:rPr>
        <w:t xml:space="preserve"> </w:t>
      </w:r>
      <w:r w:rsidRPr="00896367">
        <w:rPr>
          <w:rFonts w:ascii="Century Gothic" w:hAnsi="Century Gothic"/>
          <w:b/>
          <w:sz w:val="24"/>
          <w:szCs w:val="24"/>
        </w:rPr>
        <w:t xml:space="preserve">un cumplimiento de </w:t>
      </w:r>
      <w:r w:rsidR="00D03DEC">
        <w:rPr>
          <w:rFonts w:ascii="Century Gothic" w:hAnsi="Century Gothic"/>
          <w:b/>
          <w:sz w:val="24"/>
          <w:szCs w:val="24"/>
        </w:rPr>
        <w:t>39</w:t>
      </w:r>
      <w:r w:rsidRPr="00896367">
        <w:rPr>
          <w:rFonts w:ascii="Century Gothic" w:hAnsi="Century Gothic"/>
          <w:b/>
          <w:sz w:val="24"/>
          <w:szCs w:val="24"/>
        </w:rPr>
        <w:t>%</w:t>
      </w:r>
      <w:r w:rsidRPr="00896367">
        <w:rPr>
          <w:rFonts w:ascii="Century Gothic" w:hAnsi="Century Gothic"/>
          <w:sz w:val="24"/>
          <w:szCs w:val="24"/>
        </w:rPr>
        <w:t xml:space="preserve">, al obtenerse </w:t>
      </w:r>
      <w:r w:rsidR="00D03DEC">
        <w:rPr>
          <w:rFonts w:ascii="Century Gothic" w:hAnsi="Century Gothic"/>
          <w:b/>
          <w:sz w:val="24"/>
          <w:szCs w:val="24"/>
        </w:rPr>
        <w:t>53</w:t>
      </w:r>
      <w:r w:rsidRPr="00896367">
        <w:rPr>
          <w:rFonts w:ascii="Century Gothic" w:hAnsi="Century Gothic"/>
          <w:b/>
          <w:sz w:val="24"/>
          <w:szCs w:val="24"/>
        </w:rPr>
        <w:t xml:space="preserve"> puntos </w:t>
      </w:r>
      <w:r w:rsidRPr="00896367">
        <w:rPr>
          <w:rFonts w:ascii="Century Gothic" w:hAnsi="Century Gothic"/>
          <w:sz w:val="24"/>
          <w:szCs w:val="24"/>
        </w:rPr>
        <w:t xml:space="preserve">de </w:t>
      </w:r>
      <w:r w:rsidR="00FD2D8C">
        <w:rPr>
          <w:rFonts w:ascii="Century Gothic" w:hAnsi="Century Gothic"/>
          <w:sz w:val="24"/>
          <w:szCs w:val="24"/>
        </w:rPr>
        <w:t>calificación de los 136</w:t>
      </w:r>
      <w:r w:rsidRPr="00FD2D8C">
        <w:rPr>
          <w:rFonts w:ascii="Century Gothic" w:hAnsi="Century Gothic"/>
          <w:sz w:val="24"/>
          <w:szCs w:val="24"/>
        </w:rPr>
        <w:t xml:space="preserve"> posibles, como se detalla en el siguiente cuadro: </w:t>
      </w:r>
    </w:p>
    <w:p w14:paraId="755574F1" w14:textId="77777777" w:rsidR="003A4F88" w:rsidRDefault="003A4F88" w:rsidP="003A4F88">
      <w:pPr>
        <w:spacing w:after="240"/>
        <w:jc w:val="both"/>
        <w:rPr>
          <w:rFonts w:ascii="Century Gothic" w:hAnsi="Century Gothic"/>
          <w:sz w:val="24"/>
          <w:szCs w:val="24"/>
        </w:rPr>
      </w:pPr>
    </w:p>
    <w:p w14:paraId="6A74365D" w14:textId="77777777" w:rsidR="003A4F88" w:rsidRDefault="003A4F88" w:rsidP="003A4F88">
      <w:pPr>
        <w:spacing w:after="240"/>
        <w:jc w:val="both"/>
        <w:rPr>
          <w:rFonts w:ascii="Century Gothic" w:hAnsi="Century Gothic"/>
          <w:sz w:val="24"/>
          <w:szCs w:val="24"/>
        </w:rPr>
      </w:pPr>
    </w:p>
    <w:p w14:paraId="07566E85" w14:textId="77777777" w:rsidR="003A4F88" w:rsidRDefault="003A4F88" w:rsidP="003A4F88">
      <w:pPr>
        <w:spacing w:after="240"/>
        <w:jc w:val="both"/>
        <w:rPr>
          <w:rFonts w:ascii="Century Gothic" w:hAnsi="Century Gothic"/>
          <w:sz w:val="24"/>
          <w:szCs w:val="24"/>
        </w:rPr>
      </w:pPr>
    </w:p>
    <w:p w14:paraId="19DAAAE7" w14:textId="77777777" w:rsidR="003A4F88" w:rsidRDefault="003A4F88" w:rsidP="003A4F88">
      <w:pPr>
        <w:spacing w:after="240"/>
        <w:jc w:val="both"/>
        <w:rPr>
          <w:rFonts w:ascii="Century Gothic" w:hAnsi="Century Gothic"/>
          <w:sz w:val="24"/>
          <w:szCs w:val="24"/>
        </w:rPr>
      </w:pPr>
    </w:p>
    <w:p w14:paraId="74DB1770" w14:textId="77777777" w:rsidR="003A4F88" w:rsidRPr="003A4F88" w:rsidRDefault="003A4F88" w:rsidP="003A4F88">
      <w:pPr>
        <w:spacing w:after="240"/>
        <w:jc w:val="both"/>
        <w:rPr>
          <w:rFonts w:ascii="Century Gothic" w:hAnsi="Century Gothic"/>
          <w:sz w:val="14"/>
          <w:szCs w:val="24"/>
        </w:rPr>
      </w:pPr>
    </w:p>
    <w:tbl>
      <w:tblPr>
        <w:tblW w:w="5000" w:type="pct"/>
        <w:tblCellMar>
          <w:left w:w="70" w:type="dxa"/>
          <w:right w:w="70" w:type="dxa"/>
        </w:tblCellMar>
        <w:tblLook w:val="04A0" w:firstRow="1" w:lastRow="0" w:firstColumn="1" w:lastColumn="0" w:noHBand="0" w:noVBand="1"/>
      </w:tblPr>
      <w:tblGrid>
        <w:gridCol w:w="5085"/>
        <w:gridCol w:w="1391"/>
        <w:gridCol w:w="1261"/>
        <w:gridCol w:w="1091"/>
      </w:tblGrid>
      <w:tr w:rsidR="00F70AC2" w:rsidRPr="00F70AC2" w14:paraId="075DAE46" w14:textId="77777777" w:rsidTr="00F70AC2">
        <w:trPr>
          <w:trHeight w:val="184"/>
        </w:trPr>
        <w:tc>
          <w:tcPr>
            <w:tcW w:w="5000" w:type="pct"/>
            <w:gridSpan w:val="4"/>
            <w:tcBorders>
              <w:top w:val="single" w:sz="4" w:space="0" w:color="auto"/>
              <w:left w:val="single" w:sz="4" w:space="0" w:color="auto"/>
              <w:bottom w:val="single" w:sz="4" w:space="0" w:color="auto"/>
              <w:right w:val="single" w:sz="4" w:space="0" w:color="auto"/>
            </w:tcBorders>
            <w:shd w:val="clear" w:color="000000" w:fill="0E4E7A"/>
            <w:noWrap/>
            <w:vAlign w:val="center"/>
            <w:hideMark/>
          </w:tcPr>
          <w:p w14:paraId="141F1462" w14:textId="77777777" w:rsidR="00F70AC2" w:rsidRPr="00F70AC2" w:rsidRDefault="00F70AC2" w:rsidP="003E3B3D">
            <w:pPr>
              <w:spacing w:after="0" w:line="240" w:lineRule="auto"/>
              <w:jc w:val="center"/>
              <w:rPr>
                <w:rFonts w:eastAsia="Times New Roman" w:cstheme="minorHAnsi"/>
                <w:b/>
                <w:bCs/>
                <w:color w:val="FFFFFF"/>
                <w:sz w:val="20"/>
                <w:szCs w:val="20"/>
                <w:lang w:eastAsia="es-MX"/>
              </w:rPr>
            </w:pPr>
            <w:r w:rsidRPr="00F70AC2">
              <w:rPr>
                <w:rFonts w:eastAsia="Times New Roman" w:cstheme="minorHAnsi"/>
                <w:b/>
                <w:bCs/>
                <w:color w:val="FFFFFF"/>
                <w:sz w:val="20"/>
                <w:szCs w:val="20"/>
                <w:lang w:eastAsia="es-MX"/>
              </w:rPr>
              <w:t xml:space="preserve">Cuadro </w:t>
            </w:r>
            <w:r w:rsidR="003E3B3D">
              <w:rPr>
                <w:rFonts w:eastAsia="Times New Roman" w:cstheme="minorHAnsi"/>
                <w:b/>
                <w:bCs/>
                <w:color w:val="FFFFFF"/>
                <w:sz w:val="20"/>
                <w:szCs w:val="20"/>
                <w:lang w:eastAsia="es-MX"/>
              </w:rPr>
              <w:t>2.5</w:t>
            </w:r>
            <w:r w:rsidRPr="00F70AC2">
              <w:rPr>
                <w:rFonts w:eastAsia="Times New Roman" w:cstheme="minorHAnsi"/>
                <w:b/>
                <w:bCs/>
                <w:color w:val="FFFFFF"/>
                <w:sz w:val="20"/>
                <w:szCs w:val="20"/>
                <w:lang w:eastAsia="es-MX"/>
              </w:rPr>
              <w:t xml:space="preserve"> Valoración CONEVAL</w:t>
            </w:r>
            <w:r w:rsidR="003E3B3D">
              <w:rPr>
                <w:rFonts w:eastAsia="Times New Roman" w:cstheme="minorHAnsi"/>
                <w:b/>
                <w:bCs/>
                <w:color w:val="FFFFFF"/>
                <w:sz w:val="20"/>
                <w:szCs w:val="20"/>
                <w:lang w:eastAsia="es-MX"/>
              </w:rPr>
              <w:t xml:space="preserve"> al Programa presupuestario Infraestructura no Habitacional. 2017</w:t>
            </w:r>
          </w:p>
        </w:tc>
      </w:tr>
      <w:tr w:rsidR="00F70AC2" w:rsidRPr="00F70AC2" w14:paraId="3FB3698A" w14:textId="77777777" w:rsidTr="00F70AC2">
        <w:trPr>
          <w:trHeight w:val="344"/>
        </w:trPr>
        <w:tc>
          <w:tcPr>
            <w:tcW w:w="2881" w:type="pct"/>
            <w:tcBorders>
              <w:top w:val="nil"/>
              <w:left w:val="single" w:sz="4" w:space="0" w:color="auto"/>
              <w:bottom w:val="single" w:sz="4" w:space="0" w:color="auto"/>
              <w:right w:val="single" w:sz="4" w:space="0" w:color="auto"/>
            </w:tcBorders>
            <w:shd w:val="clear" w:color="000000" w:fill="0E4E7A"/>
            <w:vAlign w:val="center"/>
            <w:hideMark/>
          </w:tcPr>
          <w:p w14:paraId="2FF36F86" w14:textId="77777777" w:rsidR="00F70AC2" w:rsidRPr="00F70AC2" w:rsidRDefault="00F70AC2" w:rsidP="00F70AC2">
            <w:pPr>
              <w:spacing w:after="0" w:line="240" w:lineRule="auto"/>
              <w:jc w:val="center"/>
              <w:rPr>
                <w:rFonts w:eastAsia="Times New Roman" w:cstheme="minorHAnsi"/>
                <w:b/>
                <w:bCs/>
                <w:color w:val="FFFFFF"/>
                <w:sz w:val="20"/>
                <w:szCs w:val="20"/>
                <w:lang w:eastAsia="es-MX"/>
              </w:rPr>
            </w:pPr>
            <w:r w:rsidRPr="00F70AC2">
              <w:rPr>
                <w:rFonts w:eastAsia="Times New Roman" w:cstheme="minorHAnsi"/>
                <w:b/>
                <w:bCs/>
                <w:color w:val="FFFFFF"/>
                <w:sz w:val="20"/>
                <w:szCs w:val="20"/>
                <w:lang w:eastAsia="es-MX"/>
              </w:rPr>
              <w:t>APARTADO</w:t>
            </w:r>
          </w:p>
        </w:tc>
        <w:tc>
          <w:tcPr>
            <w:tcW w:w="789" w:type="pct"/>
            <w:tcBorders>
              <w:top w:val="nil"/>
              <w:left w:val="nil"/>
              <w:bottom w:val="single" w:sz="4" w:space="0" w:color="auto"/>
              <w:right w:val="single" w:sz="4" w:space="0" w:color="auto"/>
            </w:tcBorders>
            <w:shd w:val="clear" w:color="000000" w:fill="0E4E7A"/>
            <w:vAlign w:val="center"/>
            <w:hideMark/>
          </w:tcPr>
          <w:p w14:paraId="290A3515" w14:textId="77777777" w:rsidR="00F70AC2" w:rsidRPr="00F70AC2" w:rsidRDefault="00F70AC2" w:rsidP="00F70AC2">
            <w:pPr>
              <w:spacing w:after="0" w:line="240" w:lineRule="auto"/>
              <w:jc w:val="center"/>
              <w:rPr>
                <w:rFonts w:eastAsia="Times New Roman" w:cstheme="minorHAnsi"/>
                <w:b/>
                <w:bCs/>
                <w:color w:val="FFFFFF"/>
                <w:sz w:val="20"/>
                <w:szCs w:val="20"/>
                <w:lang w:eastAsia="es-MX"/>
              </w:rPr>
            </w:pPr>
            <w:r w:rsidRPr="00F70AC2">
              <w:rPr>
                <w:rFonts w:eastAsia="Times New Roman" w:cstheme="minorHAnsi"/>
                <w:b/>
                <w:bCs/>
                <w:color w:val="FFFFFF"/>
                <w:sz w:val="20"/>
                <w:szCs w:val="20"/>
                <w:lang w:eastAsia="es-MX"/>
              </w:rPr>
              <w:t>VALORACIÓN MÁXIMA</w:t>
            </w:r>
          </w:p>
        </w:tc>
        <w:tc>
          <w:tcPr>
            <w:tcW w:w="711" w:type="pct"/>
            <w:tcBorders>
              <w:top w:val="nil"/>
              <w:left w:val="nil"/>
              <w:bottom w:val="single" w:sz="4" w:space="0" w:color="auto"/>
              <w:right w:val="single" w:sz="4" w:space="0" w:color="auto"/>
            </w:tcBorders>
            <w:shd w:val="clear" w:color="000000" w:fill="0E4E7A"/>
            <w:vAlign w:val="center"/>
            <w:hideMark/>
          </w:tcPr>
          <w:p w14:paraId="07A33276" w14:textId="77777777" w:rsidR="00F70AC2" w:rsidRPr="00F70AC2" w:rsidRDefault="00F70AC2" w:rsidP="00F70AC2">
            <w:pPr>
              <w:spacing w:after="0" w:line="240" w:lineRule="auto"/>
              <w:jc w:val="center"/>
              <w:rPr>
                <w:rFonts w:eastAsia="Times New Roman" w:cstheme="minorHAnsi"/>
                <w:b/>
                <w:bCs/>
                <w:color w:val="FFFFFF"/>
                <w:sz w:val="20"/>
                <w:szCs w:val="20"/>
                <w:lang w:eastAsia="es-MX"/>
              </w:rPr>
            </w:pPr>
            <w:r w:rsidRPr="00F70AC2">
              <w:rPr>
                <w:rFonts w:eastAsia="Times New Roman" w:cstheme="minorHAnsi"/>
                <w:b/>
                <w:bCs/>
                <w:color w:val="FFFFFF"/>
                <w:sz w:val="20"/>
                <w:szCs w:val="20"/>
                <w:lang w:eastAsia="es-MX"/>
              </w:rPr>
              <w:t>VALORACIÓN OBTENIDA</w:t>
            </w:r>
          </w:p>
        </w:tc>
        <w:tc>
          <w:tcPr>
            <w:tcW w:w="619" w:type="pct"/>
            <w:tcBorders>
              <w:top w:val="nil"/>
              <w:left w:val="nil"/>
              <w:bottom w:val="single" w:sz="4" w:space="0" w:color="auto"/>
              <w:right w:val="single" w:sz="4" w:space="0" w:color="auto"/>
            </w:tcBorders>
            <w:shd w:val="clear" w:color="000000" w:fill="0E4E7A"/>
            <w:vAlign w:val="center"/>
            <w:hideMark/>
          </w:tcPr>
          <w:p w14:paraId="1AD38574" w14:textId="77777777" w:rsidR="00F70AC2" w:rsidRPr="00F70AC2" w:rsidRDefault="00F70AC2" w:rsidP="00F70AC2">
            <w:pPr>
              <w:spacing w:after="0" w:line="240" w:lineRule="auto"/>
              <w:jc w:val="center"/>
              <w:rPr>
                <w:rFonts w:eastAsia="Times New Roman" w:cstheme="minorHAnsi"/>
                <w:b/>
                <w:bCs/>
                <w:color w:val="FFFFFF"/>
                <w:sz w:val="20"/>
                <w:szCs w:val="20"/>
                <w:lang w:eastAsia="es-MX"/>
              </w:rPr>
            </w:pPr>
            <w:r w:rsidRPr="00F70AC2">
              <w:rPr>
                <w:rFonts w:eastAsia="Times New Roman" w:cstheme="minorHAnsi"/>
                <w:b/>
                <w:bCs/>
                <w:color w:val="FFFFFF"/>
                <w:sz w:val="20"/>
                <w:szCs w:val="20"/>
                <w:lang w:eastAsia="es-MX"/>
              </w:rPr>
              <w:t>%</w:t>
            </w:r>
          </w:p>
        </w:tc>
      </w:tr>
      <w:tr w:rsidR="00F70AC2" w:rsidRPr="00F70AC2" w14:paraId="7AC62EA0" w14:textId="77777777" w:rsidTr="00F70AC2">
        <w:trPr>
          <w:trHeight w:val="421"/>
        </w:trPr>
        <w:tc>
          <w:tcPr>
            <w:tcW w:w="2881" w:type="pct"/>
            <w:tcBorders>
              <w:top w:val="nil"/>
              <w:left w:val="single" w:sz="4" w:space="0" w:color="auto"/>
              <w:bottom w:val="single" w:sz="4" w:space="0" w:color="auto"/>
              <w:right w:val="single" w:sz="4" w:space="0" w:color="auto"/>
            </w:tcBorders>
            <w:shd w:val="clear" w:color="000000" w:fill="F2F2F2"/>
            <w:vAlign w:val="center"/>
            <w:hideMark/>
          </w:tcPr>
          <w:p w14:paraId="60E4A806"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Diseño</w:t>
            </w:r>
          </w:p>
        </w:tc>
        <w:tc>
          <w:tcPr>
            <w:tcW w:w="789" w:type="pct"/>
            <w:tcBorders>
              <w:top w:val="nil"/>
              <w:left w:val="nil"/>
              <w:bottom w:val="single" w:sz="4" w:space="0" w:color="auto"/>
              <w:right w:val="single" w:sz="4" w:space="0" w:color="auto"/>
            </w:tcBorders>
            <w:shd w:val="clear" w:color="000000" w:fill="F2F2F2"/>
            <w:vAlign w:val="center"/>
            <w:hideMark/>
          </w:tcPr>
          <w:p w14:paraId="3F0EE6AA"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36</w:t>
            </w:r>
          </w:p>
        </w:tc>
        <w:tc>
          <w:tcPr>
            <w:tcW w:w="711" w:type="pct"/>
            <w:tcBorders>
              <w:top w:val="nil"/>
              <w:left w:val="nil"/>
              <w:bottom w:val="single" w:sz="4" w:space="0" w:color="auto"/>
              <w:right w:val="single" w:sz="4" w:space="0" w:color="auto"/>
            </w:tcBorders>
            <w:shd w:val="clear" w:color="000000" w:fill="F2F2F2"/>
            <w:vAlign w:val="center"/>
            <w:hideMark/>
          </w:tcPr>
          <w:p w14:paraId="39B3E498"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20</w:t>
            </w:r>
          </w:p>
        </w:tc>
        <w:tc>
          <w:tcPr>
            <w:tcW w:w="619" w:type="pct"/>
            <w:tcBorders>
              <w:top w:val="nil"/>
              <w:left w:val="nil"/>
              <w:bottom w:val="single" w:sz="4" w:space="0" w:color="auto"/>
              <w:right w:val="single" w:sz="4" w:space="0" w:color="auto"/>
            </w:tcBorders>
            <w:shd w:val="clear" w:color="000000" w:fill="F2F2F2"/>
            <w:vAlign w:val="center"/>
            <w:hideMark/>
          </w:tcPr>
          <w:p w14:paraId="45557715"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56%</w:t>
            </w:r>
          </w:p>
        </w:tc>
      </w:tr>
      <w:tr w:rsidR="00F70AC2" w:rsidRPr="00F70AC2" w14:paraId="2048AAA0" w14:textId="77777777" w:rsidTr="00F70AC2">
        <w:trPr>
          <w:trHeight w:val="312"/>
        </w:trPr>
        <w:tc>
          <w:tcPr>
            <w:tcW w:w="2881" w:type="pct"/>
            <w:tcBorders>
              <w:top w:val="nil"/>
              <w:left w:val="single" w:sz="4" w:space="0" w:color="auto"/>
              <w:bottom w:val="single" w:sz="4" w:space="0" w:color="auto"/>
              <w:right w:val="single" w:sz="4" w:space="0" w:color="auto"/>
            </w:tcBorders>
            <w:shd w:val="clear" w:color="000000" w:fill="F2F2F2"/>
            <w:vAlign w:val="center"/>
            <w:hideMark/>
          </w:tcPr>
          <w:p w14:paraId="1FF7B3B4" w14:textId="77777777" w:rsidR="00F70AC2" w:rsidRPr="00F70AC2" w:rsidRDefault="00F70AC2" w:rsidP="00F70AC2">
            <w:pPr>
              <w:spacing w:after="0" w:line="240" w:lineRule="auto"/>
              <w:jc w:val="both"/>
              <w:rPr>
                <w:rFonts w:eastAsia="Times New Roman" w:cstheme="minorHAnsi"/>
                <w:color w:val="000000"/>
                <w:sz w:val="20"/>
                <w:szCs w:val="20"/>
                <w:lang w:eastAsia="es-MX"/>
              </w:rPr>
            </w:pPr>
            <w:r w:rsidRPr="00F70AC2">
              <w:rPr>
                <w:rFonts w:eastAsia="Times New Roman" w:cstheme="minorHAnsi"/>
                <w:color w:val="000000"/>
                <w:sz w:val="20"/>
                <w:szCs w:val="20"/>
                <w:lang w:eastAsia="es-MX"/>
              </w:rPr>
              <w:t>A. Análisis de la justificación de la creación y del diseño del programa</w:t>
            </w:r>
          </w:p>
        </w:tc>
        <w:tc>
          <w:tcPr>
            <w:tcW w:w="789" w:type="pct"/>
            <w:tcBorders>
              <w:top w:val="nil"/>
              <w:left w:val="nil"/>
              <w:bottom w:val="single" w:sz="4" w:space="0" w:color="auto"/>
              <w:right w:val="single" w:sz="4" w:space="0" w:color="auto"/>
            </w:tcBorders>
            <w:shd w:val="clear" w:color="000000" w:fill="F2F2F2"/>
            <w:vAlign w:val="center"/>
            <w:hideMark/>
          </w:tcPr>
          <w:p w14:paraId="7CB5B25D"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12</w:t>
            </w:r>
          </w:p>
        </w:tc>
        <w:tc>
          <w:tcPr>
            <w:tcW w:w="711" w:type="pct"/>
            <w:tcBorders>
              <w:top w:val="nil"/>
              <w:left w:val="nil"/>
              <w:bottom w:val="single" w:sz="4" w:space="0" w:color="auto"/>
              <w:right w:val="single" w:sz="4" w:space="0" w:color="auto"/>
            </w:tcBorders>
            <w:shd w:val="clear" w:color="000000" w:fill="F2F2F2"/>
            <w:vAlign w:val="center"/>
            <w:hideMark/>
          </w:tcPr>
          <w:p w14:paraId="61889FE8"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7</w:t>
            </w:r>
          </w:p>
        </w:tc>
        <w:tc>
          <w:tcPr>
            <w:tcW w:w="619" w:type="pct"/>
            <w:tcBorders>
              <w:top w:val="nil"/>
              <w:left w:val="nil"/>
              <w:bottom w:val="single" w:sz="4" w:space="0" w:color="auto"/>
              <w:right w:val="single" w:sz="4" w:space="0" w:color="auto"/>
            </w:tcBorders>
            <w:shd w:val="clear" w:color="000000" w:fill="F2F2F2"/>
            <w:vAlign w:val="center"/>
            <w:hideMark/>
          </w:tcPr>
          <w:p w14:paraId="516B6684"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58%</w:t>
            </w:r>
          </w:p>
        </w:tc>
      </w:tr>
      <w:tr w:rsidR="00F70AC2" w:rsidRPr="00F70AC2" w14:paraId="2529BF65" w14:textId="77777777" w:rsidTr="00F70AC2">
        <w:trPr>
          <w:trHeight w:val="70"/>
        </w:trPr>
        <w:tc>
          <w:tcPr>
            <w:tcW w:w="2881" w:type="pct"/>
            <w:tcBorders>
              <w:top w:val="nil"/>
              <w:left w:val="single" w:sz="4" w:space="0" w:color="auto"/>
              <w:bottom w:val="single" w:sz="4" w:space="0" w:color="auto"/>
              <w:right w:val="single" w:sz="4" w:space="0" w:color="auto"/>
            </w:tcBorders>
            <w:shd w:val="clear" w:color="000000" w:fill="F2F2F2"/>
            <w:vAlign w:val="center"/>
            <w:hideMark/>
          </w:tcPr>
          <w:p w14:paraId="1EC67958" w14:textId="77777777" w:rsidR="00F70AC2" w:rsidRPr="00F70AC2" w:rsidRDefault="00F70AC2" w:rsidP="00F70AC2">
            <w:pPr>
              <w:spacing w:after="0" w:line="240" w:lineRule="auto"/>
              <w:jc w:val="both"/>
              <w:rPr>
                <w:rFonts w:eastAsia="Times New Roman" w:cstheme="minorHAnsi"/>
                <w:color w:val="000000"/>
                <w:sz w:val="20"/>
                <w:szCs w:val="20"/>
                <w:lang w:eastAsia="es-MX"/>
              </w:rPr>
            </w:pPr>
            <w:r w:rsidRPr="00F70AC2">
              <w:rPr>
                <w:rFonts w:eastAsia="Times New Roman" w:cstheme="minorHAnsi"/>
                <w:color w:val="000000"/>
                <w:sz w:val="20"/>
                <w:szCs w:val="20"/>
                <w:lang w:eastAsia="es-MX"/>
              </w:rPr>
              <w:t xml:space="preserve">B. Análisis de la contribución del programa a las metas y estrategias </w:t>
            </w:r>
          </w:p>
        </w:tc>
        <w:tc>
          <w:tcPr>
            <w:tcW w:w="789" w:type="pct"/>
            <w:tcBorders>
              <w:top w:val="nil"/>
              <w:left w:val="nil"/>
              <w:bottom w:val="single" w:sz="4" w:space="0" w:color="auto"/>
              <w:right w:val="single" w:sz="4" w:space="0" w:color="auto"/>
            </w:tcBorders>
            <w:shd w:val="clear" w:color="000000" w:fill="F2F2F2"/>
            <w:vAlign w:val="center"/>
            <w:hideMark/>
          </w:tcPr>
          <w:p w14:paraId="3F29E7CE"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4</w:t>
            </w:r>
          </w:p>
        </w:tc>
        <w:tc>
          <w:tcPr>
            <w:tcW w:w="711" w:type="pct"/>
            <w:tcBorders>
              <w:top w:val="nil"/>
              <w:left w:val="nil"/>
              <w:bottom w:val="single" w:sz="4" w:space="0" w:color="auto"/>
              <w:right w:val="single" w:sz="4" w:space="0" w:color="auto"/>
            </w:tcBorders>
            <w:shd w:val="clear" w:color="000000" w:fill="F2F2F2"/>
            <w:vAlign w:val="center"/>
            <w:hideMark/>
          </w:tcPr>
          <w:p w14:paraId="45AEA493"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4</w:t>
            </w:r>
          </w:p>
        </w:tc>
        <w:tc>
          <w:tcPr>
            <w:tcW w:w="619" w:type="pct"/>
            <w:tcBorders>
              <w:top w:val="nil"/>
              <w:left w:val="nil"/>
              <w:bottom w:val="single" w:sz="4" w:space="0" w:color="auto"/>
              <w:right w:val="single" w:sz="4" w:space="0" w:color="auto"/>
            </w:tcBorders>
            <w:shd w:val="clear" w:color="000000" w:fill="F2F2F2"/>
            <w:vAlign w:val="center"/>
            <w:hideMark/>
          </w:tcPr>
          <w:p w14:paraId="57EC73F7"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100%</w:t>
            </w:r>
          </w:p>
        </w:tc>
      </w:tr>
      <w:tr w:rsidR="00F70AC2" w:rsidRPr="00F70AC2" w14:paraId="060218AE" w14:textId="77777777" w:rsidTr="00F70AC2">
        <w:trPr>
          <w:trHeight w:val="297"/>
        </w:trPr>
        <w:tc>
          <w:tcPr>
            <w:tcW w:w="2881" w:type="pct"/>
            <w:tcBorders>
              <w:top w:val="nil"/>
              <w:left w:val="single" w:sz="4" w:space="0" w:color="auto"/>
              <w:bottom w:val="single" w:sz="4" w:space="0" w:color="auto"/>
              <w:right w:val="single" w:sz="4" w:space="0" w:color="auto"/>
            </w:tcBorders>
            <w:shd w:val="clear" w:color="000000" w:fill="F2F2F2"/>
            <w:vAlign w:val="center"/>
            <w:hideMark/>
          </w:tcPr>
          <w:p w14:paraId="4DA05869" w14:textId="77777777" w:rsidR="00F70AC2" w:rsidRPr="00F70AC2" w:rsidRDefault="00F70AC2" w:rsidP="00F70AC2">
            <w:pPr>
              <w:spacing w:after="0" w:line="240" w:lineRule="auto"/>
              <w:jc w:val="both"/>
              <w:rPr>
                <w:rFonts w:eastAsia="Times New Roman" w:cstheme="minorHAnsi"/>
                <w:color w:val="000000"/>
                <w:sz w:val="20"/>
                <w:szCs w:val="20"/>
                <w:lang w:eastAsia="es-MX"/>
              </w:rPr>
            </w:pPr>
            <w:r w:rsidRPr="00F70AC2">
              <w:rPr>
                <w:rFonts w:eastAsia="Times New Roman" w:cstheme="minorHAnsi"/>
                <w:color w:val="000000"/>
                <w:sz w:val="20"/>
                <w:szCs w:val="20"/>
                <w:lang w:eastAsia="es-MX"/>
              </w:rPr>
              <w:t>C. Análisis de la población potencial y objetivo y mecanismos de elegibilidad</w:t>
            </w:r>
          </w:p>
        </w:tc>
        <w:tc>
          <w:tcPr>
            <w:tcW w:w="789" w:type="pct"/>
            <w:tcBorders>
              <w:top w:val="nil"/>
              <w:left w:val="nil"/>
              <w:bottom w:val="single" w:sz="4" w:space="0" w:color="auto"/>
              <w:right w:val="single" w:sz="4" w:space="0" w:color="auto"/>
            </w:tcBorders>
            <w:shd w:val="clear" w:color="000000" w:fill="F2F2F2"/>
            <w:vAlign w:val="center"/>
            <w:hideMark/>
          </w:tcPr>
          <w:p w14:paraId="1B6CA25E"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8</w:t>
            </w:r>
          </w:p>
        </w:tc>
        <w:tc>
          <w:tcPr>
            <w:tcW w:w="711" w:type="pct"/>
            <w:tcBorders>
              <w:top w:val="nil"/>
              <w:left w:val="nil"/>
              <w:bottom w:val="single" w:sz="4" w:space="0" w:color="auto"/>
              <w:right w:val="single" w:sz="4" w:space="0" w:color="auto"/>
            </w:tcBorders>
            <w:shd w:val="clear" w:color="000000" w:fill="F2F2F2"/>
            <w:vAlign w:val="center"/>
            <w:hideMark/>
          </w:tcPr>
          <w:p w14:paraId="319DAB0B"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3</w:t>
            </w:r>
          </w:p>
        </w:tc>
        <w:tc>
          <w:tcPr>
            <w:tcW w:w="619" w:type="pct"/>
            <w:tcBorders>
              <w:top w:val="nil"/>
              <w:left w:val="nil"/>
              <w:bottom w:val="single" w:sz="4" w:space="0" w:color="auto"/>
              <w:right w:val="single" w:sz="4" w:space="0" w:color="auto"/>
            </w:tcBorders>
            <w:shd w:val="clear" w:color="000000" w:fill="F2F2F2"/>
            <w:vAlign w:val="center"/>
            <w:hideMark/>
          </w:tcPr>
          <w:p w14:paraId="08B795FF"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38%</w:t>
            </w:r>
          </w:p>
        </w:tc>
      </w:tr>
      <w:tr w:rsidR="00F70AC2" w:rsidRPr="00F70AC2" w14:paraId="086CD8EC" w14:textId="77777777" w:rsidTr="00F70AC2">
        <w:trPr>
          <w:trHeight w:val="361"/>
        </w:trPr>
        <w:tc>
          <w:tcPr>
            <w:tcW w:w="2881" w:type="pct"/>
            <w:tcBorders>
              <w:top w:val="nil"/>
              <w:left w:val="single" w:sz="4" w:space="0" w:color="auto"/>
              <w:bottom w:val="single" w:sz="4" w:space="0" w:color="auto"/>
              <w:right w:val="single" w:sz="4" w:space="0" w:color="auto"/>
            </w:tcBorders>
            <w:shd w:val="clear" w:color="000000" w:fill="F2F2F2"/>
            <w:vAlign w:val="center"/>
            <w:hideMark/>
          </w:tcPr>
          <w:p w14:paraId="197971CD" w14:textId="77777777" w:rsidR="00F70AC2" w:rsidRPr="00F70AC2" w:rsidRDefault="00F70AC2" w:rsidP="00F70AC2">
            <w:pPr>
              <w:spacing w:after="0" w:line="240" w:lineRule="auto"/>
              <w:jc w:val="both"/>
              <w:rPr>
                <w:rFonts w:eastAsia="Times New Roman" w:cstheme="minorHAnsi"/>
                <w:color w:val="000000"/>
                <w:sz w:val="20"/>
                <w:szCs w:val="20"/>
                <w:lang w:eastAsia="es-MX"/>
              </w:rPr>
            </w:pPr>
            <w:r w:rsidRPr="00F70AC2">
              <w:rPr>
                <w:rFonts w:eastAsia="Times New Roman" w:cstheme="minorHAnsi"/>
                <w:color w:val="000000"/>
                <w:sz w:val="20"/>
                <w:szCs w:val="20"/>
                <w:lang w:eastAsia="es-MX"/>
              </w:rPr>
              <w:t>D. Evaluación y análisis de la matriz de indicadores para resultados</w:t>
            </w:r>
          </w:p>
        </w:tc>
        <w:tc>
          <w:tcPr>
            <w:tcW w:w="789" w:type="pct"/>
            <w:tcBorders>
              <w:top w:val="nil"/>
              <w:left w:val="nil"/>
              <w:bottom w:val="single" w:sz="4" w:space="0" w:color="auto"/>
              <w:right w:val="single" w:sz="4" w:space="0" w:color="auto"/>
            </w:tcBorders>
            <w:shd w:val="clear" w:color="000000" w:fill="F2F2F2"/>
            <w:vAlign w:val="center"/>
            <w:hideMark/>
          </w:tcPr>
          <w:p w14:paraId="630F8DDA"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12</w:t>
            </w:r>
          </w:p>
        </w:tc>
        <w:tc>
          <w:tcPr>
            <w:tcW w:w="711" w:type="pct"/>
            <w:tcBorders>
              <w:top w:val="nil"/>
              <w:left w:val="nil"/>
              <w:bottom w:val="single" w:sz="4" w:space="0" w:color="auto"/>
              <w:right w:val="single" w:sz="4" w:space="0" w:color="auto"/>
            </w:tcBorders>
            <w:shd w:val="clear" w:color="000000" w:fill="F2F2F2"/>
            <w:vAlign w:val="center"/>
            <w:hideMark/>
          </w:tcPr>
          <w:p w14:paraId="66C1CFDD"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6</w:t>
            </w:r>
          </w:p>
        </w:tc>
        <w:tc>
          <w:tcPr>
            <w:tcW w:w="619" w:type="pct"/>
            <w:tcBorders>
              <w:top w:val="nil"/>
              <w:left w:val="nil"/>
              <w:bottom w:val="single" w:sz="4" w:space="0" w:color="auto"/>
              <w:right w:val="single" w:sz="4" w:space="0" w:color="auto"/>
            </w:tcBorders>
            <w:shd w:val="clear" w:color="000000" w:fill="F2F2F2"/>
            <w:vAlign w:val="center"/>
            <w:hideMark/>
          </w:tcPr>
          <w:p w14:paraId="3450522A"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50%</w:t>
            </w:r>
          </w:p>
        </w:tc>
      </w:tr>
      <w:tr w:rsidR="00F70AC2" w:rsidRPr="00F70AC2" w14:paraId="0877B313" w14:textId="77777777" w:rsidTr="00F70AC2">
        <w:trPr>
          <w:trHeight w:val="296"/>
        </w:trPr>
        <w:tc>
          <w:tcPr>
            <w:tcW w:w="2881" w:type="pct"/>
            <w:tcBorders>
              <w:top w:val="nil"/>
              <w:left w:val="single" w:sz="4" w:space="0" w:color="auto"/>
              <w:bottom w:val="single" w:sz="4" w:space="0" w:color="auto"/>
              <w:right w:val="single" w:sz="4" w:space="0" w:color="auto"/>
            </w:tcBorders>
            <w:shd w:val="clear" w:color="000000" w:fill="F2F2F2"/>
            <w:vAlign w:val="center"/>
            <w:hideMark/>
          </w:tcPr>
          <w:p w14:paraId="52CA8A09" w14:textId="77777777" w:rsidR="00F70AC2" w:rsidRPr="00F70AC2" w:rsidRDefault="00F70AC2" w:rsidP="00F70AC2">
            <w:pPr>
              <w:spacing w:after="0" w:line="240" w:lineRule="auto"/>
              <w:jc w:val="both"/>
              <w:rPr>
                <w:rFonts w:eastAsia="Times New Roman" w:cstheme="minorHAnsi"/>
                <w:color w:val="000000"/>
                <w:sz w:val="20"/>
                <w:szCs w:val="20"/>
                <w:lang w:eastAsia="es-MX"/>
              </w:rPr>
            </w:pPr>
            <w:r w:rsidRPr="00F70AC2">
              <w:rPr>
                <w:rFonts w:eastAsia="Times New Roman" w:cstheme="minorHAnsi"/>
                <w:color w:val="000000"/>
                <w:sz w:val="20"/>
                <w:szCs w:val="20"/>
                <w:lang w:eastAsia="es-MX"/>
              </w:rPr>
              <w:t>E. Análisis de posibles complementariedades y coincidencias con otros programas federales</w:t>
            </w:r>
          </w:p>
        </w:tc>
        <w:tc>
          <w:tcPr>
            <w:tcW w:w="2119" w:type="pct"/>
            <w:gridSpan w:val="3"/>
            <w:tcBorders>
              <w:top w:val="single" w:sz="4" w:space="0" w:color="auto"/>
              <w:left w:val="nil"/>
              <w:bottom w:val="single" w:sz="4" w:space="0" w:color="auto"/>
              <w:right w:val="single" w:sz="4" w:space="0" w:color="auto"/>
            </w:tcBorders>
            <w:shd w:val="clear" w:color="000000" w:fill="F2F2F2"/>
            <w:vAlign w:val="center"/>
            <w:hideMark/>
          </w:tcPr>
          <w:p w14:paraId="3F1E4CDE"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No procede valoración cualitativa</w:t>
            </w:r>
          </w:p>
        </w:tc>
      </w:tr>
      <w:tr w:rsidR="00F70AC2" w:rsidRPr="00F70AC2" w14:paraId="7C1E5AC5" w14:textId="77777777" w:rsidTr="00F70AC2">
        <w:trPr>
          <w:trHeight w:val="360"/>
        </w:trPr>
        <w:tc>
          <w:tcPr>
            <w:tcW w:w="2881" w:type="pct"/>
            <w:tcBorders>
              <w:top w:val="nil"/>
              <w:left w:val="single" w:sz="4" w:space="0" w:color="auto"/>
              <w:bottom w:val="single" w:sz="4" w:space="0" w:color="auto"/>
              <w:right w:val="single" w:sz="4" w:space="0" w:color="auto"/>
            </w:tcBorders>
            <w:shd w:val="clear" w:color="000000" w:fill="D9D9D9"/>
            <w:vAlign w:val="center"/>
            <w:hideMark/>
          </w:tcPr>
          <w:p w14:paraId="731D8BE2"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Planeación y Orientación a Resultados</w:t>
            </w:r>
          </w:p>
        </w:tc>
        <w:tc>
          <w:tcPr>
            <w:tcW w:w="789" w:type="pct"/>
            <w:tcBorders>
              <w:top w:val="nil"/>
              <w:left w:val="nil"/>
              <w:bottom w:val="single" w:sz="4" w:space="0" w:color="auto"/>
              <w:right w:val="single" w:sz="4" w:space="0" w:color="auto"/>
            </w:tcBorders>
            <w:shd w:val="clear" w:color="000000" w:fill="D9D9D9"/>
            <w:vAlign w:val="center"/>
            <w:hideMark/>
          </w:tcPr>
          <w:p w14:paraId="4F8C4ED8"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24</w:t>
            </w:r>
          </w:p>
        </w:tc>
        <w:tc>
          <w:tcPr>
            <w:tcW w:w="711" w:type="pct"/>
            <w:tcBorders>
              <w:top w:val="nil"/>
              <w:left w:val="nil"/>
              <w:bottom w:val="single" w:sz="4" w:space="0" w:color="auto"/>
              <w:right w:val="single" w:sz="4" w:space="0" w:color="auto"/>
            </w:tcBorders>
            <w:shd w:val="clear" w:color="000000" w:fill="D9D9D9"/>
            <w:vAlign w:val="center"/>
            <w:hideMark/>
          </w:tcPr>
          <w:p w14:paraId="54B9841E"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5</w:t>
            </w:r>
          </w:p>
        </w:tc>
        <w:tc>
          <w:tcPr>
            <w:tcW w:w="619" w:type="pct"/>
            <w:tcBorders>
              <w:top w:val="nil"/>
              <w:left w:val="nil"/>
              <w:bottom w:val="single" w:sz="4" w:space="0" w:color="auto"/>
              <w:right w:val="single" w:sz="4" w:space="0" w:color="auto"/>
            </w:tcBorders>
            <w:shd w:val="clear" w:color="000000" w:fill="D9D9D9"/>
            <w:vAlign w:val="center"/>
            <w:hideMark/>
          </w:tcPr>
          <w:p w14:paraId="6C0E4FF5"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21%</w:t>
            </w:r>
          </w:p>
        </w:tc>
      </w:tr>
      <w:tr w:rsidR="00F70AC2" w:rsidRPr="00F70AC2" w14:paraId="082C84EB" w14:textId="77777777" w:rsidTr="00F70AC2">
        <w:trPr>
          <w:trHeight w:val="251"/>
        </w:trPr>
        <w:tc>
          <w:tcPr>
            <w:tcW w:w="2881" w:type="pct"/>
            <w:tcBorders>
              <w:top w:val="nil"/>
              <w:left w:val="single" w:sz="4" w:space="0" w:color="auto"/>
              <w:bottom w:val="single" w:sz="4" w:space="0" w:color="auto"/>
              <w:right w:val="single" w:sz="4" w:space="0" w:color="auto"/>
            </w:tcBorders>
            <w:shd w:val="clear" w:color="000000" w:fill="D9D9D9"/>
            <w:vAlign w:val="center"/>
            <w:hideMark/>
          </w:tcPr>
          <w:p w14:paraId="338D1FA5" w14:textId="77777777" w:rsidR="00F70AC2" w:rsidRPr="00F70AC2" w:rsidRDefault="00F70AC2" w:rsidP="00F70AC2">
            <w:pPr>
              <w:spacing w:after="0" w:line="240" w:lineRule="auto"/>
              <w:jc w:val="both"/>
              <w:rPr>
                <w:rFonts w:eastAsia="Times New Roman" w:cstheme="minorHAnsi"/>
                <w:color w:val="000000"/>
                <w:sz w:val="20"/>
                <w:szCs w:val="20"/>
                <w:lang w:eastAsia="es-MX"/>
              </w:rPr>
            </w:pPr>
            <w:r w:rsidRPr="00F70AC2">
              <w:rPr>
                <w:rFonts w:eastAsia="Times New Roman" w:cstheme="minorHAnsi"/>
                <w:color w:val="000000"/>
                <w:sz w:val="20"/>
                <w:szCs w:val="20"/>
                <w:lang w:eastAsia="es-MX"/>
              </w:rPr>
              <w:t xml:space="preserve">A. Instrumentos de planeación </w:t>
            </w:r>
          </w:p>
        </w:tc>
        <w:tc>
          <w:tcPr>
            <w:tcW w:w="789" w:type="pct"/>
            <w:tcBorders>
              <w:top w:val="nil"/>
              <w:left w:val="nil"/>
              <w:bottom w:val="single" w:sz="4" w:space="0" w:color="auto"/>
              <w:right w:val="single" w:sz="4" w:space="0" w:color="auto"/>
            </w:tcBorders>
            <w:shd w:val="clear" w:color="000000" w:fill="D9D9D9"/>
            <w:vAlign w:val="center"/>
            <w:hideMark/>
          </w:tcPr>
          <w:p w14:paraId="4803BBF5"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8</w:t>
            </w:r>
          </w:p>
        </w:tc>
        <w:tc>
          <w:tcPr>
            <w:tcW w:w="711" w:type="pct"/>
            <w:tcBorders>
              <w:top w:val="nil"/>
              <w:left w:val="nil"/>
              <w:bottom w:val="single" w:sz="4" w:space="0" w:color="auto"/>
              <w:right w:val="single" w:sz="4" w:space="0" w:color="auto"/>
            </w:tcBorders>
            <w:shd w:val="clear" w:color="000000" w:fill="D9D9D9"/>
            <w:vAlign w:val="center"/>
            <w:hideMark/>
          </w:tcPr>
          <w:p w14:paraId="524E76A0"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2</w:t>
            </w:r>
          </w:p>
        </w:tc>
        <w:tc>
          <w:tcPr>
            <w:tcW w:w="619" w:type="pct"/>
            <w:tcBorders>
              <w:top w:val="nil"/>
              <w:left w:val="nil"/>
              <w:bottom w:val="single" w:sz="4" w:space="0" w:color="auto"/>
              <w:right w:val="single" w:sz="4" w:space="0" w:color="auto"/>
            </w:tcBorders>
            <w:shd w:val="clear" w:color="000000" w:fill="D9D9D9"/>
            <w:vAlign w:val="center"/>
            <w:hideMark/>
          </w:tcPr>
          <w:p w14:paraId="2729C30D"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25%</w:t>
            </w:r>
          </w:p>
        </w:tc>
      </w:tr>
      <w:tr w:rsidR="00F70AC2" w:rsidRPr="00F70AC2" w14:paraId="474C3C95" w14:textId="77777777" w:rsidTr="00F70AC2">
        <w:trPr>
          <w:trHeight w:val="540"/>
        </w:trPr>
        <w:tc>
          <w:tcPr>
            <w:tcW w:w="2881" w:type="pct"/>
            <w:tcBorders>
              <w:top w:val="nil"/>
              <w:left w:val="single" w:sz="4" w:space="0" w:color="auto"/>
              <w:bottom w:val="single" w:sz="4" w:space="0" w:color="auto"/>
              <w:right w:val="single" w:sz="4" w:space="0" w:color="auto"/>
            </w:tcBorders>
            <w:shd w:val="clear" w:color="000000" w:fill="D9D9D9"/>
            <w:vAlign w:val="center"/>
            <w:hideMark/>
          </w:tcPr>
          <w:p w14:paraId="2EF3F1E1" w14:textId="77777777" w:rsidR="00F70AC2" w:rsidRPr="00F70AC2" w:rsidRDefault="00F70AC2" w:rsidP="00F70AC2">
            <w:pPr>
              <w:spacing w:after="0" w:line="240" w:lineRule="auto"/>
              <w:jc w:val="both"/>
              <w:rPr>
                <w:rFonts w:eastAsia="Times New Roman" w:cstheme="minorHAnsi"/>
                <w:color w:val="000000"/>
                <w:sz w:val="20"/>
                <w:szCs w:val="20"/>
                <w:lang w:eastAsia="es-MX"/>
              </w:rPr>
            </w:pPr>
            <w:r w:rsidRPr="00F70AC2">
              <w:rPr>
                <w:rFonts w:eastAsia="Times New Roman" w:cstheme="minorHAnsi"/>
                <w:color w:val="000000"/>
                <w:sz w:val="20"/>
                <w:szCs w:val="20"/>
                <w:lang w:eastAsia="es-MX"/>
              </w:rPr>
              <w:t>B. De la orientación hacia resultados y esquemas o procesos de evaluación</w:t>
            </w:r>
          </w:p>
        </w:tc>
        <w:tc>
          <w:tcPr>
            <w:tcW w:w="789" w:type="pct"/>
            <w:tcBorders>
              <w:top w:val="nil"/>
              <w:left w:val="nil"/>
              <w:bottom w:val="single" w:sz="4" w:space="0" w:color="auto"/>
              <w:right w:val="single" w:sz="4" w:space="0" w:color="auto"/>
            </w:tcBorders>
            <w:shd w:val="clear" w:color="000000" w:fill="D9D9D9"/>
            <w:vAlign w:val="center"/>
            <w:hideMark/>
          </w:tcPr>
          <w:p w14:paraId="5F931BA7"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8</w:t>
            </w:r>
          </w:p>
        </w:tc>
        <w:tc>
          <w:tcPr>
            <w:tcW w:w="711" w:type="pct"/>
            <w:tcBorders>
              <w:top w:val="nil"/>
              <w:left w:val="nil"/>
              <w:bottom w:val="single" w:sz="4" w:space="0" w:color="auto"/>
              <w:right w:val="single" w:sz="4" w:space="0" w:color="auto"/>
            </w:tcBorders>
            <w:shd w:val="clear" w:color="000000" w:fill="D9D9D9"/>
            <w:vAlign w:val="center"/>
            <w:hideMark/>
          </w:tcPr>
          <w:p w14:paraId="2998CA7C"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1</w:t>
            </w:r>
          </w:p>
        </w:tc>
        <w:tc>
          <w:tcPr>
            <w:tcW w:w="619" w:type="pct"/>
            <w:tcBorders>
              <w:top w:val="nil"/>
              <w:left w:val="nil"/>
              <w:bottom w:val="single" w:sz="4" w:space="0" w:color="auto"/>
              <w:right w:val="single" w:sz="4" w:space="0" w:color="auto"/>
            </w:tcBorders>
            <w:shd w:val="clear" w:color="000000" w:fill="D9D9D9"/>
            <w:vAlign w:val="center"/>
            <w:hideMark/>
          </w:tcPr>
          <w:p w14:paraId="659CB157"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13%</w:t>
            </w:r>
          </w:p>
        </w:tc>
      </w:tr>
      <w:tr w:rsidR="00F70AC2" w:rsidRPr="00F70AC2" w14:paraId="02AADD64" w14:textId="77777777" w:rsidTr="00F70AC2">
        <w:trPr>
          <w:trHeight w:val="70"/>
        </w:trPr>
        <w:tc>
          <w:tcPr>
            <w:tcW w:w="2881" w:type="pct"/>
            <w:tcBorders>
              <w:top w:val="nil"/>
              <w:left w:val="single" w:sz="4" w:space="0" w:color="auto"/>
              <w:bottom w:val="single" w:sz="4" w:space="0" w:color="auto"/>
              <w:right w:val="single" w:sz="4" w:space="0" w:color="auto"/>
            </w:tcBorders>
            <w:shd w:val="clear" w:color="000000" w:fill="D9D9D9"/>
            <w:vAlign w:val="center"/>
            <w:hideMark/>
          </w:tcPr>
          <w:p w14:paraId="52BD0222" w14:textId="77777777" w:rsidR="00F70AC2" w:rsidRPr="00F70AC2" w:rsidRDefault="00F70AC2" w:rsidP="00F70AC2">
            <w:pPr>
              <w:spacing w:after="0" w:line="240" w:lineRule="auto"/>
              <w:jc w:val="both"/>
              <w:rPr>
                <w:rFonts w:eastAsia="Times New Roman" w:cstheme="minorHAnsi"/>
                <w:color w:val="000000"/>
                <w:sz w:val="20"/>
                <w:szCs w:val="20"/>
                <w:lang w:eastAsia="es-MX"/>
              </w:rPr>
            </w:pPr>
            <w:r w:rsidRPr="00F70AC2">
              <w:rPr>
                <w:rFonts w:eastAsia="Times New Roman" w:cstheme="minorHAnsi"/>
                <w:color w:val="000000"/>
                <w:sz w:val="20"/>
                <w:szCs w:val="20"/>
                <w:lang w:eastAsia="es-MX"/>
              </w:rPr>
              <w:t>C. De la generación de información</w:t>
            </w:r>
          </w:p>
        </w:tc>
        <w:tc>
          <w:tcPr>
            <w:tcW w:w="789" w:type="pct"/>
            <w:tcBorders>
              <w:top w:val="nil"/>
              <w:left w:val="nil"/>
              <w:bottom w:val="single" w:sz="4" w:space="0" w:color="auto"/>
              <w:right w:val="single" w:sz="4" w:space="0" w:color="auto"/>
            </w:tcBorders>
            <w:shd w:val="clear" w:color="000000" w:fill="D9D9D9"/>
            <w:vAlign w:val="center"/>
            <w:hideMark/>
          </w:tcPr>
          <w:p w14:paraId="3807C2AB"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8</w:t>
            </w:r>
          </w:p>
        </w:tc>
        <w:tc>
          <w:tcPr>
            <w:tcW w:w="711" w:type="pct"/>
            <w:tcBorders>
              <w:top w:val="nil"/>
              <w:left w:val="nil"/>
              <w:bottom w:val="single" w:sz="4" w:space="0" w:color="auto"/>
              <w:right w:val="single" w:sz="4" w:space="0" w:color="auto"/>
            </w:tcBorders>
            <w:shd w:val="clear" w:color="000000" w:fill="D9D9D9"/>
            <w:vAlign w:val="center"/>
            <w:hideMark/>
          </w:tcPr>
          <w:p w14:paraId="1CC3FEAD"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2</w:t>
            </w:r>
          </w:p>
        </w:tc>
        <w:tc>
          <w:tcPr>
            <w:tcW w:w="619" w:type="pct"/>
            <w:tcBorders>
              <w:top w:val="nil"/>
              <w:left w:val="nil"/>
              <w:bottom w:val="single" w:sz="4" w:space="0" w:color="auto"/>
              <w:right w:val="single" w:sz="4" w:space="0" w:color="auto"/>
            </w:tcBorders>
            <w:shd w:val="clear" w:color="000000" w:fill="D9D9D9"/>
            <w:vAlign w:val="center"/>
            <w:hideMark/>
          </w:tcPr>
          <w:p w14:paraId="260E038C"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25%</w:t>
            </w:r>
          </w:p>
        </w:tc>
      </w:tr>
      <w:tr w:rsidR="00F70AC2" w:rsidRPr="00F70AC2" w14:paraId="29C518EA" w14:textId="77777777" w:rsidTr="00F70AC2">
        <w:trPr>
          <w:trHeight w:val="323"/>
        </w:trPr>
        <w:tc>
          <w:tcPr>
            <w:tcW w:w="2881" w:type="pct"/>
            <w:tcBorders>
              <w:top w:val="nil"/>
              <w:left w:val="single" w:sz="4" w:space="0" w:color="auto"/>
              <w:bottom w:val="single" w:sz="4" w:space="0" w:color="auto"/>
              <w:right w:val="single" w:sz="4" w:space="0" w:color="auto"/>
            </w:tcBorders>
            <w:shd w:val="clear" w:color="000000" w:fill="F2F2F2"/>
            <w:vAlign w:val="center"/>
            <w:hideMark/>
          </w:tcPr>
          <w:p w14:paraId="6FFBFC66"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Cobertura y Focalización</w:t>
            </w:r>
          </w:p>
        </w:tc>
        <w:tc>
          <w:tcPr>
            <w:tcW w:w="789" w:type="pct"/>
            <w:tcBorders>
              <w:top w:val="nil"/>
              <w:left w:val="nil"/>
              <w:bottom w:val="single" w:sz="4" w:space="0" w:color="auto"/>
              <w:right w:val="single" w:sz="4" w:space="0" w:color="auto"/>
            </w:tcBorders>
            <w:shd w:val="clear" w:color="000000" w:fill="F2F2F2"/>
            <w:vAlign w:val="center"/>
            <w:hideMark/>
          </w:tcPr>
          <w:p w14:paraId="310EC24E"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4</w:t>
            </w:r>
          </w:p>
        </w:tc>
        <w:tc>
          <w:tcPr>
            <w:tcW w:w="711" w:type="pct"/>
            <w:tcBorders>
              <w:top w:val="nil"/>
              <w:left w:val="nil"/>
              <w:bottom w:val="single" w:sz="4" w:space="0" w:color="auto"/>
              <w:right w:val="single" w:sz="4" w:space="0" w:color="auto"/>
            </w:tcBorders>
            <w:shd w:val="clear" w:color="000000" w:fill="F2F2F2"/>
            <w:vAlign w:val="center"/>
            <w:hideMark/>
          </w:tcPr>
          <w:p w14:paraId="1E40EE73"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1</w:t>
            </w:r>
          </w:p>
        </w:tc>
        <w:tc>
          <w:tcPr>
            <w:tcW w:w="619" w:type="pct"/>
            <w:tcBorders>
              <w:top w:val="nil"/>
              <w:left w:val="nil"/>
              <w:bottom w:val="single" w:sz="4" w:space="0" w:color="auto"/>
              <w:right w:val="single" w:sz="4" w:space="0" w:color="auto"/>
            </w:tcBorders>
            <w:shd w:val="clear" w:color="000000" w:fill="F2F2F2"/>
            <w:vAlign w:val="center"/>
            <w:hideMark/>
          </w:tcPr>
          <w:p w14:paraId="3C086986"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25%</w:t>
            </w:r>
          </w:p>
        </w:tc>
      </w:tr>
      <w:tr w:rsidR="00F70AC2" w:rsidRPr="00F70AC2" w14:paraId="294D8466" w14:textId="77777777" w:rsidTr="00F70AC2">
        <w:trPr>
          <w:trHeight w:val="129"/>
        </w:trPr>
        <w:tc>
          <w:tcPr>
            <w:tcW w:w="2881" w:type="pct"/>
            <w:tcBorders>
              <w:top w:val="nil"/>
              <w:left w:val="single" w:sz="4" w:space="0" w:color="auto"/>
              <w:bottom w:val="single" w:sz="4" w:space="0" w:color="auto"/>
              <w:right w:val="single" w:sz="4" w:space="0" w:color="auto"/>
            </w:tcBorders>
            <w:shd w:val="clear" w:color="000000" w:fill="F2F2F2"/>
            <w:vAlign w:val="center"/>
            <w:hideMark/>
          </w:tcPr>
          <w:p w14:paraId="09599DAE" w14:textId="77777777" w:rsidR="00F70AC2" w:rsidRPr="00F70AC2" w:rsidRDefault="00F70AC2" w:rsidP="00F70AC2">
            <w:pPr>
              <w:spacing w:after="0" w:line="240" w:lineRule="auto"/>
              <w:jc w:val="both"/>
              <w:rPr>
                <w:rFonts w:eastAsia="Times New Roman" w:cstheme="minorHAnsi"/>
                <w:color w:val="000000"/>
                <w:sz w:val="20"/>
                <w:szCs w:val="20"/>
                <w:lang w:eastAsia="es-MX"/>
              </w:rPr>
            </w:pPr>
            <w:r w:rsidRPr="00F70AC2">
              <w:rPr>
                <w:rFonts w:eastAsia="Times New Roman" w:cstheme="minorHAnsi"/>
                <w:color w:val="000000"/>
                <w:sz w:val="20"/>
                <w:szCs w:val="20"/>
                <w:lang w:eastAsia="es-MX"/>
              </w:rPr>
              <w:t>A. Análisis de cobertura</w:t>
            </w:r>
          </w:p>
        </w:tc>
        <w:tc>
          <w:tcPr>
            <w:tcW w:w="789" w:type="pct"/>
            <w:tcBorders>
              <w:top w:val="nil"/>
              <w:left w:val="nil"/>
              <w:bottom w:val="single" w:sz="4" w:space="0" w:color="auto"/>
              <w:right w:val="single" w:sz="4" w:space="0" w:color="auto"/>
            </w:tcBorders>
            <w:shd w:val="clear" w:color="000000" w:fill="F2F2F2"/>
            <w:vAlign w:val="center"/>
            <w:hideMark/>
          </w:tcPr>
          <w:p w14:paraId="4E02D96D"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4</w:t>
            </w:r>
          </w:p>
        </w:tc>
        <w:tc>
          <w:tcPr>
            <w:tcW w:w="711" w:type="pct"/>
            <w:tcBorders>
              <w:top w:val="nil"/>
              <w:left w:val="nil"/>
              <w:bottom w:val="single" w:sz="4" w:space="0" w:color="auto"/>
              <w:right w:val="single" w:sz="4" w:space="0" w:color="auto"/>
            </w:tcBorders>
            <w:shd w:val="clear" w:color="000000" w:fill="F2F2F2"/>
            <w:vAlign w:val="center"/>
            <w:hideMark/>
          </w:tcPr>
          <w:p w14:paraId="5E5C13CC"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1</w:t>
            </w:r>
          </w:p>
        </w:tc>
        <w:tc>
          <w:tcPr>
            <w:tcW w:w="619" w:type="pct"/>
            <w:tcBorders>
              <w:top w:val="nil"/>
              <w:left w:val="nil"/>
              <w:bottom w:val="single" w:sz="4" w:space="0" w:color="auto"/>
              <w:right w:val="single" w:sz="4" w:space="0" w:color="auto"/>
            </w:tcBorders>
            <w:shd w:val="clear" w:color="000000" w:fill="F2F2F2"/>
            <w:vAlign w:val="center"/>
            <w:hideMark/>
          </w:tcPr>
          <w:p w14:paraId="0D7053DA" w14:textId="77777777" w:rsidR="00F70AC2" w:rsidRPr="00F70AC2" w:rsidRDefault="00F70AC2" w:rsidP="00F70AC2">
            <w:pPr>
              <w:spacing w:after="0" w:line="240" w:lineRule="auto"/>
              <w:jc w:val="center"/>
              <w:rPr>
                <w:rFonts w:eastAsia="Times New Roman" w:cstheme="minorHAnsi"/>
                <w:bCs/>
                <w:color w:val="000000"/>
                <w:sz w:val="20"/>
                <w:szCs w:val="20"/>
                <w:lang w:eastAsia="es-MX"/>
              </w:rPr>
            </w:pPr>
            <w:r w:rsidRPr="00F70AC2">
              <w:rPr>
                <w:rFonts w:eastAsia="Times New Roman" w:cstheme="minorHAnsi"/>
                <w:bCs/>
                <w:color w:val="000000"/>
                <w:sz w:val="20"/>
                <w:szCs w:val="20"/>
                <w:lang w:eastAsia="es-MX"/>
              </w:rPr>
              <w:t>25%</w:t>
            </w:r>
          </w:p>
        </w:tc>
      </w:tr>
      <w:tr w:rsidR="00F70AC2" w:rsidRPr="00F70AC2" w14:paraId="406893D4" w14:textId="77777777" w:rsidTr="00F70AC2">
        <w:trPr>
          <w:trHeight w:val="420"/>
        </w:trPr>
        <w:tc>
          <w:tcPr>
            <w:tcW w:w="2881" w:type="pct"/>
            <w:tcBorders>
              <w:top w:val="nil"/>
              <w:left w:val="single" w:sz="4" w:space="0" w:color="auto"/>
              <w:bottom w:val="single" w:sz="4" w:space="0" w:color="auto"/>
              <w:right w:val="single" w:sz="4" w:space="0" w:color="auto"/>
            </w:tcBorders>
            <w:shd w:val="clear" w:color="000000" w:fill="D9D9D9"/>
            <w:vAlign w:val="center"/>
            <w:hideMark/>
          </w:tcPr>
          <w:p w14:paraId="1DDD0B5B"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Operación</w:t>
            </w:r>
          </w:p>
        </w:tc>
        <w:tc>
          <w:tcPr>
            <w:tcW w:w="789" w:type="pct"/>
            <w:tcBorders>
              <w:top w:val="nil"/>
              <w:left w:val="nil"/>
              <w:bottom w:val="single" w:sz="4" w:space="0" w:color="auto"/>
              <w:right w:val="single" w:sz="4" w:space="0" w:color="auto"/>
            </w:tcBorders>
            <w:shd w:val="clear" w:color="000000" w:fill="D9D9D9"/>
            <w:vAlign w:val="center"/>
            <w:hideMark/>
          </w:tcPr>
          <w:p w14:paraId="440974C8"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48</w:t>
            </w:r>
          </w:p>
        </w:tc>
        <w:tc>
          <w:tcPr>
            <w:tcW w:w="711" w:type="pct"/>
            <w:tcBorders>
              <w:top w:val="nil"/>
              <w:left w:val="nil"/>
              <w:bottom w:val="single" w:sz="4" w:space="0" w:color="auto"/>
              <w:right w:val="single" w:sz="4" w:space="0" w:color="auto"/>
            </w:tcBorders>
            <w:shd w:val="clear" w:color="000000" w:fill="D9D9D9"/>
            <w:vAlign w:val="center"/>
            <w:hideMark/>
          </w:tcPr>
          <w:p w14:paraId="39D1E483"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20</w:t>
            </w:r>
          </w:p>
        </w:tc>
        <w:tc>
          <w:tcPr>
            <w:tcW w:w="619" w:type="pct"/>
            <w:tcBorders>
              <w:top w:val="nil"/>
              <w:left w:val="nil"/>
              <w:bottom w:val="single" w:sz="4" w:space="0" w:color="auto"/>
              <w:right w:val="single" w:sz="4" w:space="0" w:color="auto"/>
            </w:tcBorders>
            <w:shd w:val="clear" w:color="000000" w:fill="D9D9D9"/>
            <w:vAlign w:val="center"/>
            <w:hideMark/>
          </w:tcPr>
          <w:p w14:paraId="443856D9"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42%</w:t>
            </w:r>
          </w:p>
        </w:tc>
      </w:tr>
      <w:tr w:rsidR="00F70AC2" w:rsidRPr="00F70AC2" w14:paraId="1B08795B" w14:textId="77777777" w:rsidTr="00F70AC2">
        <w:trPr>
          <w:trHeight w:val="157"/>
        </w:trPr>
        <w:tc>
          <w:tcPr>
            <w:tcW w:w="2881" w:type="pct"/>
            <w:tcBorders>
              <w:top w:val="nil"/>
              <w:left w:val="single" w:sz="4" w:space="0" w:color="auto"/>
              <w:bottom w:val="single" w:sz="4" w:space="0" w:color="auto"/>
              <w:right w:val="single" w:sz="4" w:space="0" w:color="auto"/>
            </w:tcBorders>
            <w:shd w:val="clear" w:color="000000" w:fill="D9D9D9"/>
            <w:vAlign w:val="center"/>
            <w:hideMark/>
          </w:tcPr>
          <w:p w14:paraId="06FC136C" w14:textId="77777777" w:rsidR="00F70AC2" w:rsidRPr="00F70AC2" w:rsidRDefault="00F70AC2" w:rsidP="00F70AC2">
            <w:pPr>
              <w:spacing w:after="0" w:line="240" w:lineRule="auto"/>
              <w:jc w:val="both"/>
              <w:rPr>
                <w:rFonts w:eastAsia="Times New Roman" w:cstheme="minorHAnsi"/>
                <w:color w:val="000000"/>
                <w:sz w:val="20"/>
                <w:szCs w:val="20"/>
                <w:lang w:eastAsia="es-MX"/>
              </w:rPr>
            </w:pPr>
            <w:r w:rsidRPr="00F70AC2">
              <w:rPr>
                <w:rFonts w:eastAsia="Times New Roman" w:cstheme="minorHAnsi"/>
                <w:color w:val="000000"/>
                <w:sz w:val="20"/>
                <w:szCs w:val="20"/>
                <w:lang w:eastAsia="es-MX"/>
              </w:rPr>
              <w:t>A. Análisis de lo</w:t>
            </w:r>
            <w:r>
              <w:rPr>
                <w:rFonts w:eastAsia="Times New Roman" w:cstheme="minorHAnsi"/>
                <w:color w:val="000000"/>
                <w:sz w:val="20"/>
                <w:szCs w:val="20"/>
                <w:lang w:eastAsia="es-MX"/>
              </w:rPr>
              <w:t>s procesos establecidos en las ROP</w:t>
            </w:r>
            <w:r w:rsidRPr="00F70AC2">
              <w:rPr>
                <w:rFonts w:eastAsia="Times New Roman" w:cstheme="minorHAnsi"/>
                <w:color w:val="000000"/>
                <w:sz w:val="20"/>
                <w:szCs w:val="20"/>
                <w:lang w:eastAsia="es-MX"/>
              </w:rPr>
              <w:t xml:space="preserve"> o normatividad aplicable</w:t>
            </w:r>
          </w:p>
        </w:tc>
        <w:tc>
          <w:tcPr>
            <w:tcW w:w="789" w:type="pct"/>
            <w:tcBorders>
              <w:top w:val="nil"/>
              <w:left w:val="nil"/>
              <w:bottom w:val="single" w:sz="4" w:space="0" w:color="auto"/>
              <w:right w:val="single" w:sz="4" w:space="0" w:color="auto"/>
            </w:tcBorders>
            <w:shd w:val="clear" w:color="000000" w:fill="D9D9D9"/>
            <w:vAlign w:val="center"/>
            <w:hideMark/>
          </w:tcPr>
          <w:p w14:paraId="0F81BCD3"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36</w:t>
            </w:r>
          </w:p>
        </w:tc>
        <w:tc>
          <w:tcPr>
            <w:tcW w:w="711" w:type="pct"/>
            <w:tcBorders>
              <w:top w:val="nil"/>
              <w:left w:val="nil"/>
              <w:bottom w:val="single" w:sz="4" w:space="0" w:color="auto"/>
              <w:right w:val="single" w:sz="4" w:space="0" w:color="auto"/>
            </w:tcBorders>
            <w:shd w:val="clear" w:color="000000" w:fill="D9D9D9"/>
            <w:vAlign w:val="center"/>
            <w:hideMark/>
          </w:tcPr>
          <w:p w14:paraId="7F35B308"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15</w:t>
            </w:r>
          </w:p>
        </w:tc>
        <w:tc>
          <w:tcPr>
            <w:tcW w:w="619" w:type="pct"/>
            <w:tcBorders>
              <w:top w:val="nil"/>
              <w:left w:val="nil"/>
              <w:bottom w:val="single" w:sz="4" w:space="0" w:color="auto"/>
              <w:right w:val="single" w:sz="4" w:space="0" w:color="auto"/>
            </w:tcBorders>
            <w:shd w:val="clear" w:color="000000" w:fill="D9D9D9"/>
            <w:vAlign w:val="center"/>
            <w:hideMark/>
          </w:tcPr>
          <w:p w14:paraId="4A222594" w14:textId="77777777" w:rsidR="00F70AC2" w:rsidRPr="00F70AC2" w:rsidRDefault="00F70AC2" w:rsidP="00F70AC2">
            <w:pPr>
              <w:spacing w:after="0" w:line="240" w:lineRule="auto"/>
              <w:jc w:val="center"/>
              <w:rPr>
                <w:rFonts w:eastAsia="Times New Roman" w:cstheme="minorHAnsi"/>
                <w:bCs/>
                <w:color w:val="000000"/>
                <w:sz w:val="20"/>
                <w:szCs w:val="20"/>
                <w:lang w:eastAsia="es-MX"/>
              </w:rPr>
            </w:pPr>
            <w:r w:rsidRPr="00F70AC2">
              <w:rPr>
                <w:rFonts w:eastAsia="Times New Roman" w:cstheme="minorHAnsi"/>
                <w:bCs/>
                <w:color w:val="000000"/>
                <w:sz w:val="20"/>
                <w:szCs w:val="20"/>
                <w:lang w:eastAsia="es-MX"/>
              </w:rPr>
              <w:t>42%</w:t>
            </w:r>
          </w:p>
        </w:tc>
      </w:tr>
      <w:tr w:rsidR="00F70AC2" w:rsidRPr="00F70AC2" w14:paraId="484CD0A8" w14:textId="77777777" w:rsidTr="00F70AC2">
        <w:trPr>
          <w:trHeight w:val="70"/>
        </w:trPr>
        <w:tc>
          <w:tcPr>
            <w:tcW w:w="2881" w:type="pct"/>
            <w:tcBorders>
              <w:top w:val="nil"/>
              <w:left w:val="single" w:sz="4" w:space="0" w:color="auto"/>
              <w:bottom w:val="single" w:sz="4" w:space="0" w:color="auto"/>
              <w:right w:val="single" w:sz="4" w:space="0" w:color="auto"/>
            </w:tcBorders>
            <w:shd w:val="clear" w:color="000000" w:fill="D9D9D9"/>
            <w:vAlign w:val="center"/>
            <w:hideMark/>
          </w:tcPr>
          <w:p w14:paraId="2F2462B0" w14:textId="77777777" w:rsidR="00F70AC2" w:rsidRPr="00F70AC2" w:rsidRDefault="00F70AC2" w:rsidP="00F70AC2">
            <w:pPr>
              <w:spacing w:after="0" w:line="240" w:lineRule="auto"/>
              <w:jc w:val="both"/>
              <w:rPr>
                <w:rFonts w:eastAsia="Times New Roman" w:cstheme="minorHAnsi"/>
                <w:color w:val="000000"/>
                <w:sz w:val="20"/>
                <w:szCs w:val="20"/>
                <w:lang w:eastAsia="es-MX"/>
              </w:rPr>
            </w:pPr>
            <w:r w:rsidRPr="00F70AC2">
              <w:rPr>
                <w:rFonts w:eastAsia="Times New Roman" w:cstheme="minorHAnsi"/>
                <w:color w:val="000000"/>
                <w:sz w:val="20"/>
                <w:szCs w:val="20"/>
                <w:lang w:eastAsia="es-MX"/>
              </w:rPr>
              <w:t>B. Mejora y simplificación regulatoria</w:t>
            </w:r>
          </w:p>
        </w:tc>
        <w:tc>
          <w:tcPr>
            <w:tcW w:w="2119" w:type="pct"/>
            <w:gridSpan w:val="3"/>
            <w:tcBorders>
              <w:top w:val="single" w:sz="4" w:space="0" w:color="auto"/>
              <w:left w:val="nil"/>
              <w:bottom w:val="single" w:sz="4" w:space="0" w:color="auto"/>
              <w:right w:val="single" w:sz="4" w:space="0" w:color="auto"/>
            </w:tcBorders>
            <w:shd w:val="clear" w:color="000000" w:fill="D9D9D9"/>
            <w:vAlign w:val="center"/>
            <w:hideMark/>
          </w:tcPr>
          <w:p w14:paraId="21EAD07B" w14:textId="77777777" w:rsidR="00F70AC2" w:rsidRPr="00F70AC2" w:rsidRDefault="00F70AC2" w:rsidP="00F70AC2">
            <w:pPr>
              <w:spacing w:after="0" w:line="240" w:lineRule="auto"/>
              <w:rPr>
                <w:rFonts w:eastAsia="Times New Roman" w:cstheme="minorHAnsi"/>
                <w:color w:val="000000"/>
                <w:sz w:val="20"/>
                <w:szCs w:val="20"/>
                <w:lang w:eastAsia="es-MX"/>
              </w:rPr>
            </w:pPr>
            <w:r w:rsidRPr="00F70AC2">
              <w:rPr>
                <w:rFonts w:eastAsia="Times New Roman" w:cstheme="minorHAnsi"/>
                <w:color w:val="000000"/>
                <w:sz w:val="20"/>
                <w:szCs w:val="20"/>
                <w:lang w:eastAsia="es-MX"/>
              </w:rPr>
              <w:t>No procede valoración cualitativa</w:t>
            </w:r>
          </w:p>
        </w:tc>
      </w:tr>
      <w:tr w:rsidR="00F70AC2" w:rsidRPr="00F70AC2" w14:paraId="3AA55FE2" w14:textId="77777777" w:rsidTr="00F70AC2">
        <w:trPr>
          <w:trHeight w:val="97"/>
        </w:trPr>
        <w:tc>
          <w:tcPr>
            <w:tcW w:w="2881" w:type="pct"/>
            <w:tcBorders>
              <w:top w:val="nil"/>
              <w:left w:val="single" w:sz="4" w:space="0" w:color="auto"/>
              <w:bottom w:val="single" w:sz="4" w:space="0" w:color="auto"/>
              <w:right w:val="single" w:sz="4" w:space="0" w:color="auto"/>
            </w:tcBorders>
            <w:shd w:val="clear" w:color="000000" w:fill="D9D9D9"/>
            <w:vAlign w:val="center"/>
            <w:hideMark/>
          </w:tcPr>
          <w:p w14:paraId="45ED8BEE" w14:textId="77777777" w:rsidR="00F70AC2" w:rsidRPr="00F70AC2" w:rsidRDefault="00F70AC2" w:rsidP="00F70AC2">
            <w:pPr>
              <w:spacing w:after="0" w:line="240" w:lineRule="auto"/>
              <w:jc w:val="both"/>
              <w:rPr>
                <w:rFonts w:eastAsia="Times New Roman" w:cstheme="minorHAnsi"/>
                <w:color w:val="000000"/>
                <w:sz w:val="20"/>
                <w:szCs w:val="20"/>
                <w:lang w:eastAsia="es-MX"/>
              </w:rPr>
            </w:pPr>
            <w:r w:rsidRPr="00F70AC2">
              <w:rPr>
                <w:rFonts w:eastAsia="Times New Roman" w:cstheme="minorHAnsi"/>
                <w:color w:val="000000"/>
                <w:sz w:val="20"/>
                <w:szCs w:val="20"/>
                <w:lang w:eastAsia="es-MX"/>
              </w:rPr>
              <w:t>C. Eficiencia y economía operativa del programa</w:t>
            </w:r>
          </w:p>
        </w:tc>
        <w:tc>
          <w:tcPr>
            <w:tcW w:w="789" w:type="pct"/>
            <w:tcBorders>
              <w:top w:val="nil"/>
              <w:left w:val="nil"/>
              <w:bottom w:val="single" w:sz="4" w:space="0" w:color="auto"/>
              <w:right w:val="single" w:sz="4" w:space="0" w:color="auto"/>
            </w:tcBorders>
            <w:shd w:val="clear" w:color="000000" w:fill="D9D9D9"/>
            <w:vAlign w:val="center"/>
            <w:hideMark/>
          </w:tcPr>
          <w:p w14:paraId="451E0D91"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4</w:t>
            </w:r>
          </w:p>
        </w:tc>
        <w:tc>
          <w:tcPr>
            <w:tcW w:w="711" w:type="pct"/>
            <w:tcBorders>
              <w:top w:val="nil"/>
              <w:left w:val="nil"/>
              <w:bottom w:val="single" w:sz="4" w:space="0" w:color="auto"/>
              <w:right w:val="single" w:sz="4" w:space="0" w:color="auto"/>
            </w:tcBorders>
            <w:shd w:val="clear" w:color="000000" w:fill="D9D9D9"/>
            <w:vAlign w:val="center"/>
            <w:hideMark/>
          </w:tcPr>
          <w:p w14:paraId="2CFB40EE"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2</w:t>
            </w:r>
          </w:p>
        </w:tc>
        <w:tc>
          <w:tcPr>
            <w:tcW w:w="619" w:type="pct"/>
            <w:tcBorders>
              <w:top w:val="nil"/>
              <w:left w:val="nil"/>
              <w:bottom w:val="single" w:sz="4" w:space="0" w:color="auto"/>
              <w:right w:val="single" w:sz="4" w:space="0" w:color="auto"/>
            </w:tcBorders>
            <w:shd w:val="clear" w:color="000000" w:fill="D9D9D9"/>
            <w:vAlign w:val="center"/>
            <w:hideMark/>
          </w:tcPr>
          <w:p w14:paraId="3DF6A85A" w14:textId="77777777" w:rsidR="00F70AC2" w:rsidRPr="00F70AC2" w:rsidRDefault="00F70AC2" w:rsidP="00F70AC2">
            <w:pPr>
              <w:spacing w:after="0" w:line="240" w:lineRule="auto"/>
              <w:jc w:val="center"/>
              <w:rPr>
                <w:rFonts w:eastAsia="Times New Roman" w:cstheme="minorHAnsi"/>
                <w:bCs/>
                <w:color w:val="000000"/>
                <w:sz w:val="20"/>
                <w:szCs w:val="20"/>
                <w:lang w:eastAsia="es-MX"/>
              </w:rPr>
            </w:pPr>
            <w:r w:rsidRPr="00F70AC2">
              <w:rPr>
                <w:rFonts w:eastAsia="Times New Roman" w:cstheme="minorHAnsi"/>
                <w:bCs/>
                <w:color w:val="000000"/>
                <w:sz w:val="20"/>
                <w:szCs w:val="20"/>
                <w:lang w:eastAsia="es-MX"/>
              </w:rPr>
              <w:t>50%</w:t>
            </w:r>
          </w:p>
        </w:tc>
      </w:tr>
      <w:tr w:rsidR="00F70AC2" w:rsidRPr="00F70AC2" w14:paraId="297913EA" w14:textId="77777777" w:rsidTr="00F70AC2">
        <w:trPr>
          <w:trHeight w:val="130"/>
        </w:trPr>
        <w:tc>
          <w:tcPr>
            <w:tcW w:w="2881" w:type="pct"/>
            <w:tcBorders>
              <w:top w:val="nil"/>
              <w:left w:val="single" w:sz="4" w:space="0" w:color="auto"/>
              <w:bottom w:val="single" w:sz="4" w:space="0" w:color="auto"/>
              <w:right w:val="single" w:sz="4" w:space="0" w:color="auto"/>
            </w:tcBorders>
            <w:shd w:val="clear" w:color="000000" w:fill="D9D9D9"/>
            <w:vAlign w:val="center"/>
            <w:hideMark/>
          </w:tcPr>
          <w:p w14:paraId="755C3D1C" w14:textId="77777777" w:rsidR="00F70AC2" w:rsidRPr="00F70AC2" w:rsidRDefault="00F70AC2" w:rsidP="00F70AC2">
            <w:pPr>
              <w:spacing w:after="0" w:line="240" w:lineRule="auto"/>
              <w:jc w:val="both"/>
              <w:rPr>
                <w:rFonts w:eastAsia="Times New Roman" w:cstheme="minorHAnsi"/>
                <w:color w:val="000000"/>
                <w:sz w:val="20"/>
                <w:szCs w:val="20"/>
                <w:lang w:eastAsia="es-MX"/>
              </w:rPr>
            </w:pPr>
            <w:r w:rsidRPr="00F70AC2">
              <w:rPr>
                <w:rFonts w:eastAsia="Times New Roman" w:cstheme="minorHAnsi"/>
                <w:color w:val="000000"/>
                <w:sz w:val="20"/>
                <w:szCs w:val="20"/>
                <w:lang w:eastAsia="es-MX"/>
              </w:rPr>
              <w:t>D. Sistematización de la información</w:t>
            </w:r>
          </w:p>
        </w:tc>
        <w:tc>
          <w:tcPr>
            <w:tcW w:w="789" w:type="pct"/>
            <w:tcBorders>
              <w:top w:val="nil"/>
              <w:left w:val="nil"/>
              <w:bottom w:val="single" w:sz="4" w:space="0" w:color="auto"/>
              <w:right w:val="single" w:sz="4" w:space="0" w:color="auto"/>
            </w:tcBorders>
            <w:shd w:val="clear" w:color="000000" w:fill="D9D9D9"/>
            <w:vAlign w:val="center"/>
            <w:hideMark/>
          </w:tcPr>
          <w:p w14:paraId="6EA15D78"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4</w:t>
            </w:r>
          </w:p>
        </w:tc>
        <w:tc>
          <w:tcPr>
            <w:tcW w:w="711" w:type="pct"/>
            <w:tcBorders>
              <w:top w:val="nil"/>
              <w:left w:val="nil"/>
              <w:bottom w:val="single" w:sz="4" w:space="0" w:color="auto"/>
              <w:right w:val="single" w:sz="4" w:space="0" w:color="auto"/>
            </w:tcBorders>
            <w:shd w:val="clear" w:color="000000" w:fill="D9D9D9"/>
            <w:vAlign w:val="center"/>
            <w:hideMark/>
          </w:tcPr>
          <w:p w14:paraId="3F8BC000"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1</w:t>
            </w:r>
          </w:p>
        </w:tc>
        <w:tc>
          <w:tcPr>
            <w:tcW w:w="619" w:type="pct"/>
            <w:tcBorders>
              <w:top w:val="nil"/>
              <w:left w:val="nil"/>
              <w:bottom w:val="single" w:sz="4" w:space="0" w:color="auto"/>
              <w:right w:val="single" w:sz="4" w:space="0" w:color="auto"/>
            </w:tcBorders>
            <w:shd w:val="clear" w:color="000000" w:fill="D9D9D9"/>
            <w:vAlign w:val="center"/>
            <w:hideMark/>
          </w:tcPr>
          <w:p w14:paraId="6F51A021" w14:textId="77777777" w:rsidR="00F70AC2" w:rsidRPr="00F70AC2" w:rsidRDefault="00F70AC2" w:rsidP="00F70AC2">
            <w:pPr>
              <w:spacing w:after="0" w:line="240" w:lineRule="auto"/>
              <w:jc w:val="center"/>
              <w:rPr>
                <w:rFonts w:eastAsia="Times New Roman" w:cstheme="minorHAnsi"/>
                <w:bCs/>
                <w:color w:val="000000"/>
                <w:sz w:val="20"/>
                <w:szCs w:val="20"/>
                <w:lang w:eastAsia="es-MX"/>
              </w:rPr>
            </w:pPr>
            <w:r w:rsidRPr="00F70AC2">
              <w:rPr>
                <w:rFonts w:eastAsia="Times New Roman" w:cstheme="minorHAnsi"/>
                <w:bCs/>
                <w:color w:val="000000"/>
                <w:sz w:val="20"/>
                <w:szCs w:val="20"/>
                <w:lang w:eastAsia="es-MX"/>
              </w:rPr>
              <w:t>25%</w:t>
            </w:r>
          </w:p>
        </w:tc>
      </w:tr>
      <w:tr w:rsidR="00F70AC2" w:rsidRPr="00F70AC2" w14:paraId="2E8BE701" w14:textId="77777777" w:rsidTr="00F70AC2">
        <w:trPr>
          <w:trHeight w:val="303"/>
        </w:trPr>
        <w:tc>
          <w:tcPr>
            <w:tcW w:w="2881" w:type="pct"/>
            <w:tcBorders>
              <w:top w:val="nil"/>
              <w:left w:val="single" w:sz="4" w:space="0" w:color="auto"/>
              <w:bottom w:val="single" w:sz="4" w:space="0" w:color="auto"/>
              <w:right w:val="single" w:sz="4" w:space="0" w:color="auto"/>
            </w:tcBorders>
            <w:shd w:val="clear" w:color="000000" w:fill="D9D9D9"/>
            <w:vAlign w:val="center"/>
            <w:hideMark/>
          </w:tcPr>
          <w:p w14:paraId="24FDD0A6" w14:textId="77777777" w:rsidR="00F70AC2" w:rsidRPr="00F70AC2" w:rsidRDefault="00F70AC2" w:rsidP="00F70AC2">
            <w:pPr>
              <w:spacing w:after="0" w:line="240" w:lineRule="auto"/>
              <w:jc w:val="both"/>
              <w:rPr>
                <w:rFonts w:eastAsia="Times New Roman" w:cstheme="minorHAnsi"/>
                <w:color w:val="000000"/>
                <w:sz w:val="20"/>
                <w:szCs w:val="20"/>
                <w:lang w:eastAsia="es-MX"/>
              </w:rPr>
            </w:pPr>
            <w:r w:rsidRPr="00F70AC2">
              <w:rPr>
                <w:rFonts w:eastAsia="Times New Roman" w:cstheme="minorHAnsi"/>
                <w:color w:val="000000"/>
                <w:sz w:val="20"/>
                <w:szCs w:val="20"/>
                <w:lang w:eastAsia="es-MX"/>
              </w:rPr>
              <w:t>E. Cumplimiento y avance en los indicadores de gestión y productos</w:t>
            </w:r>
          </w:p>
        </w:tc>
        <w:tc>
          <w:tcPr>
            <w:tcW w:w="2119" w:type="pct"/>
            <w:gridSpan w:val="3"/>
            <w:tcBorders>
              <w:top w:val="single" w:sz="4" w:space="0" w:color="auto"/>
              <w:left w:val="nil"/>
              <w:bottom w:val="single" w:sz="4" w:space="0" w:color="auto"/>
              <w:right w:val="single" w:sz="4" w:space="0" w:color="auto"/>
            </w:tcBorders>
            <w:shd w:val="clear" w:color="000000" w:fill="D9D9D9"/>
            <w:vAlign w:val="center"/>
            <w:hideMark/>
          </w:tcPr>
          <w:p w14:paraId="383A4593" w14:textId="77777777" w:rsidR="00F70AC2" w:rsidRPr="00F70AC2" w:rsidRDefault="00F70AC2" w:rsidP="00F70AC2">
            <w:pPr>
              <w:spacing w:after="0" w:line="240" w:lineRule="auto"/>
              <w:rPr>
                <w:rFonts w:eastAsia="Times New Roman" w:cstheme="minorHAnsi"/>
                <w:color w:val="000000"/>
                <w:sz w:val="20"/>
                <w:szCs w:val="20"/>
                <w:lang w:eastAsia="es-MX"/>
              </w:rPr>
            </w:pPr>
            <w:r w:rsidRPr="00F70AC2">
              <w:rPr>
                <w:rFonts w:eastAsia="Times New Roman" w:cstheme="minorHAnsi"/>
                <w:color w:val="000000"/>
                <w:sz w:val="20"/>
                <w:szCs w:val="20"/>
                <w:lang w:eastAsia="es-MX"/>
              </w:rPr>
              <w:t>No procede valoración cualitativa</w:t>
            </w:r>
          </w:p>
        </w:tc>
      </w:tr>
      <w:tr w:rsidR="00F70AC2" w:rsidRPr="00F70AC2" w14:paraId="33098C70" w14:textId="77777777" w:rsidTr="00F70AC2">
        <w:trPr>
          <w:trHeight w:val="70"/>
        </w:trPr>
        <w:tc>
          <w:tcPr>
            <w:tcW w:w="2881" w:type="pct"/>
            <w:tcBorders>
              <w:top w:val="nil"/>
              <w:left w:val="single" w:sz="4" w:space="0" w:color="auto"/>
              <w:bottom w:val="single" w:sz="4" w:space="0" w:color="auto"/>
              <w:right w:val="single" w:sz="4" w:space="0" w:color="auto"/>
            </w:tcBorders>
            <w:shd w:val="clear" w:color="000000" w:fill="D9D9D9"/>
            <w:vAlign w:val="center"/>
            <w:hideMark/>
          </w:tcPr>
          <w:p w14:paraId="4829D998" w14:textId="77777777" w:rsidR="00F70AC2" w:rsidRPr="00F70AC2" w:rsidRDefault="00F70AC2" w:rsidP="00F70AC2">
            <w:pPr>
              <w:spacing w:after="0" w:line="240" w:lineRule="auto"/>
              <w:jc w:val="both"/>
              <w:rPr>
                <w:rFonts w:eastAsia="Times New Roman" w:cstheme="minorHAnsi"/>
                <w:color w:val="000000"/>
                <w:sz w:val="20"/>
                <w:szCs w:val="20"/>
                <w:lang w:eastAsia="es-MX"/>
              </w:rPr>
            </w:pPr>
            <w:r w:rsidRPr="00F70AC2">
              <w:rPr>
                <w:rFonts w:eastAsia="Times New Roman" w:cstheme="minorHAnsi"/>
                <w:color w:val="000000"/>
                <w:sz w:val="20"/>
                <w:szCs w:val="20"/>
                <w:lang w:eastAsia="es-MX"/>
              </w:rPr>
              <w:t>F. Rendición de cuentas y transparencia</w:t>
            </w:r>
          </w:p>
        </w:tc>
        <w:tc>
          <w:tcPr>
            <w:tcW w:w="789" w:type="pct"/>
            <w:tcBorders>
              <w:top w:val="nil"/>
              <w:left w:val="nil"/>
              <w:bottom w:val="single" w:sz="4" w:space="0" w:color="auto"/>
              <w:right w:val="single" w:sz="4" w:space="0" w:color="auto"/>
            </w:tcBorders>
            <w:shd w:val="clear" w:color="000000" w:fill="D9D9D9"/>
            <w:vAlign w:val="center"/>
            <w:hideMark/>
          </w:tcPr>
          <w:p w14:paraId="088D79F5"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4</w:t>
            </w:r>
          </w:p>
        </w:tc>
        <w:tc>
          <w:tcPr>
            <w:tcW w:w="711" w:type="pct"/>
            <w:tcBorders>
              <w:top w:val="nil"/>
              <w:left w:val="nil"/>
              <w:bottom w:val="single" w:sz="4" w:space="0" w:color="auto"/>
              <w:right w:val="single" w:sz="4" w:space="0" w:color="auto"/>
            </w:tcBorders>
            <w:shd w:val="clear" w:color="000000" w:fill="D9D9D9"/>
            <w:vAlign w:val="center"/>
            <w:hideMark/>
          </w:tcPr>
          <w:p w14:paraId="368C6866" w14:textId="77777777" w:rsidR="00F70AC2" w:rsidRPr="00F70AC2" w:rsidRDefault="00F70AC2" w:rsidP="00F70AC2">
            <w:pPr>
              <w:spacing w:after="0" w:line="240" w:lineRule="auto"/>
              <w:jc w:val="center"/>
              <w:rPr>
                <w:rFonts w:eastAsia="Times New Roman" w:cstheme="minorHAnsi"/>
                <w:color w:val="000000"/>
                <w:sz w:val="20"/>
                <w:szCs w:val="20"/>
                <w:lang w:eastAsia="es-MX"/>
              </w:rPr>
            </w:pPr>
            <w:r w:rsidRPr="00F70AC2">
              <w:rPr>
                <w:rFonts w:eastAsia="Times New Roman" w:cstheme="minorHAnsi"/>
                <w:color w:val="000000"/>
                <w:sz w:val="20"/>
                <w:szCs w:val="20"/>
                <w:lang w:eastAsia="es-MX"/>
              </w:rPr>
              <w:t>2</w:t>
            </w:r>
          </w:p>
        </w:tc>
        <w:tc>
          <w:tcPr>
            <w:tcW w:w="619" w:type="pct"/>
            <w:tcBorders>
              <w:top w:val="nil"/>
              <w:left w:val="nil"/>
              <w:bottom w:val="single" w:sz="4" w:space="0" w:color="auto"/>
              <w:right w:val="single" w:sz="4" w:space="0" w:color="auto"/>
            </w:tcBorders>
            <w:shd w:val="clear" w:color="000000" w:fill="D9D9D9"/>
            <w:vAlign w:val="center"/>
            <w:hideMark/>
          </w:tcPr>
          <w:p w14:paraId="438DD3F7" w14:textId="77777777" w:rsidR="00F70AC2" w:rsidRPr="00F70AC2" w:rsidRDefault="00F70AC2" w:rsidP="00F70AC2">
            <w:pPr>
              <w:spacing w:after="0" w:line="240" w:lineRule="auto"/>
              <w:jc w:val="center"/>
              <w:rPr>
                <w:rFonts w:eastAsia="Times New Roman" w:cstheme="minorHAnsi"/>
                <w:bCs/>
                <w:color w:val="000000"/>
                <w:sz w:val="20"/>
                <w:szCs w:val="20"/>
                <w:lang w:eastAsia="es-MX"/>
              </w:rPr>
            </w:pPr>
            <w:r w:rsidRPr="00F70AC2">
              <w:rPr>
                <w:rFonts w:eastAsia="Times New Roman" w:cstheme="minorHAnsi"/>
                <w:bCs/>
                <w:color w:val="000000"/>
                <w:sz w:val="20"/>
                <w:szCs w:val="20"/>
                <w:lang w:eastAsia="es-MX"/>
              </w:rPr>
              <w:t>50%</w:t>
            </w:r>
          </w:p>
        </w:tc>
      </w:tr>
      <w:tr w:rsidR="00F70AC2" w:rsidRPr="00F70AC2" w14:paraId="79B73936" w14:textId="77777777" w:rsidTr="00F70AC2">
        <w:trPr>
          <w:trHeight w:val="399"/>
        </w:trPr>
        <w:tc>
          <w:tcPr>
            <w:tcW w:w="2881" w:type="pct"/>
            <w:tcBorders>
              <w:top w:val="nil"/>
              <w:left w:val="single" w:sz="4" w:space="0" w:color="auto"/>
              <w:bottom w:val="single" w:sz="4" w:space="0" w:color="auto"/>
              <w:right w:val="single" w:sz="4" w:space="0" w:color="auto"/>
            </w:tcBorders>
            <w:shd w:val="clear" w:color="000000" w:fill="F2F2F2"/>
            <w:vAlign w:val="center"/>
            <w:hideMark/>
          </w:tcPr>
          <w:p w14:paraId="105D7923"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Percepción de la Población Atendida</w:t>
            </w:r>
          </w:p>
        </w:tc>
        <w:tc>
          <w:tcPr>
            <w:tcW w:w="789" w:type="pct"/>
            <w:tcBorders>
              <w:top w:val="nil"/>
              <w:left w:val="nil"/>
              <w:bottom w:val="single" w:sz="4" w:space="0" w:color="auto"/>
              <w:right w:val="single" w:sz="4" w:space="0" w:color="auto"/>
            </w:tcBorders>
            <w:shd w:val="clear" w:color="000000" w:fill="F2F2F2"/>
            <w:vAlign w:val="center"/>
            <w:hideMark/>
          </w:tcPr>
          <w:p w14:paraId="6CFCDC06"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4</w:t>
            </w:r>
          </w:p>
        </w:tc>
        <w:tc>
          <w:tcPr>
            <w:tcW w:w="711" w:type="pct"/>
            <w:tcBorders>
              <w:top w:val="nil"/>
              <w:left w:val="nil"/>
              <w:bottom w:val="single" w:sz="4" w:space="0" w:color="auto"/>
              <w:right w:val="single" w:sz="4" w:space="0" w:color="auto"/>
            </w:tcBorders>
            <w:shd w:val="clear" w:color="000000" w:fill="F2F2F2"/>
            <w:vAlign w:val="center"/>
            <w:hideMark/>
          </w:tcPr>
          <w:p w14:paraId="3B91C7BE"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2</w:t>
            </w:r>
          </w:p>
        </w:tc>
        <w:tc>
          <w:tcPr>
            <w:tcW w:w="619" w:type="pct"/>
            <w:tcBorders>
              <w:top w:val="nil"/>
              <w:left w:val="nil"/>
              <w:bottom w:val="single" w:sz="4" w:space="0" w:color="auto"/>
              <w:right w:val="single" w:sz="4" w:space="0" w:color="auto"/>
            </w:tcBorders>
            <w:shd w:val="clear" w:color="000000" w:fill="F2F2F2"/>
            <w:vAlign w:val="center"/>
            <w:hideMark/>
          </w:tcPr>
          <w:p w14:paraId="62A89DB6"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50%</w:t>
            </w:r>
          </w:p>
        </w:tc>
      </w:tr>
      <w:tr w:rsidR="00F70AC2" w:rsidRPr="00F70AC2" w14:paraId="7B879276" w14:textId="77777777" w:rsidTr="00F70AC2">
        <w:trPr>
          <w:trHeight w:val="418"/>
        </w:trPr>
        <w:tc>
          <w:tcPr>
            <w:tcW w:w="2881" w:type="pct"/>
            <w:tcBorders>
              <w:top w:val="nil"/>
              <w:left w:val="single" w:sz="4" w:space="0" w:color="auto"/>
              <w:bottom w:val="single" w:sz="4" w:space="0" w:color="auto"/>
              <w:right w:val="single" w:sz="4" w:space="0" w:color="auto"/>
            </w:tcBorders>
            <w:shd w:val="clear" w:color="000000" w:fill="D9D9D9"/>
            <w:vAlign w:val="center"/>
            <w:hideMark/>
          </w:tcPr>
          <w:p w14:paraId="051AD49E"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Medición de Resultados</w:t>
            </w:r>
          </w:p>
        </w:tc>
        <w:tc>
          <w:tcPr>
            <w:tcW w:w="789" w:type="pct"/>
            <w:tcBorders>
              <w:top w:val="nil"/>
              <w:left w:val="nil"/>
              <w:bottom w:val="single" w:sz="4" w:space="0" w:color="auto"/>
              <w:right w:val="single" w:sz="4" w:space="0" w:color="auto"/>
            </w:tcBorders>
            <w:shd w:val="clear" w:color="000000" w:fill="D9D9D9"/>
            <w:vAlign w:val="center"/>
            <w:hideMark/>
          </w:tcPr>
          <w:p w14:paraId="715B5895"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20</w:t>
            </w:r>
          </w:p>
        </w:tc>
        <w:tc>
          <w:tcPr>
            <w:tcW w:w="711" w:type="pct"/>
            <w:tcBorders>
              <w:top w:val="nil"/>
              <w:left w:val="nil"/>
              <w:bottom w:val="single" w:sz="4" w:space="0" w:color="auto"/>
              <w:right w:val="single" w:sz="4" w:space="0" w:color="auto"/>
            </w:tcBorders>
            <w:shd w:val="clear" w:color="000000" w:fill="D9D9D9"/>
            <w:vAlign w:val="center"/>
            <w:hideMark/>
          </w:tcPr>
          <w:p w14:paraId="58624C41"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5</w:t>
            </w:r>
          </w:p>
        </w:tc>
        <w:tc>
          <w:tcPr>
            <w:tcW w:w="619" w:type="pct"/>
            <w:tcBorders>
              <w:top w:val="nil"/>
              <w:left w:val="nil"/>
              <w:bottom w:val="single" w:sz="4" w:space="0" w:color="auto"/>
              <w:right w:val="single" w:sz="4" w:space="0" w:color="auto"/>
            </w:tcBorders>
            <w:shd w:val="clear" w:color="000000" w:fill="D9D9D9"/>
            <w:vAlign w:val="center"/>
            <w:hideMark/>
          </w:tcPr>
          <w:p w14:paraId="4E144AD4" w14:textId="77777777" w:rsidR="00F70AC2" w:rsidRPr="00F70AC2" w:rsidRDefault="00F70AC2" w:rsidP="00F70AC2">
            <w:pPr>
              <w:spacing w:after="0" w:line="240" w:lineRule="auto"/>
              <w:jc w:val="center"/>
              <w:rPr>
                <w:rFonts w:eastAsia="Times New Roman" w:cstheme="minorHAnsi"/>
                <w:b/>
                <w:bCs/>
                <w:color w:val="000000"/>
                <w:sz w:val="20"/>
                <w:szCs w:val="20"/>
                <w:lang w:eastAsia="es-MX"/>
              </w:rPr>
            </w:pPr>
            <w:r w:rsidRPr="00F70AC2">
              <w:rPr>
                <w:rFonts w:eastAsia="Times New Roman" w:cstheme="minorHAnsi"/>
                <w:b/>
                <w:bCs/>
                <w:color w:val="000000"/>
                <w:sz w:val="20"/>
                <w:szCs w:val="20"/>
                <w:lang w:eastAsia="es-MX"/>
              </w:rPr>
              <w:t>25%</w:t>
            </w:r>
          </w:p>
        </w:tc>
      </w:tr>
      <w:tr w:rsidR="00F70AC2" w:rsidRPr="00F70AC2" w14:paraId="6574E5F8" w14:textId="77777777" w:rsidTr="00F70AC2">
        <w:trPr>
          <w:trHeight w:val="425"/>
        </w:trPr>
        <w:tc>
          <w:tcPr>
            <w:tcW w:w="2881" w:type="pct"/>
            <w:tcBorders>
              <w:top w:val="nil"/>
              <w:left w:val="single" w:sz="4" w:space="0" w:color="auto"/>
              <w:bottom w:val="single" w:sz="4" w:space="0" w:color="auto"/>
              <w:right w:val="single" w:sz="4" w:space="0" w:color="auto"/>
            </w:tcBorders>
            <w:shd w:val="clear" w:color="000000" w:fill="0E4E7A"/>
            <w:vAlign w:val="center"/>
            <w:hideMark/>
          </w:tcPr>
          <w:p w14:paraId="1B0AA4D7" w14:textId="77777777" w:rsidR="00F70AC2" w:rsidRPr="00F70AC2" w:rsidRDefault="00F70AC2" w:rsidP="00F70AC2">
            <w:pPr>
              <w:spacing w:after="0" w:line="240" w:lineRule="auto"/>
              <w:jc w:val="center"/>
              <w:rPr>
                <w:rFonts w:eastAsia="Times New Roman" w:cstheme="minorHAnsi"/>
                <w:b/>
                <w:bCs/>
                <w:color w:val="FFFFFF"/>
                <w:sz w:val="20"/>
                <w:szCs w:val="20"/>
                <w:lang w:eastAsia="es-MX"/>
              </w:rPr>
            </w:pPr>
            <w:r w:rsidRPr="00F70AC2">
              <w:rPr>
                <w:rFonts w:eastAsia="Times New Roman" w:cstheme="minorHAnsi"/>
                <w:b/>
                <w:bCs/>
                <w:color w:val="FFFFFF"/>
                <w:sz w:val="20"/>
                <w:szCs w:val="20"/>
                <w:lang w:eastAsia="es-MX"/>
              </w:rPr>
              <w:t>TOTAL</w:t>
            </w:r>
          </w:p>
        </w:tc>
        <w:tc>
          <w:tcPr>
            <w:tcW w:w="789" w:type="pct"/>
            <w:tcBorders>
              <w:top w:val="nil"/>
              <w:left w:val="nil"/>
              <w:bottom w:val="single" w:sz="4" w:space="0" w:color="auto"/>
              <w:right w:val="single" w:sz="4" w:space="0" w:color="auto"/>
            </w:tcBorders>
            <w:shd w:val="clear" w:color="000000" w:fill="0E4E7A"/>
            <w:vAlign w:val="center"/>
            <w:hideMark/>
          </w:tcPr>
          <w:p w14:paraId="02629C35" w14:textId="77777777" w:rsidR="00F70AC2" w:rsidRPr="00F70AC2" w:rsidRDefault="00F70AC2" w:rsidP="00F70AC2">
            <w:pPr>
              <w:spacing w:after="0" w:line="240" w:lineRule="auto"/>
              <w:jc w:val="center"/>
              <w:rPr>
                <w:rFonts w:eastAsia="Times New Roman" w:cstheme="minorHAnsi"/>
                <w:b/>
                <w:bCs/>
                <w:color w:val="FFFFFF"/>
                <w:sz w:val="20"/>
                <w:szCs w:val="20"/>
                <w:lang w:eastAsia="es-MX"/>
              </w:rPr>
            </w:pPr>
            <w:r w:rsidRPr="00F70AC2">
              <w:rPr>
                <w:rFonts w:eastAsia="Times New Roman" w:cstheme="minorHAnsi"/>
                <w:b/>
                <w:bCs/>
                <w:color w:val="FFFFFF"/>
                <w:sz w:val="20"/>
                <w:szCs w:val="20"/>
                <w:lang w:eastAsia="es-MX"/>
              </w:rPr>
              <w:t>136</w:t>
            </w:r>
          </w:p>
        </w:tc>
        <w:tc>
          <w:tcPr>
            <w:tcW w:w="711" w:type="pct"/>
            <w:tcBorders>
              <w:top w:val="nil"/>
              <w:left w:val="nil"/>
              <w:bottom w:val="single" w:sz="4" w:space="0" w:color="auto"/>
              <w:right w:val="single" w:sz="4" w:space="0" w:color="auto"/>
            </w:tcBorders>
            <w:shd w:val="clear" w:color="000000" w:fill="0E4E7A"/>
            <w:vAlign w:val="center"/>
            <w:hideMark/>
          </w:tcPr>
          <w:p w14:paraId="1C0F5767" w14:textId="77777777" w:rsidR="00F70AC2" w:rsidRPr="00F70AC2" w:rsidRDefault="00F70AC2" w:rsidP="00F70AC2">
            <w:pPr>
              <w:spacing w:after="0" w:line="240" w:lineRule="auto"/>
              <w:jc w:val="center"/>
              <w:rPr>
                <w:rFonts w:eastAsia="Times New Roman" w:cstheme="minorHAnsi"/>
                <w:b/>
                <w:bCs/>
                <w:color w:val="FFFFFF"/>
                <w:sz w:val="20"/>
                <w:szCs w:val="20"/>
                <w:lang w:eastAsia="es-MX"/>
              </w:rPr>
            </w:pPr>
            <w:r w:rsidRPr="00F70AC2">
              <w:rPr>
                <w:rFonts w:eastAsia="Times New Roman" w:cstheme="minorHAnsi"/>
                <w:b/>
                <w:bCs/>
                <w:color w:val="FFFFFF"/>
                <w:sz w:val="20"/>
                <w:szCs w:val="20"/>
                <w:lang w:eastAsia="es-MX"/>
              </w:rPr>
              <w:t>53</w:t>
            </w:r>
          </w:p>
        </w:tc>
        <w:tc>
          <w:tcPr>
            <w:tcW w:w="619" w:type="pct"/>
            <w:tcBorders>
              <w:top w:val="nil"/>
              <w:left w:val="nil"/>
              <w:bottom w:val="single" w:sz="4" w:space="0" w:color="auto"/>
              <w:right w:val="single" w:sz="4" w:space="0" w:color="auto"/>
            </w:tcBorders>
            <w:shd w:val="clear" w:color="000000" w:fill="0E4E7A"/>
            <w:vAlign w:val="center"/>
            <w:hideMark/>
          </w:tcPr>
          <w:p w14:paraId="1398BC1A" w14:textId="77777777" w:rsidR="00F70AC2" w:rsidRPr="00F70AC2" w:rsidRDefault="00F70AC2" w:rsidP="00F70AC2">
            <w:pPr>
              <w:spacing w:after="0" w:line="240" w:lineRule="auto"/>
              <w:jc w:val="center"/>
              <w:rPr>
                <w:rFonts w:eastAsia="Times New Roman" w:cstheme="minorHAnsi"/>
                <w:b/>
                <w:bCs/>
                <w:color w:val="FFFFFF"/>
                <w:sz w:val="20"/>
                <w:szCs w:val="20"/>
                <w:lang w:eastAsia="es-MX"/>
              </w:rPr>
            </w:pPr>
            <w:r w:rsidRPr="00F70AC2">
              <w:rPr>
                <w:rFonts w:eastAsia="Times New Roman" w:cstheme="minorHAnsi"/>
                <w:b/>
                <w:bCs/>
                <w:color w:val="FFFFFF"/>
                <w:sz w:val="20"/>
                <w:szCs w:val="20"/>
                <w:lang w:eastAsia="es-MX"/>
              </w:rPr>
              <w:t>39%</w:t>
            </w:r>
          </w:p>
        </w:tc>
      </w:tr>
    </w:tbl>
    <w:p w14:paraId="50A74198" w14:textId="77777777" w:rsidR="006E0EC1" w:rsidRPr="007712CD" w:rsidRDefault="006E0EC1" w:rsidP="0072466A">
      <w:pPr>
        <w:spacing w:after="240"/>
        <w:jc w:val="both"/>
        <w:rPr>
          <w:rFonts w:ascii="Century Gothic" w:hAnsi="Century Gothic"/>
          <w:sz w:val="6"/>
          <w:szCs w:val="24"/>
        </w:rPr>
      </w:pPr>
    </w:p>
    <w:p w14:paraId="3B8C50A4" w14:textId="77777777" w:rsidR="00FD2D8C" w:rsidRPr="00FD2D8C" w:rsidRDefault="007338C1" w:rsidP="00503EFB">
      <w:pPr>
        <w:spacing w:after="240"/>
        <w:jc w:val="both"/>
        <w:rPr>
          <w:rFonts w:ascii="Century Gothic" w:hAnsi="Century Gothic"/>
          <w:sz w:val="24"/>
          <w:szCs w:val="24"/>
        </w:rPr>
      </w:pPr>
      <w:r>
        <w:rPr>
          <w:rFonts w:ascii="Century Gothic" w:hAnsi="Century Gothic"/>
          <w:sz w:val="24"/>
          <w:szCs w:val="24"/>
        </w:rPr>
        <w:t>Como se observa el apartado de mayor</w:t>
      </w:r>
      <w:r w:rsidRPr="00FD2D8C">
        <w:rPr>
          <w:rFonts w:ascii="Century Gothic" w:hAnsi="Century Gothic"/>
          <w:sz w:val="24"/>
          <w:szCs w:val="24"/>
        </w:rPr>
        <w:t xml:space="preserve"> puntaje fue</w:t>
      </w:r>
      <w:r>
        <w:rPr>
          <w:rFonts w:ascii="Century Gothic" w:hAnsi="Century Gothic"/>
          <w:sz w:val="24"/>
          <w:szCs w:val="24"/>
        </w:rPr>
        <w:t xml:space="preserve"> el de “Diseño”, esto porque desde el ámbito normativo se cuenta con elementos que datan de la obligación e importancia del desarrollo de infraestructura en el estado. </w:t>
      </w:r>
      <w:r>
        <w:rPr>
          <w:rFonts w:ascii="Century Gothic" w:hAnsi="Century Gothic"/>
          <w:sz w:val="24"/>
          <w:szCs w:val="24"/>
        </w:rPr>
        <w:lastRenderedPageBreak/>
        <w:t>De igual forma el programa contribuye al logro de los objetivos de política pública</w:t>
      </w:r>
    </w:p>
    <w:p w14:paraId="10FE770D" w14:textId="77777777" w:rsidR="00125D73" w:rsidRDefault="00125D73" w:rsidP="00503EFB">
      <w:pPr>
        <w:spacing w:after="240"/>
        <w:jc w:val="both"/>
        <w:rPr>
          <w:rFonts w:ascii="Century Gothic" w:hAnsi="Century Gothic"/>
          <w:sz w:val="24"/>
          <w:szCs w:val="24"/>
        </w:rPr>
      </w:pPr>
      <w:r w:rsidRPr="00FD2D8C">
        <w:rPr>
          <w:rFonts w:ascii="Century Gothic" w:hAnsi="Century Gothic"/>
          <w:sz w:val="24"/>
          <w:szCs w:val="24"/>
        </w:rPr>
        <w:t>Le sigue</w:t>
      </w:r>
      <w:r>
        <w:rPr>
          <w:rFonts w:ascii="Century Gothic" w:hAnsi="Century Gothic"/>
          <w:sz w:val="24"/>
          <w:szCs w:val="24"/>
        </w:rPr>
        <w:t xml:space="preserve"> el apartado de “</w:t>
      </w:r>
      <w:r w:rsidRPr="006A55F8">
        <w:rPr>
          <w:rFonts w:ascii="Century Gothic" w:hAnsi="Century Gothic"/>
          <w:sz w:val="24"/>
          <w:szCs w:val="24"/>
        </w:rPr>
        <w:t>Percepción de la Población Atendida”</w:t>
      </w:r>
      <w:r>
        <w:rPr>
          <w:rFonts w:ascii="Century Gothic" w:hAnsi="Century Gothic"/>
          <w:sz w:val="24"/>
          <w:szCs w:val="24"/>
        </w:rPr>
        <w:t xml:space="preserve">, al obtener dos puntos de los cuatro posibles, esto en base que aunque la SEIDUR directamente no tenga </w:t>
      </w:r>
      <w:r w:rsidRPr="00225B9D">
        <w:rPr>
          <w:rFonts w:ascii="Century Gothic" w:hAnsi="Century Gothic"/>
          <w:sz w:val="24"/>
          <w:szCs w:val="24"/>
        </w:rPr>
        <w:t>ningún instrumento que permita medir el grado de satisfacción de la población atendida</w:t>
      </w:r>
      <w:r>
        <w:rPr>
          <w:rFonts w:ascii="Century Gothic" w:hAnsi="Century Gothic"/>
          <w:sz w:val="24"/>
          <w:szCs w:val="24"/>
        </w:rPr>
        <w:t xml:space="preserve">, a nivel estatal por medio del </w:t>
      </w:r>
      <w:r w:rsidRPr="006A55F8">
        <w:rPr>
          <w:rFonts w:ascii="Century Gothic" w:hAnsi="Century Gothic"/>
          <w:sz w:val="24"/>
          <w:szCs w:val="24"/>
        </w:rPr>
        <w:t>Consejo De Participación Social del Estado de Colima</w:t>
      </w:r>
      <w:r>
        <w:rPr>
          <w:rFonts w:ascii="Century Gothic" w:hAnsi="Century Gothic"/>
          <w:sz w:val="24"/>
          <w:szCs w:val="24"/>
        </w:rPr>
        <w:t xml:space="preserve"> se ha realizado un estudio por medio de encuestas a la población que permitió conocer la calificación en algunos servicios que ofrece el estado. </w:t>
      </w:r>
    </w:p>
    <w:p w14:paraId="0D29EE8A" w14:textId="77777777" w:rsidR="00503EFB" w:rsidRDefault="00503EFB" w:rsidP="00503EFB">
      <w:pPr>
        <w:spacing w:after="240"/>
        <w:jc w:val="both"/>
        <w:rPr>
          <w:rFonts w:ascii="Century Gothic" w:hAnsi="Century Gothic"/>
          <w:sz w:val="24"/>
        </w:rPr>
      </w:pPr>
      <w:r>
        <w:rPr>
          <w:rFonts w:ascii="Century Gothic" w:hAnsi="Century Gothic"/>
          <w:sz w:val="24"/>
          <w:szCs w:val="24"/>
        </w:rPr>
        <w:t xml:space="preserve">En esta orden, continua el apartado de “Operación”, con 20 de los 48 puntos posibles, básicamente porque se cuenta </w:t>
      </w:r>
      <w:r>
        <w:rPr>
          <w:rFonts w:ascii="Century Gothic" w:hAnsi="Century Gothic"/>
          <w:sz w:val="24"/>
        </w:rPr>
        <w:t>con un “</w:t>
      </w:r>
      <w:r w:rsidRPr="006A55F8">
        <w:rPr>
          <w:rFonts w:ascii="Century Gothic" w:hAnsi="Century Gothic"/>
          <w:sz w:val="24"/>
        </w:rPr>
        <w:t>Procedimiento de Ejecución de Obra Contratada</w:t>
      </w:r>
      <w:r w:rsidRPr="0019188E">
        <w:rPr>
          <w:rFonts w:ascii="Century Gothic" w:hAnsi="Century Gothic"/>
          <w:sz w:val="24"/>
        </w:rPr>
        <w:t>”</w:t>
      </w:r>
      <w:r>
        <w:rPr>
          <w:rFonts w:ascii="Century Gothic" w:hAnsi="Century Gothic"/>
          <w:sz w:val="24"/>
        </w:rPr>
        <w:t>, además con certificación ISO 9001, donde se establecen los procesos que se deben llevar para generar obra.</w:t>
      </w:r>
    </w:p>
    <w:p w14:paraId="1CB0DC2F" w14:textId="77777777" w:rsidR="00503EFB" w:rsidRPr="00FD2D8C" w:rsidRDefault="00503EFB" w:rsidP="00503EFB">
      <w:pPr>
        <w:spacing w:after="240"/>
        <w:jc w:val="both"/>
        <w:rPr>
          <w:rFonts w:ascii="Century Gothic" w:hAnsi="Century Gothic"/>
          <w:sz w:val="24"/>
          <w:szCs w:val="24"/>
        </w:rPr>
      </w:pPr>
      <w:r>
        <w:rPr>
          <w:rFonts w:ascii="Century Gothic" w:hAnsi="Century Gothic"/>
          <w:sz w:val="24"/>
        </w:rPr>
        <w:t>Los apartados de “Medición de resultados”, “Cobertura y focalización” y “Planeación y orientación a resultados” son los de menor puntuación, esto básicamente porque no se cuenta con todos los elementos requeridos en la evaluación, como en el caso particular de medición de resultados que gran parte se centra en evaluaciones de impacto al programa.</w:t>
      </w:r>
    </w:p>
    <w:p w14:paraId="47FBA574" w14:textId="77777777" w:rsidR="00FD2D8C" w:rsidRPr="00696D7B" w:rsidRDefault="00FD2D8C" w:rsidP="00503EFB">
      <w:pPr>
        <w:autoSpaceDE w:val="0"/>
        <w:autoSpaceDN w:val="0"/>
        <w:adjustRightInd w:val="0"/>
        <w:spacing w:after="240"/>
        <w:jc w:val="both"/>
        <w:rPr>
          <w:rFonts w:ascii="Century Gothic" w:eastAsiaTheme="majorEastAsia" w:hAnsi="Century Gothic" w:cstheme="majorBidi"/>
          <w:sz w:val="24"/>
          <w:szCs w:val="32"/>
        </w:rPr>
      </w:pPr>
      <w:r w:rsidRPr="00FD2D8C">
        <w:rPr>
          <w:rFonts w:ascii="Century Gothic" w:eastAsiaTheme="majorEastAsia" w:hAnsi="Century Gothic" w:cstheme="majorBidi"/>
          <w:sz w:val="24"/>
          <w:szCs w:val="24"/>
        </w:rPr>
        <w:t>A pesar de lo anterior, esta valoración no debe verse en una lógica de escalas decimales, sino como una semaforización que indica los puntos donde se debe enfocar</w:t>
      </w:r>
      <w:r w:rsidRPr="00696D7B">
        <w:rPr>
          <w:rFonts w:ascii="Century Gothic" w:eastAsiaTheme="majorEastAsia" w:hAnsi="Century Gothic" w:cstheme="majorBidi"/>
          <w:sz w:val="24"/>
          <w:szCs w:val="32"/>
        </w:rPr>
        <w:t xml:space="preserve"> una atención especial para el mejoramiento de la operación del programa. </w:t>
      </w:r>
    </w:p>
    <w:p w14:paraId="1C073DB1" w14:textId="77777777" w:rsidR="00BC7972" w:rsidRPr="00826B1E" w:rsidRDefault="00FD2D8C" w:rsidP="00503EFB">
      <w:pPr>
        <w:overflowPunct w:val="0"/>
        <w:autoSpaceDE w:val="0"/>
        <w:autoSpaceDN w:val="0"/>
        <w:adjustRightInd w:val="0"/>
        <w:spacing w:after="240"/>
        <w:jc w:val="both"/>
        <w:textAlignment w:val="baseline"/>
        <w:rPr>
          <w:rFonts w:ascii="Century Gothic" w:hAnsi="Century Gothic" w:cs="Arial"/>
          <w:color w:val="A6A6A6" w:themeColor="background1" w:themeShade="A6"/>
          <w:sz w:val="24"/>
        </w:rPr>
      </w:pPr>
      <w:r w:rsidRPr="00696D7B">
        <w:rPr>
          <w:rFonts w:ascii="Century Gothic" w:eastAsiaTheme="majorEastAsia" w:hAnsi="Century Gothic" w:cstheme="majorBidi"/>
          <w:sz w:val="24"/>
          <w:szCs w:val="32"/>
        </w:rPr>
        <w:t xml:space="preserve">A continuación, se describen los principales hallazgos </w:t>
      </w:r>
      <w:r w:rsidR="00503EFB">
        <w:rPr>
          <w:rFonts w:ascii="Century Gothic" w:eastAsiaTheme="majorEastAsia" w:hAnsi="Century Gothic" w:cstheme="majorBidi"/>
          <w:sz w:val="24"/>
          <w:szCs w:val="32"/>
        </w:rPr>
        <w:t xml:space="preserve">de cada uno de estos apartados, </w:t>
      </w:r>
      <w:r w:rsidRPr="00696D7B">
        <w:rPr>
          <w:rFonts w:ascii="Century Gothic" w:eastAsiaTheme="majorEastAsia" w:hAnsi="Century Gothic" w:cstheme="majorBidi"/>
          <w:sz w:val="24"/>
          <w:szCs w:val="32"/>
        </w:rPr>
        <w:t>tras un análisis detallado de los elemen</w:t>
      </w:r>
      <w:r>
        <w:rPr>
          <w:rFonts w:ascii="Century Gothic" w:eastAsiaTheme="majorEastAsia" w:hAnsi="Century Gothic" w:cstheme="majorBidi"/>
          <w:sz w:val="24"/>
          <w:szCs w:val="32"/>
        </w:rPr>
        <w:t>tos del Programa Presupuestario.</w:t>
      </w:r>
    </w:p>
    <w:p w14:paraId="5CD66E04" w14:textId="77777777" w:rsidR="00FE15B5" w:rsidRDefault="00FE15B5">
      <w:r>
        <w:br w:type="page"/>
      </w:r>
    </w:p>
    <w:p w14:paraId="29476A91" w14:textId="77777777" w:rsidR="004F24E8" w:rsidRPr="00A5207C" w:rsidRDefault="00A5207C" w:rsidP="00A5207C">
      <w:pPr>
        <w:pStyle w:val="Ttulo1"/>
        <w:rPr>
          <w:rFonts w:ascii="Century Gothic" w:hAnsi="Century Gothic"/>
          <w:b/>
          <w:color w:val="0E4E7A"/>
        </w:rPr>
      </w:pPr>
      <w:bookmarkStart w:id="10" w:name="_Toc505364421"/>
      <w:bookmarkStart w:id="11" w:name="_Toc511859767"/>
      <w:r w:rsidRPr="00A5207C">
        <w:rPr>
          <w:rFonts w:ascii="Century Gothic" w:hAnsi="Century Gothic"/>
          <w:b/>
          <w:color w:val="0E4E7A"/>
        </w:rPr>
        <w:lastRenderedPageBreak/>
        <w:t>2.</w:t>
      </w:r>
      <w:r w:rsidR="008D34E8">
        <w:rPr>
          <w:rFonts w:ascii="Century Gothic" w:hAnsi="Century Gothic"/>
          <w:b/>
          <w:color w:val="0E4E7A"/>
        </w:rPr>
        <w:t>1</w:t>
      </w:r>
      <w:r w:rsidR="0031424F">
        <w:rPr>
          <w:rFonts w:ascii="Century Gothic" w:hAnsi="Century Gothic"/>
          <w:b/>
          <w:color w:val="0E4E7A"/>
        </w:rPr>
        <w:t xml:space="preserve"> </w:t>
      </w:r>
      <w:r w:rsidR="00122F31" w:rsidRPr="00A5207C">
        <w:rPr>
          <w:rFonts w:ascii="Century Gothic" w:hAnsi="Century Gothic"/>
          <w:b/>
          <w:color w:val="0E4E7A"/>
        </w:rPr>
        <w:t>D</w:t>
      </w:r>
      <w:bookmarkEnd w:id="10"/>
      <w:r w:rsidR="0031424F">
        <w:rPr>
          <w:rFonts w:ascii="Century Gothic" w:hAnsi="Century Gothic"/>
          <w:b/>
          <w:color w:val="0E4E7A"/>
        </w:rPr>
        <w:t>iseño</w:t>
      </w:r>
      <w:bookmarkEnd w:id="11"/>
    </w:p>
    <w:p w14:paraId="33D011B8" w14:textId="77777777" w:rsidR="004F24E8" w:rsidRPr="00252B54" w:rsidRDefault="004F24E8" w:rsidP="00282C90">
      <w:pPr>
        <w:pStyle w:val="Ttulo2"/>
        <w:spacing w:before="0" w:after="240"/>
        <w:ind w:left="284"/>
        <w:jc w:val="both"/>
        <w:rPr>
          <w:rFonts w:ascii="Century Gothic" w:hAnsi="Century Gothic"/>
          <w:color w:val="0E4E7A"/>
          <w:sz w:val="28"/>
        </w:rPr>
      </w:pPr>
      <w:bookmarkStart w:id="12" w:name="_Toc505364422"/>
      <w:bookmarkStart w:id="13" w:name="_Toc511859768"/>
      <w:r w:rsidRPr="00252B54">
        <w:rPr>
          <w:rFonts w:ascii="Century Gothic" w:hAnsi="Century Gothic"/>
          <w:color w:val="0E4E7A"/>
          <w:sz w:val="28"/>
        </w:rPr>
        <w:t>2.1.</w:t>
      </w:r>
      <w:r w:rsidR="008D34E8" w:rsidRPr="00252B54">
        <w:rPr>
          <w:rFonts w:ascii="Century Gothic" w:hAnsi="Century Gothic"/>
          <w:color w:val="0E4E7A"/>
          <w:sz w:val="28"/>
        </w:rPr>
        <w:t>1</w:t>
      </w:r>
      <w:r w:rsidRPr="00252B54">
        <w:rPr>
          <w:rFonts w:ascii="Century Gothic" w:hAnsi="Century Gothic"/>
          <w:color w:val="0E4E7A"/>
          <w:sz w:val="28"/>
        </w:rPr>
        <w:t xml:space="preserve"> Análisis de la justificación de la creación y del diseño del programa.</w:t>
      </w:r>
      <w:bookmarkEnd w:id="12"/>
      <w:bookmarkEnd w:id="13"/>
    </w:p>
    <w:p w14:paraId="50449FE7" w14:textId="77777777" w:rsidR="00511300" w:rsidRPr="00D730E2" w:rsidRDefault="00511300" w:rsidP="001602F3">
      <w:pPr>
        <w:spacing w:after="240"/>
        <w:jc w:val="both"/>
        <w:rPr>
          <w:rFonts w:ascii="Century Gothic" w:hAnsi="Century Gothic"/>
          <w:sz w:val="24"/>
          <w:szCs w:val="24"/>
        </w:rPr>
      </w:pPr>
      <w:r w:rsidRPr="00903A20">
        <w:rPr>
          <w:rFonts w:ascii="Century Gothic" w:hAnsi="Century Gothic"/>
          <w:sz w:val="24"/>
          <w:szCs w:val="24"/>
        </w:rPr>
        <w:t xml:space="preserve">El Programa presupuestario </w:t>
      </w:r>
      <w:r w:rsidRPr="009304EC">
        <w:rPr>
          <w:rFonts w:ascii="Century Gothic" w:hAnsi="Century Gothic"/>
          <w:sz w:val="24"/>
          <w:szCs w:val="24"/>
        </w:rPr>
        <w:t>“</w:t>
      </w:r>
      <w:r w:rsidR="009304EC" w:rsidRPr="009304EC">
        <w:rPr>
          <w:rFonts w:ascii="Century Gothic" w:hAnsi="Century Gothic"/>
          <w:sz w:val="24"/>
          <w:szCs w:val="24"/>
        </w:rPr>
        <w:t>Infraestructura no Habitacional</w:t>
      </w:r>
      <w:r w:rsidRPr="009304EC">
        <w:rPr>
          <w:rFonts w:ascii="Century Gothic" w:hAnsi="Century Gothic"/>
          <w:sz w:val="24"/>
          <w:szCs w:val="24"/>
        </w:rPr>
        <w:t>”</w:t>
      </w:r>
      <w:r w:rsidRPr="00903A20">
        <w:rPr>
          <w:rFonts w:ascii="Century Gothic" w:hAnsi="Century Gothic"/>
          <w:sz w:val="24"/>
          <w:szCs w:val="24"/>
        </w:rPr>
        <w:t xml:space="preserve"> es operado por la </w:t>
      </w:r>
      <w:r w:rsidRPr="009304EC">
        <w:rPr>
          <w:rFonts w:ascii="Century Gothic" w:hAnsi="Century Gothic"/>
          <w:sz w:val="24"/>
          <w:szCs w:val="24"/>
        </w:rPr>
        <w:t>“</w:t>
      </w:r>
      <w:r w:rsidR="009304EC" w:rsidRPr="009304EC">
        <w:rPr>
          <w:rFonts w:ascii="Century Gothic" w:hAnsi="Century Gothic"/>
          <w:sz w:val="24"/>
          <w:szCs w:val="24"/>
        </w:rPr>
        <w:t>SEIDUR</w:t>
      </w:r>
      <w:r w:rsidRPr="009304EC">
        <w:rPr>
          <w:rFonts w:ascii="Century Gothic" w:hAnsi="Century Gothic"/>
          <w:sz w:val="24"/>
          <w:szCs w:val="24"/>
        </w:rPr>
        <w:t>”</w:t>
      </w:r>
      <w:r w:rsidRPr="00903A20">
        <w:rPr>
          <w:rFonts w:ascii="Century Gothic" w:hAnsi="Century Gothic"/>
          <w:sz w:val="24"/>
          <w:szCs w:val="24"/>
        </w:rPr>
        <w:t xml:space="preserve"> del Estado </w:t>
      </w:r>
      <w:r w:rsidRPr="00850E54">
        <w:rPr>
          <w:rFonts w:ascii="Century Gothic" w:hAnsi="Century Gothic"/>
          <w:sz w:val="24"/>
          <w:szCs w:val="24"/>
        </w:rPr>
        <w:t>de Colima, para el ejercicio fiscal 201</w:t>
      </w:r>
      <w:r w:rsidR="009304EC">
        <w:rPr>
          <w:rFonts w:ascii="Century Gothic" w:hAnsi="Century Gothic"/>
          <w:sz w:val="24"/>
          <w:szCs w:val="24"/>
        </w:rPr>
        <w:t>7</w:t>
      </w:r>
      <w:r w:rsidRPr="00850E54">
        <w:rPr>
          <w:rFonts w:ascii="Century Gothic" w:hAnsi="Century Gothic"/>
          <w:sz w:val="24"/>
          <w:szCs w:val="24"/>
        </w:rPr>
        <w:t xml:space="preserve"> y tiene como </w:t>
      </w:r>
      <w:r w:rsidR="00D730E2">
        <w:rPr>
          <w:rFonts w:ascii="Century Gothic" w:hAnsi="Century Gothic"/>
          <w:sz w:val="24"/>
          <w:szCs w:val="24"/>
        </w:rPr>
        <w:t>finalidad</w:t>
      </w:r>
      <w:r w:rsidRPr="00850E54">
        <w:rPr>
          <w:rFonts w:ascii="Century Gothic" w:hAnsi="Century Gothic"/>
          <w:sz w:val="24"/>
          <w:szCs w:val="24"/>
        </w:rPr>
        <w:t>:</w:t>
      </w:r>
    </w:p>
    <w:p w14:paraId="73B73582" w14:textId="77777777" w:rsidR="00511300" w:rsidRPr="00850E54" w:rsidRDefault="00D730E2" w:rsidP="001602F3">
      <w:pPr>
        <w:autoSpaceDE w:val="0"/>
        <w:autoSpaceDN w:val="0"/>
        <w:adjustRightInd w:val="0"/>
        <w:spacing w:after="240"/>
        <w:ind w:left="284" w:right="333"/>
        <w:jc w:val="both"/>
        <w:rPr>
          <w:rFonts w:ascii="Century Gothic" w:hAnsi="Century Gothic"/>
          <w:sz w:val="24"/>
          <w:szCs w:val="24"/>
        </w:rPr>
      </w:pPr>
      <w:r w:rsidRPr="00D730E2">
        <w:rPr>
          <w:rFonts w:ascii="Century Gothic" w:hAnsi="Century Gothic"/>
          <w:sz w:val="24"/>
          <w:szCs w:val="24"/>
        </w:rPr>
        <w:t xml:space="preserve">La </w:t>
      </w:r>
      <w:r>
        <w:rPr>
          <w:rFonts w:ascii="Century Gothic" w:hAnsi="Century Gothic"/>
          <w:sz w:val="24"/>
          <w:szCs w:val="24"/>
        </w:rPr>
        <w:t>generación de infraestructura,</w:t>
      </w:r>
      <w:r w:rsidRPr="00D730E2">
        <w:rPr>
          <w:rFonts w:ascii="Century Gothic" w:hAnsi="Century Gothic"/>
          <w:sz w:val="24"/>
          <w:szCs w:val="24"/>
        </w:rPr>
        <w:t xml:space="preserve"> rehabilitación y ampliación de espacios educativos, artísticos y culturales, ampliaciones y mejoramientos de los espacios para la práctica del deporte, entre otras acciones de infraestructura urbana y social</w:t>
      </w:r>
      <w:r>
        <w:rPr>
          <w:rStyle w:val="Refdenotaalpie"/>
          <w:rFonts w:ascii="Century Gothic" w:hAnsi="Century Gothic"/>
          <w:sz w:val="24"/>
          <w:szCs w:val="24"/>
        </w:rPr>
        <w:footnoteReference w:id="8"/>
      </w:r>
      <w:r w:rsidRPr="00D730E2">
        <w:rPr>
          <w:rFonts w:ascii="Century Gothic" w:hAnsi="Century Gothic"/>
          <w:sz w:val="24"/>
          <w:szCs w:val="24"/>
        </w:rPr>
        <w:t>.</w:t>
      </w:r>
    </w:p>
    <w:p w14:paraId="568CBF33" w14:textId="77777777" w:rsidR="00654041" w:rsidRPr="00654041" w:rsidRDefault="00654041" w:rsidP="001602F3">
      <w:pPr>
        <w:spacing w:after="240"/>
        <w:jc w:val="both"/>
        <w:rPr>
          <w:rFonts w:ascii="Century Gothic" w:hAnsi="Century Gothic"/>
          <w:sz w:val="24"/>
          <w:szCs w:val="24"/>
        </w:rPr>
      </w:pPr>
      <w:r>
        <w:rPr>
          <w:rFonts w:ascii="Century Gothic" w:hAnsi="Century Gothic"/>
          <w:sz w:val="24"/>
          <w:szCs w:val="24"/>
        </w:rPr>
        <w:t>Bajo este entendido un primer punto para justificar la creación del programa presupuestario “Infraestructura no Habitacional”, parte desde las facultades que tiene la SEIDUR en cuanto al desarrollo de infraestructura</w:t>
      </w:r>
      <w:r w:rsidR="00DB3720">
        <w:rPr>
          <w:rFonts w:ascii="Century Gothic" w:hAnsi="Century Gothic"/>
          <w:sz w:val="24"/>
          <w:szCs w:val="24"/>
        </w:rPr>
        <w:t xml:space="preserve"> en </w:t>
      </w:r>
      <w:r>
        <w:rPr>
          <w:rFonts w:ascii="Century Gothic" w:hAnsi="Century Gothic"/>
          <w:sz w:val="24"/>
          <w:szCs w:val="24"/>
        </w:rPr>
        <w:t>e</w:t>
      </w:r>
      <w:r w:rsidR="00DB3720">
        <w:rPr>
          <w:rFonts w:ascii="Century Gothic" w:hAnsi="Century Gothic"/>
          <w:sz w:val="24"/>
          <w:szCs w:val="24"/>
        </w:rPr>
        <w:t>l</w:t>
      </w:r>
      <w:r>
        <w:rPr>
          <w:rFonts w:ascii="Century Gothic" w:hAnsi="Century Gothic"/>
          <w:sz w:val="24"/>
          <w:szCs w:val="24"/>
        </w:rPr>
        <w:t xml:space="preserve"> Estado, tal como se establece en el artículo 27 de la </w:t>
      </w:r>
      <w:r w:rsidRPr="00654041">
        <w:rPr>
          <w:rFonts w:ascii="Century Gothic" w:hAnsi="Century Gothic"/>
          <w:sz w:val="24"/>
          <w:szCs w:val="24"/>
        </w:rPr>
        <w:t xml:space="preserve">Ley Orgánica </w:t>
      </w:r>
      <w:r>
        <w:rPr>
          <w:rFonts w:ascii="Century Gothic" w:hAnsi="Century Gothic"/>
          <w:sz w:val="24"/>
          <w:szCs w:val="24"/>
        </w:rPr>
        <w:t>d</w:t>
      </w:r>
      <w:r w:rsidRPr="00654041">
        <w:rPr>
          <w:rFonts w:ascii="Century Gothic" w:hAnsi="Century Gothic"/>
          <w:sz w:val="24"/>
          <w:szCs w:val="24"/>
        </w:rPr>
        <w:t xml:space="preserve">e </w:t>
      </w:r>
      <w:r>
        <w:rPr>
          <w:rFonts w:ascii="Century Gothic" w:hAnsi="Century Gothic"/>
          <w:sz w:val="24"/>
          <w:szCs w:val="24"/>
        </w:rPr>
        <w:t>la Administración Pública del Estado d</w:t>
      </w:r>
      <w:r w:rsidRPr="00654041">
        <w:rPr>
          <w:rFonts w:ascii="Century Gothic" w:hAnsi="Century Gothic"/>
          <w:sz w:val="24"/>
          <w:szCs w:val="24"/>
        </w:rPr>
        <w:t>e Colima</w:t>
      </w:r>
      <w:r>
        <w:rPr>
          <w:rFonts w:ascii="Century Gothic" w:hAnsi="Century Gothic"/>
          <w:sz w:val="24"/>
          <w:szCs w:val="24"/>
        </w:rPr>
        <w:t>:</w:t>
      </w:r>
    </w:p>
    <w:p w14:paraId="708FF4D8" w14:textId="77777777" w:rsidR="00654041" w:rsidRDefault="00C25D2C" w:rsidP="00654041">
      <w:pPr>
        <w:spacing w:after="240"/>
        <w:ind w:left="284" w:right="333"/>
        <w:jc w:val="both"/>
        <w:rPr>
          <w:rFonts w:ascii="Century Gothic" w:hAnsi="Century Gothic"/>
          <w:sz w:val="24"/>
          <w:szCs w:val="24"/>
        </w:rPr>
      </w:pPr>
      <w:r w:rsidRPr="00654041">
        <w:rPr>
          <w:rFonts w:ascii="Century Gothic" w:hAnsi="Century Gothic"/>
          <w:sz w:val="24"/>
          <w:szCs w:val="24"/>
        </w:rPr>
        <w:t>A la Secretaría de Infraestructura y Desarrollo Urbano corresponde el estudio, planeación, resolución y despacho de los siguientes asuntos:</w:t>
      </w:r>
    </w:p>
    <w:p w14:paraId="5DB10332" w14:textId="77777777" w:rsidR="00C25D2C" w:rsidRDefault="00C25D2C" w:rsidP="00654041">
      <w:pPr>
        <w:spacing w:after="240"/>
        <w:ind w:left="284" w:right="333"/>
        <w:jc w:val="both"/>
        <w:rPr>
          <w:rFonts w:ascii="Century Gothic" w:hAnsi="Century Gothic"/>
          <w:sz w:val="24"/>
          <w:szCs w:val="24"/>
        </w:rPr>
      </w:pPr>
      <w:r w:rsidRPr="00654041">
        <w:rPr>
          <w:rFonts w:ascii="Century Gothic" w:hAnsi="Century Gothic"/>
          <w:sz w:val="24"/>
          <w:szCs w:val="24"/>
        </w:rPr>
        <w:t xml:space="preserve"> I.- Instrumentar y conducir las políticas y los programas relativos a asentamientos humanos, </w:t>
      </w:r>
      <w:r w:rsidRPr="00654041">
        <w:rPr>
          <w:rFonts w:ascii="Century Gothic" w:hAnsi="Century Gothic"/>
          <w:b/>
          <w:sz w:val="24"/>
          <w:szCs w:val="24"/>
        </w:rPr>
        <w:t>desarrollo urbano</w:t>
      </w:r>
      <w:r w:rsidRPr="00654041">
        <w:rPr>
          <w:rFonts w:ascii="Century Gothic" w:hAnsi="Century Gothic"/>
          <w:sz w:val="24"/>
          <w:szCs w:val="24"/>
        </w:rPr>
        <w:t xml:space="preserve">, protección del ambiente, ecología, vivienda, equipamientos </w:t>
      </w:r>
      <w:r w:rsidRPr="00654041">
        <w:rPr>
          <w:rFonts w:ascii="Century Gothic" w:hAnsi="Century Gothic"/>
          <w:b/>
          <w:sz w:val="24"/>
          <w:szCs w:val="24"/>
        </w:rPr>
        <w:t>y obras públicas del Estado</w:t>
      </w:r>
      <w:r w:rsidRPr="00654041">
        <w:rPr>
          <w:rFonts w:ascii="Century Gothic" w:hAnsi="Century Gothic"/>
          <w:sz w:val="24"/>
          <w:szCs w:val="24"/>
        </w:rPr>
        <w:t xml:space="preserve">, bajo las directrices que se determinen </w:t>
      </w:r>
      <w:r w:rsidRPr="00DB3720">
        <w:rPr>
          <w:rFonts w:ascii="Century Gothic" w:hAnsi="Century Gothic"/>
          <w:b/>
          <w:sz w:val="24"/>
          <w:szCs w:val="24"/>
        </w:rPr>
        <w:t>en el marco del Plan Estatal de Desar</w:t>
      </w:r>
      <w:r w:rsidR="00654041" w:rsidRPr="00DB3720">
        <w:rPr>
          <w:rFonts w:ascii="Century Gothic" w:hAnsi="Century Gothic"/>
          <w:b/>
          <w:sz w:val="24"/>
          <w:szCs w:val="24"/>
        </w:rPr>
        <w:t>rollo y las leyes de la materia</w:t>
      </w:r>
      <w:r w:rsidR="00654041">
        <w:rPr>
          <w:rFonts w:ascii="Century Gothic" w:hAnsi="Century Gothic"/>
          <w:sz w:val="24"/>
          <w:szCs w:val="24"/>
        </w:rPr>
        <w:t xml:space="preserve"> (Congreso de Colima, 2015).</w:t>
      </w:r>
    </w:p>
    <w:p w14:paraId="6AD47166" w14:textId="77777777" w:rsidR="009E040B" w:rsidRDefault="0025246F" w:rsidP="009304EC">
      <w:pPr>
        <w:spacing w:after="240"/>
        <w:jc w:val="both"/>
        <w:rPr>
          <w:rFonts w:ascii="Century Gothic" w:hAnsi="Century Gothic"/>
          <w:sz w:val="24"/>
          <w:szCs w:val="24"/>
        </w:rPr>
      </w:pPr>
      <w:r>
        <w:rPr>
          <w:rFonts w:ascii="Century Gothic" w:hAnsi="Century Gothic"/>
          <w:sz w:val="24"/>
          <w:szCs w:val="24"/>
        </w:rPr>
        <w:t xml:space="preserve">De igual forma en la </w:t>
      </w:r>
      <w:r w:rsidR="009E040B">
        <w:rPr>
          <w:rFonts w:ascii="Century Gothic" w:hAnsi="Century Gothic"/>
          <w:sz w:val="24"/>
          <w:szCs w:val="24"/>
        </w:rPr>
        <w:t>Ley de Asentamientos Humanos</w:t>
      </w:r>
      <w:r>
        <w:rPr>
          <w:rFonts w:ascii="Century Gothic" w:hAnsi="Century Gothic"/>
          <w:sz w:val="24"/>
          <w:szCs w:val="24"/>
        </w:rPr>
        <w:t xml:space="preserve"> de Colima, data de la importancia de contar con adecuada infraestructura, tal como se puede ver en su artículo 3, numeral XI:</w:t>
      </w:r>
    </w:p>
    <w:p w14:paraId="730F46E5" w14:textId="77777777" w:rsidR="009E040B" w:rsidRPr="0025246F" w:rsidRDefault="006114F1" w:rsidP="0025246F">
      <w:pPr>
        <w:spacing w:after="240"/>
        <w:ind w:left="284" w:right="333"/>
        <w:jc w:val="both"/>
        <w:rPr>
          <w:rFonts w:ascii="Century Gothic" w:hAnsi="Century Gothic"/>
          <w:sz w:val="24"/>
          <w:szCs w:val="24"/>
        </w:rPr>
      </w:pPr>
      <w:r w:rsidRPr="0025246F">
        <w:rPr>
          <w:rFonts w:ascii="Century Gothic" w:hAnsi="Century Gothic"/>
          <w:sz w:val="24"/>
          <w:szCs w:val="24"/>
        </w:rPr>
        <w:t>La ordenación territorial de los asentamientos humanos y el desarrollo urbano, tenderán a mejorar las condiciones de vida de la población urbana y rural, mediante</w:t>
      </w:r>
      <w:r w:rsidR="0025246F" w:rsidRPr="0025246F">
        <w:rPr>
          <w:rFonts w:ascii="Century Gothic" w:hAnsi="Century Gothic"/>
          <w:sz w:val="24"/>
          <w:szCs w:val="24"/>
        </w:rPr>
        <w:t>:</w:t>
      </w:r>
    </w:p>
    <w:p w14:paraId="2C1FAE50" w14:textId="77777777" w:rsidR="006114F1" w:rsidRPr="0025246F" w:rsidRDefault="006114F1" w:rsidP="0025246F">
      <w:pPr>
        <w:spacing w:after="240"/>
        <w:ind w:left="284" w:right="333"/>
        <w:jc w:val="both"/>
        <w:rPr>
          <w:rFonts w:ascii="Century Gothic" w:hAnsi="Century Gothic"/>
          <w:sz w:val="24"/>
          <w:szCs w:val="24"/>
        </w:rPr>
      </w:pPr>
      <w:r w:rsidRPr="0025246F">
        <w:rPr>
          <w:rFonts w:ascii="Century Gothic" w:hAnsi="Century Gothic"/>
          <w:sz w:val="24"/>
          <w:szCs w:val="24"/>
        </w:rPr>
        <w:lastRenderedPageBreak/>
        <w:t xml:space="preserve">XI. </w:t>
      </w:r>
      <w:r w:rsidRPr="0025246F">
        <w:rPr>
          <w:rFonts w:ascii="Century Gothic" w:hAnsi="Century Gothic"/>
          <w:b/>
          <w:sz w:val="24"/>
          <w:szCs w:val="24"/>
        </w:rPr>
        <w:t>La dotación suficiente, adecuada y el mejoramiento de la infraestructura y equipamiento urbano</w:t>
      </w:r>
      <w:r w:rsidRPr="0025246F">
        <w:rPr>
          <w:rFonts w:ascii="Century Gothic" w:hAnsi="Century Gothic"/>
          <w:sz w:val="24"/>
          <w:szCs w:val="24"/>
        </w:rPr>
        <w:t>, así como la prestación de l</w:t>
      </w:r>
      <w:r w:rsidR="0025246F" w:rsidRPr="0025246F">
        <w:rPr>
          <w:rFonts w:ascii="Century Gothic" w:hAnsi="Century Gothic"/>
          <w:sz w:val="24"/>
          <w:szCs w:val="24"/>
        </w:rPr>
        <w:t>os servicios públicos.</w:t>
      </w:r>
    </w:p>
    <w:p w14:paraId="566EF4EC" w14:textId="77777777" w:rsidR="009304EC" w:rsidRDefault="0025246F" w:rsidP="009304EC">
      <w:pPr>
        <w:spacing w:after="240"/>
        <w:jc w:val="both"/>
        <w:rPr>
          <w:rFonts w:ascii="Century Gothic" w:hAnsi="Century Gothic"/>
          <w:sz w:val="24"/>
          <w:szCs w:val="24"/>
        </w:rPr>
      </w:pPr>
      <w:r>
        <w:rPr>
          <w:rFonts w:ascii="Century Gothic" w:hAnsi="Century Gothic"/>
          <w:sz w:val="24"/>
          <w:szCs w:val="24"/>
        </w:rPr>
        <w:t>O</w:t>
      </w:r>
      <w:r w:rsidR="00DB3720">
        <w:rPr>
          <w:rFonts w:ascii="Century Gothic" w:hAnsi="Century Gothic"/>
          <w:sz w:val="24"/>
          <w:szCs w:val="24"/>
        </w:rPr>
        <w:t>tro enfoque para la justificación de la existencia del Programa, es desde el marco</w:t>
      </w:r>
      <w:r w:rsidR="00563AF5">
        <w:rPr>
          <w:rFonts w:ascii="Century Gothic" w:hAnsi="Century Gothic"/>
          <w:sz w:val="24"/>
          <w:szCs w:val="24"/>
        </w:rPr>
        <w:t xml:space="preserve"> del Plan Estatal de Desarrollo, donde establecen la infraestructura social como como eje promovedor del desarrollo:</w:t>
      </w:r>
    </w:p>
    <w:p w14:paraId="79B6F4F9" w14:textId="77777777" w:rsidR="00563AF5" w:rsidRDefault="00563AF5" w:rsidP="00563AF5">
      <w:pPr>
        <w:spacing w:after="240"/>
        <w:ind w:left="284" w:right="333"/>
        <w:jc w:val="both"/>
        <w:rPr>
          <w:rFonts w:ascii="Century Gothic" w:hAnsi="Century Gothic"/>
          <w:sz w:val="24"/>
          <w:szCs w:val="24"/>
        </w:rPr>
      </w:pPr>
      <w:r>
        <w:rPr>
          <w:rFonts w:ascii="Century Gothic" w:hAnsi="Century Gothic"/>
          <w:sz w:val="24"/>
          <w:szCs w:val="24"/>
        </w:rPr>
        <w:t>El mejoramiento de los espacios culturales será una prioridad para el Gobierno Estatal. … Además, se impulsará la creación de la infraestructura museográfica….</w:t>
      </w:r>
    </w:p>
    <w:p w14:paraId="7AE0DC3B" w14:textId="77777777" w:rsidR="00563AF5" w:rsidRDefault="00563AF5" w:rsidP="00563AF5">
      <w:pPr>
        <w:spacing w:after="240"/>
        <w:ind w:left="284"/>
        <w:jc w:val="both"/>
        <w:rPr>
          <w:rFonts w:ascii="Century Gothic" w:hAnsi="Century Gothic"/>
          <w:sz w:val="24"/>
          <w:szCs w:val="24"/>
        </w:rPr>
      </w:pPr>
      <w:r>
        <w:rPr>
          <w:rFonts w:ascii="Century Gothic" w:hAnsi="Century Gothic"/>
          <w:sz w:val="24"/>
          <w:szCs w:val="24"/>
        </w:rPr>
        <w:t>A la par del crecimiento de las ciudades es necesario incrementar la infraestructura recreativa, cultural y deportiva, para que los niños, jóvenes, adultos mayores, y en general, todas las familias colimenses, cuenten con espacios suficientes de convivencia y disfrute. (Plan Estatal de Desarrollo 2016 – 2021).</w:t>
      </w:r>
    </w:p>
    <w:p w14:paraId="1F6DB34E" w14:textId="77777777" w:rsidR="00AA21D0" w:rsidRDefault="00AA21D0" w:rsidP="009304EC">
      <w:pPr>
        <w:spacing w:after="240"/>
        <w:jc w:val="both"/>
        <w:rPr>
          <w:rFonts w:ascii="Century Gothic" w:hAnsi="Century Gothic"/>
          <w:sz w:val="24"/>
          <w:szCs w:val="24"/>
        </w:rPr>
      </w:pPr>
      <w:r>
        <w:rPr>
          <w:rFonts w:ascii="Century Gothic" w:hAnsi="Century Gothic"/>
          <w:sz w:val="24"/>
          <w:szCs w:val="24"/>
        </w:rPr>
        <w:t>Otro de los documentos donde el gobierno estatal plasma la importancia de contar con infraestructura adecuada es en el “Programa Sectorial de Desarrollo Urbano y Ordenamiento Territorial 2016 – 2021”, en donde se presentan algunos datos de los requerimientos en el tema: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393"/>
        <w:gridCol w:w="1393"/>
        <w:gridCol w:w="1393"/>
        <w:gridCol w:w="1393"/>
      </w:tblGrid>
      <w:tr w:rsidR="00045FAF" w:rsidRPr="00045FAF" w14:paraId="4A1C328F" w14:textId="77777777" w:rsidTr="00045FAF">
        <w:trPr>
          <w:trHeight w:val="172"/>
          <w:jc w:val="center"/>
        </w:trPr>
        <w:tc>
          <w:tcPr>
            <w:tcW w:w="7660" w:type="dxa"/>
            <w:gridSpan w:val="5"/>
            <w:shd w:val="clear" w:color="auto" w:fill="0E4E7A"/>
            <w:vAlign w:val="center"/>
          </w:tcPr>
          <w:p w14:paraId="4E847227" w14:textId="77777777" w:rsidR="00045FAF" w:rsidRPr="00045FAF" w:rsidRDefault="00045FAF" w:rsidP="003E3B3D">
            <w:pPr>
              <w:pStyle w:val="Default"/>
              <w:jc w:val="center"/>
              <w:rPr>
                <w:rFonts w:asciiTheme="minorHAnsi" w:hAnsiTheme="minorHAnsi" w:cstheme="minorHAnsi"/>
                <w:b/>
                <w:color w:val="FFFFFF" w:themeColor="background1"/>
                <w:sz w:val="20"/>
                <w:szCs w:val="20"/>
              </w:rPr>
            </w:pPr>
            <w:r w:rsidRPr="00045FAF">
              <w:rPr>
                <w:rFonts w:asciiTheme="minorHAnsi" w:hAnsiTheme="minorHAnsi" w:cstheme="minorHAnsi"/>
                <w:b/>
                <w:color w:val="FFFFFF" w:themeColor="background1"/>
                <w:sz w:val="20"/>
                <w:szCs w:val="20"/>
              </w:rPr>
              <w:t xml:space="preserve">Cuadro </w:t>
            </w:r>
            <w:r w:rsidR="003E3B3D">
              <w:rPr>
                <w:rFonts w:asciiTheme="minorHAnsi" w:hAnsiTheme="minorHAnsi" w:cstheme="minorHAnsi"/>
                <w:b/>
                <w:color w:val="FFFFFF" w:themeColor="background1"/>
                <w:sz w:val="20"/>
                <w:szCs w:val="20"/>
              </w:rPr>
              <w:t>2.6</w:t>
            </w:r>
            <w:r w:rsidRPr="00045FAF">
              <w:rPr>
                <w:rFonts w:asciiTheme="minorHAnsi" w:hAnsiTheme="minorHAnsi" w:cstheme="minorHAnsi"/>
                <w:b/>
                <w:color w:val="FFFFFF" w:themeColor="background1"/>
                <w:sz w:val="20"/>
                <w:szCs w:val="20"/>
              </w:rPr>
              <w:t>. Valoración de la Infraestructura en el estado de Colima</w:t>
            </w:r>
          </w:p>
        </w:tc>
      </w:tr>
      <w:tr w:rsidR="00045FAF" w:rsidRPr="00045FAF" w14:paraId="1BC35303" w14:textId="77777777" w:rsidTr="00045FAF">
        <w:trPr>
          <w:trHeight w:val="76"/>
          <w:jc w:val="center"/>
        </w:trPr>
        <w:tc>
          <w:tcPr>
            <w:tcW w:w="2088" w:type="dxa"/>
            <w:shd w:val="clear" w:color="auto" w:fill="0E4E7A"/>
            <w:vAlign w:val="center"/>
          </w:tcPr>
          <w:p w14:paraId="36CC8379" w14:textId="77777777" w:rsidR="00045FAF" w:rsidRPr="00045FAF" w:rsidRDefault="00045FAF" w:rsidP="00045FAF">
            <w:pPr>
              <w:pStyle w:val="Default"/>
              <w:jc w:val="center"/>
              <w:rPr>
                <w:rFonts w:asciiTheme="minorHAnsi" w:hAnsiTheme="minorHAnsi" w:cstheme="minorHAnsi"/>
                <w:b/>
                <w:bCs/>
                <w:color w:val="FFFFFF" w:themeColor="background1"/>
                <w:sz w:val="20"/>
                <w:szCs w:val="20"/>
              </w:rPr>
            </w:pPr>
          </w:p>
        </w:tc>
        <w:tc>
          <w:tcPr>
            <w:tcW w:w="1393" w:type="dxa"/>
            <w:shd w:val="clear" w:color="auto" w:fill="0E4E7A"/>
            <w:vAlign w:val="center"/>
          </w:tcPr>
          <w:p w14:paraId="5EDC8588" w14:textId="77777777" w:rsidR="00045FAF" w:rsidRPr="00045FAF" w:rsidRDefault="00045FAF" w:rsidP="00045FAF">
            <w:pPr>
              <w:pStyle w:val="Default"/>
              <w:jc w:val="center"/>
              <w:rPr>
                <w:rFonts w:asciiTheme="minorHAnsi" w:hAnsiTheme="minorHAnsi" w:cstheme="minorHAnsi"/>
                <w:b/>
                <w:color w:val="FFFFFF" w:themeColor="background1"/>
                <w:sz w:val="20"/>
                <w:szCs w:val="20"/>
              </w:rPr>
            </w:pPr>
            <w:r w:rsidRPr="00045FAF">
              <w:rPr>
                <w:rFonts w:asciiTheme="minorHAnsi" w:hAnsiTheme="minorHAnsi" w:cstheme="minorHAnsi"/>
                <w:b/>
                <w:bCs/>
                <w:color w:val="FFFFFF" w:themeColor="background1"/>
                <w:sz w:val="20"/>
                <w:szCs w:val="20"/>
              </w:rPr>
              <w:t>% Adecuado</w:t>
            </w:r>
          </w:p>
        </w:tc>
        <w:tc>
          <w:tcPr>
            <w:tcW w:w="1393" w:type="dxa"/>
            <w:shd w:val="clear" w:color="auto" w:fill="0E4E7A"/>
            <w:vAlign w:val="center"/>
          </w:tcPr>
          <w:p w14:paraId="4CFBA4AC" w14:textId="77777777" w:rsidR="00045FAF" w:rsidRPr="00045FAF" w:rsidRDefault="00045FAF" w:rsidP="00045FAF">
            <w:pPr>
              <w:pStyle w:val="Default"/>
              <w:jc w:val="center"/>
              <w:rPr>
                <w:rFonts w:asciiTheme="minorHAnsi" w:hAnsiTheme="minorHAnsi" w:cstheme="minorHAnsi"/>
                <w:b/>
                <w:color w:val="FFFFFF" w:themeColor="background1"/>
                <w:sz w:val="20"/>
                <w:szCs w:val="20"/>
              </w:rPr>
            </w:pPr>
            <w:r w:rsidRPr="00045FAF">
              <w:rPr>
                <w:rFonts w:asciiTheme="minorHAnsi" w:hAnsiTheme="minorHAnsi" w:cstheme="minorHAnsi"/>
                <w:b/>
                <w:bCs/>
                <w:color w:val="FFFFFF" w:themeColor="background1"/>
                <w:sz w:val="20"/>
                <w:szCs w:val="20"/>
              </w:rPr>
              <w:t>% No adecuado</w:t>
            </w:r>
          </w:p>
        </w:tc>
        <w:tc>
          <w:tcPr>
            <w:tcW w:w="1393" w:type="dxa"/>
            <w:shd w:val="clear" w:color="auto" w:fill="0E4E7A"/>
            <w:vAlign w:val="center"/>
          </w:tcPr>
          <w:p w14:paraId="6CE93465" w14:textId="77777777" w:rsidR="00045FAF" w:rsidRPr="00045FAF" w:rsidRDefault="00045FAF" w:rsidP="00045FAF">
            <w:pPr>
              <w:pStyle w:val="Default"/>
              <w:jc w:val="center"/>
              <w:rPr>
                <w:rFonts w:asciiTheme="minorHAnsi" w:hAnsiTheme="minorHAnsi" w:cstheme="minorHAnsi"/>
                <w:b/>
                <w:color w:val="FFFFFF" w:themeColor="background1"/>
                <w:sz w:val="20"/>
                <w:szCs w:val="20"/>
              </w:rPr>
            </w:pPr>
            <w:r w:rsidRPr="00045FAF">
              <w:rPr>
                <w:rFonts w:asciiTheme="minorHAnsi" w:hAnsiTheme="minorHAnsi" w:cstheme="minorHAnsi"/>
                <w:b/>
                <w:bCs/>
                <w:color w:val="FFFFFF" w:themeColor="background1"/>
                <w:sz w:val="20"/>
                <w:szCs w:val="20"/>
              </w:rPr>
              <w:t>% Poco adecuado</w:t>
            </w:r>
          </w:p>
        </w:tc>
        <w:tc>
          <w:tcPr>
            <w:tcW w:w="1393" w:type="dxa"/>
            <w:shd w:val="clear" w:color="auto" w:fill="0E4E7A"/>
            <w:vAlign w:val="center"/>
          </w:tcPr>
          <w:p w14:paraId="498C05B2" w14:textId="77777777" w:rsidR="00045FAF" w:rsidRPr="00045FAF" w:rsidRDefault="00045FAF" w:rsidP="00045FAF">
            <w:pPr>
              <w:pStyle w:val="Default"/>
              <w:jc w:val="center"/>
              <w:rPr>
                <w:rFonts w:asciiTheme="minorHAnsi" w:hAnsiTheme="minorHAnsi" w:cstheme="minorHAnsi"/>
                <w:b/>
                <w:color w:val="FFFFFF" w:themeColor="background1"/>
                <w:sz w:val="20"/>
                <w:szCs w:val="20"/>
              </w:rPr>
            </w:pPr>
            <w:r w:rsidRPr="00045FAF">
              <w:rPr>
                <w:rFonts w:asciiTheme="minorHAnsi" w:hAnsiTheme="minorHAnsi" w:cstheme="minorHAnsi"/>
                <w:b/>
                <w:bCs/>
                <w:color w:val="FFFFFF" w:themeColor="background1"/>
                <w:sz w:val="20"/>
                <w:szCs w:val="20"/>
              </w:rPr>
              <w:t>Valoración</w:t>
            </w:r>
          </w:p>
        </w:tc>
      </w:tr>
      <w:tr w:rsidR="00045FAF" w:rsidRPr="00045FAF" w14:paraId="02275A94" w14:textId="77777777" w:rsidTr="00045FAF">
        <w:trPr>
          <w:trHeight w:val="76"/>
          <w:jc w:val="center"/>
        </w:trPr>
        <w:tc>
          <w:tcPr>
            <w:tcW w:w="2088" w:type="dxa"/>
          </w:tcPr>
          <w:p w14:paraId="2F54494C"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Cultura </w:t>
            </w:r>
          </w:p>
        </w:tc>
        <w:tc>
          <w:tcPr>
            <w:tcW w:w="1393" w:type="dxa"/>
          </w:tcPr>
          <w:p w14:paraId="4F8CACB8"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62,28 </w:t>
            </w:r>
          </w:p>
        </w:tc>
        <w:tc>
          <w:tcPr>
            <w:tcW w:w="1393" w:type="dxa"/>
          </w:tcPr>
          <w:p w14:paraId="62CAECF4"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37,13 </w:t>
            </w:r>
          </w:p>
        </w:tc>
        <w:tc>
          <w:tcPr>
            <w:tcW w:w="1393" w:type="dxa"/>
          </w:tcPr>
          <w:p w14:paraId="1DF12BE0"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0,60 </w:t>
            </w:r>
          </w:p>
        </w:tc>
        <w:tc>
          <w:tcPr>
            <w:tcW w:w="1393" w:type="dxa"/>
          </w:tcPr>
          <w:p w14:paraId="482D050B"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Adecuada </w:t>
            </w:r>
          </w:p>
        </w:tc>
      </w:tr>
      <w:tr w:rsidR="00045FAF" w:rsidRPr="00045FAF" w14:paraId="4F938F79" w14:textId="77777777" w:rsidTr="00045FAF">
        <w:trPr>
          <w:trHeight w:val="76"/>
          <w:jc w:val="center"/>
        </w:trPr>
        <w:tc>
          <w:tcPr>
            <w:tcW w:w="2088" w:type="dxa"/>
          </w:tcPr>
          <w:p w14:paraId="3ACAA29A"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Salud </w:t>
            </w:r>
          </w:p>
        </w:tc>
        <w:tc>
          <w:tcPr>
            <w:tcW w:w="1393" w:type="dxa"/>
          </w:tcPr>
          <w:p w14:paraId="0ACCC8B0"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62,57 </w:t>
            </w:r>
          </w:p>
        </w:tc>
        <w:tc>
          <w:tcPr>
            <w:tcW w:w="1393" w:type="dxa"/>
          </w:tcPr>
          <w:p w14:paraId="6D3BD124"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32,09 </w:t>
            </w:r>
          </w:p>
        </w:tc>
        <w:tc>
          <w:tcPr>
            <w:tcW w:w="1393" w:type="dxa"/>
          </w:tcPr>
          <w:p w14:paraId="2AD33DAD"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5,35 </w:t>
            </w:r>
          </w:p>
        </w:tc>
        <w:tc>
          <w:tcPr>
            <w:tcW w:w="1393" w:type="dxa"/>
          </w:tcPr>
          <w:p w14:paraId="04F1E966"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Adecuada </w:t>
            </w:r>
          </w:p>
        </w:tc>
      </w:tr>
      <w:tr w:rsidR="00045FAF" w:rsidRPr="00045FAF" w14:paraId="519B6960" w14:textId="77777777" w:rsidTr="00045FAF">
        <w:trPr>
          <w:trHeight w:val="76"/>
          <w:jc w:val="center"/>
        </w:trPr>
        <w:tc>
          <w:tcPr>
            <w:tcW w:w="2088" w:type="dxa"/>
          </w:tcPr>
          <w:p w14:paraId="6AF3EF3E"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Asistencia Social </w:t>
            </w:r>
          </w:p>
        </w:tc>
        <w:tc>
          <w:tcPr>
            <w:tcW w:w="1393" w:type="dxa"/>
          </w:tcPr>
          <w:p w14:paraId="2B2E1902"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67,27 </w:t>
            </w:r>
          </w:p>
        </w:tc>
        <w:tc>
          <w:tcPr>
            <w:tcW w:w="1393" w:type="dxa"/>
          </w:tcPr>
          <w:p w14:paraId="22822264"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23,64 </w:t>
            </w:r>
          </w:p>
        </w:tc>
        <w:tc>
          <w:tcPr>
            <w:tcW w:w="1393" w:type="dxa"/>
          </w:tcPr>
          <w:p w14:paraId="756E26CC"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9,09 </w:t>
            </w:r>
          </w:p>
        </w:tc>
        <w:tc>
          <w:tcPr>
            <w:tcW w:w="1393" w:type="dxa"/>
          </w:tcPr>
          <w:p w14:paraId="1DD36376"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Adecuada </w:t>
            </w:r>
          </w:p>
        </w:tc>
      </w:tr>
      <w:tr w:rsidR="00045FAF" w:rsidRPr="00045FAF" w14:paraId="4AA6E2E5" w14:textId="77777777" w:rsidTr="00045FAF">
        <w:trPr>
          <w:trHeight w:val="76"/>
          <w:jc w:val="center"/>
        </w:trPr>
        <w:tc>
          <w:tcPr>
            <w:tcW w:w="2088" w:type="dxa"/>
          </w:tcPr>
          <w:p w14:paraId="52267AF7"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Recreación </w:t>
            </w:r>
          </w:p>
        </w:tc>
        <w:tc>
          <w:tcPr>
            <w:tcW w:w="1393" w:type="dxa"/>
          </w:tcPr>
          <w:p w14:paraId="29482F92"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40,48 </w:t>
            </w:r>
          </w:p>
        </w:tc>
        <w:tc>
          <w:tcPr>
            <w:tcW w:w="1393" w:type="dxa"/>
          </w:tcPr>
          <w:p w14:paraId="5155C5B6"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49,21 </w:t>
            </w:r>
          </w:p>
        </w:tc>
        <w:tc>
          <w:tcPr>
            <w:tcW w:w="1393" w:type="dxa"/>
          </w:tcPr>
          <w:p w14:paraId="628EB081"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10,32 </w:t>
            </w:r>
          </w:p>
        </w:tc>
        <w:tc>
          <w:tcPr>
            <w:tcW w:w="1393" w:type="dxa"/>
          </w:tcPr>
          <w:p w14:paraId="17163974"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No adecuada </w:t>
            </w:r>
          </w:p>
        </w:tc>
      </w:tr>
      <w:tr w:rsidR="00045FAF" w:rsidRPr="00045FAF" w14:paraId="7062B3EB" w14:textId="77777777" w:rsidTr="00045FAF">
        <w:trPr>
          <w:trHeight w:val="76"/>
          <w:jc w:val="center"/>
        </w:trPr>
        <w:tc>
          <w:tcPr>
            <w:tcW w:w="2088" w:type="dxa"/>
          </w:tcPr>
          <w:p w14:paraId="7F5B372A"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Deporte </w:t>
            </w:r>
          </w:p>
        </w:tc>
        <w:tc>
          <w:tcPr>
            <w:tcW w:w="1393" w:type="dxa"/>
          </w:tcPr>
          <w:p w14:paraId="69604D80"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86,96 </w:t>
            </w:r>
          </w:p>
        </w:tc>
        <w:tc>
          <w:tcPr>
            <w:tcW w:w="1393" w:type="dxa"/>
          </w:tcPr>
          <w:p w14:paraId="2E8A2275"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10,87 </w:t>
            </w:r>
          </w:p>
        </w:tc>
        <w:tc>
          <w:tcPr>
            <w:tcW w:w="1393" w:type="dxa"/>
          </w:tcPr>
          <w:p w14:paraId="0458BF1F"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2,17 </w:t>
            </w:r>
          </w:p>
        </w:tc>
        <w:tc>
          <w:tcPr>
            <w:tcW w:w="1393" w:type="dxa"/>
          </w:tcPr>
          <w:p w14:paraId="5BA8A8DB"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Adecuada </w:t>
            </w:r>
          </w:p>
        </w:tc>
      </w:tr>
      <w:tr w:rsidR="00045FAF" w:rsidRPr="00045FAF" w14:paraId="376985A8" w14:textId="77777777" w:rsidTr="00045FAF">
        <w:trPr>
          <w:trHeight w:val="173"/>
          <w:jc w:val="center"/>
        </w:trPr>
        <w:tc>
          <w:tcPr>
            <w:tcW w:w="2088" w:type="dxa"/>
          </w:tcPr>
          <w:p w14:paraId="159D40D3"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Administración pública </w:t>
            </w:r>
          </w:p>
        </w:tc>
        <w:tc>
          <w:tcPr>
            <w:tcW w:w="1393" w:type="dxa"/>
          </w:tcPr>
          <w:p w14:paraId="4CCC9B45"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51,61 </w:t>
            </w:r>
          </w:p>
        </w:tc>
        <w:tc>
          <w:tcPr>
            <w:tcW w:w="1393" w:type="dxa"/>
          </w:tcPr>
          <w:p w14:paraId="606D7DE1"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42,47 </w:t>
            </w:r>
          </w:p>
        </w:tc>
        <w:tc>
          <w:tcPr>
            <w:tcW w:w="1393" w:type="dxa"/>
          </w:tcPr>
          <w:p w14:paraId="63831C71"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sz w:val="20"/>
                <w:szCs w:val="20"/>
              </w:rPr>
              <w:t xml:space="preserve">5,91 </w:t>
            </w:r>
          </w:p>
        </w:tc>
        <w:tc>
          <w:tcPr>
            <w:tcW w:w="1393" w:type="dxa"/>
          </w:tcPr>
          <w:p w14:paraId="37E716FC"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Adecuada </w:t>
            </w:r>
          </w:p>
        </w:tc>
      </w:tr>
      <w:tr w:rsidR="00045FAF" w:rsidRPr="00045FAF" w14:paraId="1450F820" w14:textId="77777777" w:rsidTr="00045FAF">
        <w:trPr>
          <w:trHeight w:val="172"/>
          <w:jc w:val="center"/>
        </w:trPr>
        <w:tc>
          <w:tcPr>
            <w:tcW w:w="2088" w:type="dxa"/>
          </w:tcPr>
          <w:p w14:paraId="66395C24"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Servicios urbanos </w:t>
            </w:r>
          </w:p>
        </w:tc>
        <w:tc>
          <w:tcPr>
            <w:tcW w:w="1393" w:type="dxa"/>
          </w:tcPr>
          <w:p w14:paraId="4190B050"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66,67 </w:t>
            </w:r>
          </w:p>
        </w:tc>
        <w:tc>
          <w:tcPr>
            <w:tcW w:w="1393" w:type="dxa"/>
          </w:tcPr>
          <w:p w14:paraId="66C8C1BB"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28,40 </w:t>
            </w:r>
          </w:p>
        </w:tc>
        <w:tc>
          <w:tcPr>
            <w:tcW w:w="1393" w:type="dxa"/>
          </w:tcPr>
          <w:p w14:paraId="3EBD0684"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4,94 </w:t>
            </w:r>
          </w:p>
        </w:tc>
        <w:tc>
          <w:tcPr>
            <w:tcW w:w="1393" w:type="dxa"/>
          </w:tcPr>
          <w:p w14:paraId="74AFB8C9" w14:textId="77777777" w:rsidR="00045FAF" w:rsidRPr="00045FAF" w:rsidRDefault="00045FAF" w:rsidP="00363140">
            <w:pPr>
              <w:pStyle w:val="Default"/>
              <w:rPr>
                <w:rFonts w:asciiTheme="minorHAnsi" w:hAnsiTheme="minorHAnsi" w:cstheme="minorHAnsi"/>
                <w:sz w:val="20"/>
                <w:szCs w:val="20"/>
              </w:rPr>
            </w:pPr>
            <w:r w:rsidRPr="00045FAF">
              <w:rPr>
                <w:rFonts w:asciiTheme="minorHAnsi" w:hAnsiTheme="minorHAnsi" w:cstheme="minorHAnsi"/>
                <w:bCs/>
                <w:sz w:val="20"/>
                <w:szCs w:val="20"/>
              </w:rPr>
              <w:t xml:space="preserve">Adecuada </w:t>
            </w:r>
          </w:p>
        </w:tc>
      </w:tr>
      <w:tr w:rsidR="00045FAF" w:rsidRPr="00045FAF" w14:paraId="4BC29430" w14:textId="77777777" w:rsidTr="00045FAF">
        <w:trPr>
          <w:trHeight w:val="172"/>
          <w:jc w:val="center"/>
        </w:trPr>
        <w:tc>
          <w:tcPr>
            <w:tcW w:w="7660" w:type="dxa"/>
            <w:gridSpan w:val="5"/>
          </w:tcPr>
          <w:p w14:paraId="014B95E8" w14:textId="77777777" w:rsidR="00045FAF" w:rsidRPr="00045FAF" w:rsidRDefault="00045FAF" w:rsidP="00363140">
            <w:pPr>
              <w:pStyle w:val="Default"/>
              <w:rPr>
                <w:rFonts w:asciiTheme="minorHAnsi" w:hAnsiTheme="minorHAnsi" w:cstheme="minorHAnsi"/>
                <w:bCs/>
                <w:sz w:val="20"/>
                <w:szCs w:val="20"/>
              </w:rPr>
            </w:pPr>
            <w:r w:rsidRPr="00045FAF">
              <w:rPr>
                <w:rFonts w:asciiTheme="minorHAnsi" w:hAnsiTheme="minorHAnsi" w:cstheme="minorHAnsi"/>
                <w:bCs/>
                <w:sz w:val="20"/>
                <w:szCs w:val="20"/>
              </w:rPr>
              <w:t>Fuente: Tomado del Programa Sectorial de Desarrollo Urbano y Ordenamiento Territorial 2016 – 2021</w:t>
            </w:r>
          </w:p>
        </w:tc>
      </w:tr>
    </w:tbl>
    <w:p w14:paraId="02BBC40B" w14:textId="77777777" w:rsidR="00045FAF" w:rsidRPr="00310C9C" w:rsidRDefault="00045FAF" w:rsidP="009304EC">
      <w:pPr>
        <w:spacing w:after="240"/>
        <w:jc w:val="both"/>
        <w:rPr>
          <w:rFonts w:ascii="Century Gothic" w:hAnsi="Century Gothic"/>
          <w:sz w:val="2"/>
          <w:szCs w:val="24"/>
        </w:rPr>
      </w:pPr>
    </w:p>
    <w:p w14:paraId="785C8753" w14:textId="77777777" w:rsidR="00AA21D0" w:rsidRDefault="00310C9C" w:rsidP="009304EC">
      <w:pPr>
        <w:spacing w:after="240"/>
        <w:jc w:val="both"/>
        <w:rPr>
          <w:rFonts w:ascii="Century Gothic" w:hAnsi="Century Gothic"/>
          <w:sz w:val="24"/>
          <w:szCs w:val="24"/>
        </w:rPr>
      </w:pPr>
      <w:r>
        <w:rPr>
          <w:rFonts w:ascii="Century Gothic" w:hAnsi="Century Gothic"/>
          <w:sz w:val="24"/>
          <w:szCs w:val="24"/>
        </w:rPr>
        <w:t>Conociendo las condiciones de la infraestructura plantean temas a trabajar:</w:t>
      </w:r>
    </w:p>
    <w:p w14:paraId="10C0773D" w14:textId="77777777" w:rsidR="0025246F" w:rsidRDefault="0025246F" w:rsidP="00310C9C">
      <w:pPr>
        <w:spacing w:after="240"/>
        <w:ind w:left="284" w:right="333"/>
        <w:jc w:val="both"/>
        <w:rPr>
          <w:rFonts w:ascii="Century Gothic" w:hAnsi="Century Gothic"/>
          <w:sz w:val="24"/>
          <w:szCs w:val="24"/>
        </w:rPr>
      </w:pPr>
      <w:r w:rsidRPr="00310C9C">
        <w:rPr>
          <w:rFonts w:ascii="Century Gothic" w:hAnsi="Century Gothic"/>
          <w:sz w:val="24"/>
          <w:szCs w:val="24"/>
        </w:rPr>
        <w:t>Es necesario atender el subsistema cultural. Muchos municipios no cubren las unidades requeridas para el próximo año, claro ejemplo de lo anterior es el número deficiente de Casas de Cultura, Museos de Arte y Bibliotecas Públicas Regionales existentes.</w:t>
      </w:r>
    </w:p>
    <w:p w14:paraId="42AB21EC" w14:textId="77777777" w:rsidR="002441CD" w:rsidRDefault="002441CD" w:rsidP="00310C9C">
      <w:pPr>
        <w:spacing w:after="240"/>
        <w:ind w:left="284" w:right="333"/>
        <w:jc w:val="both"/>
        <w:rPr>
          <w:rFonts w:ascii="Century Gothic" w:hAnsi="Century Gothic"/>
          <w:sz w:val="24"/>
          <w:szCs w:val="24"/>
        </w:rPr>
      </w:pPr>
      <w:r w:rsidRPr="002441CD">
        <w:rPr>
          <w:rFonts w:ascii="Century Gothic" w:hAnsi="Century Gothic"/>
          <w:sz w:val="24"/>
          <w:szCs w:val="24"/>
        </w:rPr>
        <w:lastRenderedPageBreak/>
        <w:t xml:space="preserve">De modo general, el equipamiento e infraestructura para el deporte son adecuados, los municipios cuentan en su mayoría con una cantidad igual o mayor a las unidades requeridas para el 2016. Es necesario atender la construcción y operación de gimnasios deportivos en Manzanillo y albercas deportivas en los municipios de Comala, Coquimatlán, Cuauhtémoc, Manzanillo y Villa de Álvarez; existen en total </w:t>
      </w:r>
      <w:r w:rsidRPr="002441CD">
        <w:rPr>
          <w:rFonts w:ascii="Century Gothic" w:hAnsi="Century Gothic"/>
          <w:b/>
          <w:sz w:val="24"/>
          <w:szCs w:val="24"/>
        </w:rPr>
        <w:t>1 mil 75 espacios deportivos censados en el 2016</w:t>
      </w:r>
      <w:r w:rsidRPr="002441CD">
        <w:rPr>
          <w:rFonts w:ascii="Century Gothic" w:hAnsi="Century Gothic"/>
          <w:sz w:val="24"/>
          <w:szCs w:val="24"/>
        </w:rPr>
        <w:t xml:space="preserve">, de los cuales </w:t>
      </w:r>
      <w:r w:rsidRPr="002441CD">
        <w:rPr>
          <w:rFonts w:ascii="Century Gothic" w:hAnsi="Century Gothic"/>
          <w:b/>
          <w:sz w:val="24"/>
          <w:szCs w:val="24"/>
        </w:rPr>
        <w:t>831 pertenecen a los gobiernos estatal y municipales</w:t>
      </w:r>
      <w:r w:rsidRPr="002441CD">
        <w:rPr>
          <w:rFonts w:ascii="Century Gothic" w:hAnsi="Century Gothic"/>
          <w:sz w:val="24"/>
          <w:szCs w:val="24"/>
        </w:rPr>
        <w:t xml:space="preserve">, de éstos últimos un </w:t>
      </w:r>
      <w:r w:rsidRPr="002441CD">
        <w:rPr>
          <w:rFonts w:ascii="Century Gothic" w:hAnsi="Century Gothic"/>
          <w:b/>
          <w:sz w:val="24"/>
          <w:szCs w:val="24"/>
        </w:rPr>
        <w:t>76 por ciento requiere de algún grado de mantenimiento</w:t>
      </w:r>
      <w:r w:rsidRPr="002441CD">
        <w:rPr>
          <w:rFonts w:ascii="Century Gothic" w:hAnsi="Century Gothic"/>
          <w:sz w:val="24"/>
          <w:szCs w:val="24"/>
        </w:rPr>
        <w:t xml:space="preserve"> para su correcto funcionamiento.</w:t>
      </w:r>
    </w:p>
    <w:p w14:paraId="3A412E81" w14:textId="77777777" w:rsidR="0025246F" w:rsidRDefault="00AA21D0" w:rsidP="00310C9C">
      <w:pPr>
        <w:spacing w:after="240"/>
        <w:ind w:left="284" w:right="333"/>
        <w:jc w:val="both"/>
        <w:rPr>
          <w:rFonts w:ascii="Century Gothic" w:hAnsi="Century Gothic"/>
          <w:sz w:val="24"/>
          <w:szCs w:val="24"/>
        </w:rPr>
      </w:pPr>
      <w:r w:rsidRPr="00310C9C">
        <w:rPr>
          <w:rFonts w:ascii="Century Gothic" w:hAnsi="Century Gothic"/>
          <w:sz w:val="24"/>
          <w:szCs w:val="24"/>
        </w:rPr>
        <w:t>De acuerdo a los valores requeridos a nivel estatal en cada uno de los subsistemas, Colima tiene una dotación bastante adecuada de equipamiento, sin embargo, tenemos un déficit de unidades en el sistema de cultura en todos los municipios. Asimismo, en el subsistema de salud y asistencia social la asistencia social es un rubro en el cual se debe prestar especial atención debido a la falta de servicios con los que se cuenta.</w:t>
      </w:r>
      <w:r w:rsidR="00310C9C">
        <w:rPr>
          <w:rFonts w:ascii="Century Gothic" w:hAnsi="Century Gothic"/>
          <w:sz w:val="24"/>
          <w:szCs w:val="24"/>
        </w:rPr>
        <w:t xml:space="preserve"> (</w:t>
      </w:r>
      <w:r w:rsidR="00310C9C" w:rsidRPr="00310C9C">
        <w:rPr>
          <w:rFonts w:ascii="Century Gothic" w:hAnsi="Century Gothic"/>
          <w:sz w:val="24"/>
          <w:szCs w:val="24"/>
        </w:rPr>
        <w:t>Programa Sectorial de Desarrollo Urbano y Ordenamiento Territorial 2016 – 2021).</w:t>
      </w:r>
    </w:p>
    <w:p w14:paraId="71A1E78C" w14:textId="77777777" w:rsidR="00E3208D" w:rsidRPr="00DE19D1" w:rsidRDefault="00E3208D" w:rsidP="00E3208D">
      <w:pPr>
        <w:spacing w:after="240"/>
        <w:jc w:val="both"/>
        <w:rPr>
          <w:rFonts w:ascii="Century Gothic" w:hAnsi="Century Gothic"/>
          <w:sz w:val="24"/>
          <w:szCs w:val="24"/>
          <w:lang w:val="es-ES"/>
        </w:rPr>
      </w:pPr>
      <w:r>
        <w:rPr>
          <w:rFonts w:ascii="Century Gothic" w:hAnsi="Century Gothic"/>
          <w:sz w:val="24"/>
          <w:szCs w:val="24"/>
          <w:lang w:val="es-ES"/>
        </w:rPr>
        <w:t>Con estas evidencias se puede concluir que el programa “Infraestructura no Habitacional”, cuenta con los elementos normativos y técnicos que justifican su creación, siendo este relevante para garantizar</w:t>
      </w:r>
      <w:r w:rsidR="00B1766A">
        <w:rPr>
          <w:rFonts w:ascii="Century Gothic" w:hAnsi="Century Gothic"/>
          <w:sz w:val="24"/>
          <w:szCs w:val="24"/>
          <w:lang w:val="es-ES"/>
        </w:rPr>
        <w:t xml:space="preserve"> </w:t>
      </w:r>
      <w:r w:rsidR="00581409">
        <w:rPr>
          <w:rFonts w:ascii="Century Gothic" w:hAnsi="Century Gothic"/>
          <w:sz w:val="24"/>
          <w:szCs w:val="24"/>
          <w:lang w:val="es-ES"/>
        </w:rPr>
        <w:t xml:space="preserve">su desarrollo, sin embargo se recomienda </w:t>
      </w:r>
      <w:r w:rsidR="00581409" w:rsidRPr="00A157D2">
        <w:rPr>
          <w:rFonts w:ascii="Century Gothic" w:hAnsi="Century Gothic"/>
          <w:b/>
          <w:sz w:val="24"/>
          <w:szCs w:val="24"/>
        </w:rPr>
        <w:t>realizar una adecuada clasificación de las obras en los programas a los que se relacionan y contribuyen a su logro</w:t>
      </w:r>
      <w:r w:rsidR="00581409">
        <w:rPr>
          <w:rFonts w:ascii="Century Gothic" w:hAnsi="Century Gothic"/>
          <w:b/>
          <w:sz w:val="24"/>
          <w:szCs w:val="24"/>
        </w:rPr>
        <w:t xml:space="preserve">, </w:t>
      </w:r>
      <w:r w:rsidR="00581409" w:rsidRPr="00581409">
        <w:rPr>
          <w:rFonts w:ascii="Century Gothic" w:hAnsi="Century Gothic"/>
          <w:sz w:val="24"/>
          <w:szCs w:val="24"/>
        </w:rPr>
        <w:t>para así evitar que estas no se reflejen</w:t>
      </w:r>
      <w:r w:rsidR="00581409">
        <w:rPr>
          <w:rFonts w:ascii="Century Gothic" w:hAnsi="Century Gothic"/>
          <w:b/>
          <w:sz w:val="24"/>
          <w:szCs w:val="24"/>
        </w:rPr>
        <w:t xml:space="preserve"> </w:t>
      </w:r>
      <w:r w:rsidR="00581409" w:rsidRPr="00581409">
        <w:rPr>
          <w:rFonts w:ascii="Century Gothic" w:hAnsi="Century Gothic"/>
          <w:sz w:val="24"/>
          <w:szCs w:val="24"/>
        </w:rPr>
        <w:t>adecuadamente en los programas presupuestarios.</w:t>
      </w:r>
    </w:p>
    <w:p w14:paraId="6B3CDA25" w14:textId="77777777" w:rsidR="004F24E8" w:rsidRPr="00252B54" w:rsidRDefault="00252B54" w:rsidP="00CF63A8">
      <w:pPr>
        <w:pStyle w:val="Ttulo2"/>
        <w:spacing w:before="0" w:after="240"/>
        <w:ind w:left="284"/>
        <w:jc w:val="both"/>
        <w:rPr>
          <w:rFonts w:ascii="Century Gothic" w:hAnsi="Century Gothic"/>
          <w:color w:val="0E4E7A"/>
          <w:sz w:val="28"/>
        </w:rPr>
      </w:pPr>
      <w:bookmarkStart w:id="14" w:name="_Toc505364425"/>
      <w:bookmarkStart w:id="15" w:name="_Toc511859769"/>
      <w:r>
        <w:rPr>
          <w:rFonts w:ascii="Century Gothic" w:hAnsi="Century Gothic"/>
          <w:color w:val="0E4E7A"/>
          <w:sz w:val="28"/>
        </w:rPr>
        <w:t>2.1</w:t>
      </w:r>
      <w:r w:rsidR="00B404F0" w:rsidRPr="00252B54">
        <w:rPr>
          <w:rFonts w:ascii="Century Gothic" w:hAnsi="Century Gothic"/>
          <w:color w:val="0E4E7A"/>
          <w:sz w:val="28"/>
        </w:rPr>
        <w:t>.</w:t>
      </w:r>
      <w:r w:rsidR="008D34E8" w:rsidRPr="00252B54">
        <w:rPr>
          <w:rFonts w:ascii="Century Gothic" w:hAnsi="Century Gothic"/>
          <w:color w:val="0E4E7A"/>
          <w:sz w:val="28"/>
        </w:rPr>
        <w:t>2</w:t>
      </w:r>
      <w:r w:rsidR="00B404F0" w:rsidRPr="00252B54">
        <w:rPr>
          <w:rFonts w:ascii="Century Gothic" w:hAnsi="Century Gothic"/>
          <w:color w:val="0E4E7A"/>
          <w:sz w:val="28"/>
        </w:rPr>
        <w:t xml:space="preserve"> </w:t>
      </w:r>
      <w:r w:rsidR="004F24E8" w:rsidRPr="00252B54">
        <w:rPr>
          <w:rFonts w:ascii="Century Gothic" w:hAnsi="Century Gothic"/>
          <w:color w:val="0E4E7A"/>
          <w:sz w:val="28"/>
        </w:rPr>
        <w:t>Análisis de la contribución del programa a las metas y estrategias nacionales.</w:t>
      </w:r>
      <w:bookmarkEnd w:id="14"/>
      <w:bookmarkEnd w:id="15"/>
    </w:p>
    <w:p w14:paraId="1889BA0D" w14:textId="77777777" w:rsidR="00511300" w:rsidRPr="00826B1E" w:rsidRDefault="00511300" w:rsidP="008951C2">
      <w:pPr>
        <w:spacing w:after="240"/>
        <w:jc w:val="both"/>
        <w:rPr>
          <w:rFonts w:ascii="Century Gothic" w:hAnsi="Century Gothic"/>
          <w:sz w:val="24"/>
        </w:rPr>
      </w:pPr>
      <w:r w:rsidRPr="00826B1E">
        <w:rPr>
          <w:rFonts w:ascii="Century Gothic" w:hAnsi="Century Gothic"/>
          <w:sz w:val="24"/>
        </w:rPr>
        <w:t>En este apartado se identifica la vinculación que tiene el fin y propósito del programa con los objetivos de</w:t>
      </w:r>
      <w:r>
        <w:rPr>
          <w:rFonts w:ascii="Century Gothic" w:hAnsi="Century Gothic"/>
          <w:sz w:val="24"/>
        </w:rPr>
        <w:t xml:space="preserve"> </w:t>
      </w:r>
      <w:r w:rsidRPr="00826B1E">
        <w:rPr>
          <w:rFonts w:ascii="Century Gothic" w:hAnsi="Century Gothic"/>
          <w:sz w:val="24"/>
        </w:rPr>
        <w:t>los planes</w:t>
      </w:r>
      <w:r w:rsidR="00CF63A8">
        <w:rPr>
          <w:rFonts w:ascii="Century Gothic" w:hAnsi="Century Gothic"/>
          <w:sz w:val="24"/>
        </w:rPr>
        <w:t xml:space="preserve"> de desarrollo</w:t>
      </w:r>
      <w:r w:rsidRPr="00826B1E">
        <w:rPr>
          <w:rFonts w:ascii="Century Gothic" w:hAnsi="Century Gothic"/>
          <w:sz w:val="24"/>
        </w:rPr>
        <w:t xml:space="preserve"> estatal y nacional, </w:t>
      </w:r>
      <w:r w:rsidRPr="00CF63A8">
        <w:rPr>
          <w:rFonts w:ascii="Century Gothic" w:hAnsi="Century Gothic"/>
          <w:sz w:val="24"/>
        </w:rPr>
        <w:t>y/o programas sectoriales, institucionales;</w:t>
      </w:r>
      <w:r>
        <w:rPr>
          <w:rFonts w:ascii="Century Gothic" w:hAnsi="Century Gothic"/>
          <w:sz w:val="24"/>
        </w:rPr>
        <w:t xml:space="preserve"> </w:t>
      </w:r>
      <w:r w:rsidRPr="00826B1E">
        <w:rPr>
          <w:rFonts w:ascii="Century Gothic" w:hAnsi="Century Gothic"/>
          <w:sz w:val="24"/>
        </w:rPr>
        <w:t>así como los objetivos del milenio de la ONU, esto con el fin de identificar la contribución del programa al logro de los objetivos de estos.</w:t>
      </w:r>
    </w:p>
    <w:p w14:paraId="76B33AE5" w14:textId="77777777" w:rsidR="00511300" w:rsidRDefault="00511300" w:rsidP="008951C2">
      <w:pPr>
        <w:spacing w:after="240"/>
        <w:jc w:val="both"/>
        <w:rPr>
          <w:rFonts w:ascii="Century Gothic" w:hAnsi="Century Gothic"/>
          <w:sz w:val="24"/>
        </w:rPr>
      </w:pPr>
      <w:r>
        <w:rPr>
          <w:rFonts w:ascii="Century Gothic" w:hAnsi="Century Gothic"/>
          <w:sz w:val="24"/>
        </w:rPr>
        <w:t xml:space="preserve">En primer lugar se analizó la vinculación entre </w:t>
      </w:r>
      <w:r w:rsidRPr="0096717A">
        <w:rPr>
          <w:rFonts w:ascii="Century Gothic" w:hAnsi="Century Gothic"/>
          <w:b/>
          <w:sz w:val="24"/>
        </w:rPr>
        <w:t xml:space="preserve">el </w:t>
      </w:r>
      <w:r w:rsidR="008951C2">
        <w:rPr>
          <w:rFonts w:ascii="Century Gothic" w:hAnsi="Century Gothic"/>
          <w:b/>
          <w:sz w:val="24"/>
        </w:rPr>
        <w:t xml:space="preserve">Fin y el </w:t>
      </w:r>
      <w:r w:rsidRPr="0096717A">
        <w:rPr>
          <w:rFonts w:ascii="Century Gothic" w:hAnsi="Century Gothic"/>
          <w:b/>
          <w:sz w:val="24"/>
        </w:rPr>
        <w:t xml:space="preserve">propósito </w:t>
      </w:r>
      <w:r w:rsidR="000726BB">
        <w:rPr>
          <w:rFonts w:ascii="Century Gothic" w:hAnsi="Century Gothic"/>
          <w:b/>
          <w:sz w:val="24"/>
        </w:rPr>
        <w:t>del programa con los Plan</w:t>
      </w:r>
      <w:r w:rsidRPr="0096717A">
        <w:rPr>
          <w:rFonts w:ascii="Century Gothic" w:hAnsi="Century Gothic"/>
          <w:b/>
          <w:sz w:val="24"/>
        </w:rPr>
        <w:t xml:space="preserve"> Estatal</w:t>
      </w:r>
      <w:r w:rsidR="000726BB">
        <w:rPr>
          <w:rFonts w:ascii="Century Gothic" w:hAnsi="Century Gothic"/>
          <w:b/>
          <w:sz w:val="24"/>
        </w:rPr>
        <w:t xml:space="preserve"> de Desarrollo</w:t>
      </w:r>
      <w:r>
        <w:rPr>
          <w:rFonts w:ascii="Century Gothic" w:hAnsi="Century Gothic"/>
          <w:sz w:val="24"/>
        </w:rPr>
        <w:t xml:space="preserve">. </w:t>
      </w:r>
      <w:r w:rsidR="009132FD">
        <w:rPr>
          <w:rFonts w:ascii="Century Gothic" w:hAnsi="Century Gothic"/>
          <w:sz w:val="24"/>
        </w:rPr>
        <w:t>En lo que</w:t>
      </w:r>
      <w:r w:rsidR="000726BB">
        <w:rPr>
          <w:rFonts w:ascii="Century Gothic" w:hAnsi="Century Gothic"/>
          <w:sz w:val="24"/>
        </w:rPr>
        <w:t xml:space="preserve"> la dependencia señaló:</w:t>
      </w:r>
    </w:p>
    <w:p w14:paraId="54E7498B" w14:textId="77777777" w:rsidR="00614983" w:rsidRPr="00614983" w:rsidRDefault="003869FC" w:rsidP="00614983">
      <w:pPr>
        <w:ind w:left="567" w:right="333"/>
        <w:jc w:val="both"/>
        <w:rPr>
          <w:rFonts w:ascii="Century Gothic" w:hAnsi="Century Gothic"/>
          <w:sz w:val="24"/>
        </w:rPr>
      </w:pPr>
      <w:r w:rsidRPr="003869FC">
        <w:rPr>
          <w:rFonts w:ascii="Century Gothic" w:hAnsi="Century Gothic"/>
          <w:sz w:val="24"/>
        </w:rPr>
        <w:lastRenderedPageBreak/>
        <w:t xml:space="preserve">El fin y el propósito contribuyen al Plan estatal específicamente con la meta 2016-2021 marcada como eje II “Colima con mayor calidad </w:t>
      </w:r>
      <w:r w:rsidR="00614983">
        <w:rPr>
          <w:rFonts w:ascii="Century Gothic" w:hAnsi="Century Gothic"/>
          <w:sz w:val="24"/>
        </w:rPr>
        <w:t xml:space="preserve">de vida </w:t>
      </w:r>
      <w:r w:rsidR="00614983" w:rsidRPr="00614983">
        <w:rPr>
          <w:rFonts w:ascii="Century Gothic" w:hAnsi="Century Gothic"/>
          <w:sz w:val="24"/>
        </w:rPr>
        <w:t>específicamente en los puntos 1 y 8.</w:t>
      </w:r>
    </w:p>
    <w:p w14:paraId="47FD3821" w14:textId="77777777" w:rsidR="00614983" w:rsidRPr="00614983" w:rsidRDefault="00614983" w:rsidP="00614983">
      <w:pPr>
        <w:ind w:left="567" w:right="333"/>
        <w:jc w:val="both"/>
        <w:rPr>
          <w:rFonts w:ascii="Century Gothic" w:hAnsi="Century Gothic"/>
          <w:sz w:val="24"/>
        </w:rPr>
      </w:pPr>
      <w:r w:rsidRPr="00614983">
        <w:rPr>
          <w:rFonts w:ascii="Century Gothic" w:hAnsi="Century Gothic"/>
          <w:sz w:val="24"/>
        </w:rPr>
        <w:t>1.- Elimina la pobreza. Dado que el programa contribuye a la construcción de infraestructura para el saneamiento y servicios básicos en ciudades y localidades rurales, la generación de espacios públicos que propician la inclusión y la conectividad.</w:t>
      </w:r>
    </w:p>
    <w:p w14:paraId="585F33A3" w14:textId="77777777" w:rsidR="00614983" w:rsidRPr="00614983" w:rsidRDefault="00614983" w:rsidP="00614983">
      <w:pPr>
        <w:ind w:left="567" w:right="333"/>
        <w:jc w:val="both"/>
        <w:rPr>
          <w:rFonts w:ascii="Century Gothic" w:hAnsi="Century Gothic"/>
          <w:sz w:val="24"/>
        </w:rPr>
      </w:pPr>
      <w:r w:rsidRPr="00614983">
        <w:rPr>
          <w:rFonts w:ascii="Century Gothic" w:hAnsi="Century Gothic"/>
          <w:sz w:val="24"/>
        </w:rPr>
        <w:t>8.-Mejorar en la satisfacción de los colimenses con los servicios públicos alcanzando una calificación del 70%</w:t>
      </w:r>
      <w:r>
        <w:rPr>
          <w:rStyle w:val="Refdenotaalpie"/>
          <w:rFonts w:ascii="Century Gothic" w:hAnsi="Century Gothic"/>
          <w:sz w:val="24"/>
        </w:rPr>
        <w:footnoteReference w:id="9"/>
      </w:r>
      <w:r>
        <w:rPr>
          <w:rFonts w:ascii="Century Gothic" w:hAnsi="Century Gothic"/>
          <w:sz w:val="24"/>
        </w:rPr>
        <w:t>.</w:t>
      </w:r>
    </w:p>
    <w:p w14:paraId="574CD266" w14:textId="77777777" w:rsidR="00614983" w:rsidRDefault="003E048E" w:rsidP="008951C2">
      <w:pPr>
        <w:spacing w:after="240"/>
        <w:jc w:val="both"/>
        <w:rPr>
          <w:rFonts w:ascii="Century Gothic" w:hAnsi="Century Gothic"/>
          <w:sz w:val="24"/>
        </w:rPr>
      </w:pPr>
      <w:r>
        <w:rPr>
          <w:rFonts w:ascii="Century Gothic" w:hAnsi="Century Gothic"/>
          <w:sz w:val="24"/>
        </w:rPr>
        <w:t xml:space="preserve">Así, al revisar el Plan Estatal de Desarrollo se identificó que </w:t>
      </w:r>
      <w:r w:rsidRPr="003E048E">
        <w:rPr>
          <w:rFonts w:ascii="Century Gothic" w:hAnsi="Century Gothic"/>
          <w:b/>
          <w:sz w:val="24"/>
        </w:rPr>
        <w:t>el programa se vincula directamente con el objetivo II. 4.1</w:t>
      </w:r>
      <w:r>
        <w:rPr>
          <w:rFonts w:ascii="Century Gothic" w:hAnsi="Century Gothic"/>
          <w:sz w:val="24"/>
        </w:rPr>
        <w:t xml:space="preserve">, como se presenta en el siguiente cuadro: </w:t>
      </w:r>
    </w:p>
    <w:tbl>
      <w:tblPr>
        <w:tblStyle w:val="Tabladecuadrcula5oscura-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6787"/>
      </w:tblGrid>
      <w:tr w:rsidR="00D70014" w:rsidRPr="00070621" w14:paraId="13A8A987" w14:textId="77777777" w:rsidTr="005B378D">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right w:val="none" w:sz="0" w:space="0" w:color="auto"/>
            </w:tcBorders>
            <w:shd w:val="clear" w:color="auto" w:fill="0E4E7A"/>
            <w:vAlign w:val="center"/>
          </w:tcPr>
          <w:p w14:paraId="39307942" w14:textId="77777777" w:rsidR="00D70014" w:rsidRPr="00070621" w:rsidRDefault="003E3B3D" w:rsidP="005B378D">
            <w:pPr>
              <w:jc w:val="center"/>
              <w:rPr>
                <w:rFonts w:eastAsia="Times New Roman" w:cstheme="minorHAnsi"/>
              </w:rPr>
            </w:pPr>
            <w:r>
              <w:rPr>
                <w:rFonts w:eastAsia="Times New Roman" w:cstheme="minorHAnsi"/>
              </w:rPr>
              <w:t>Cuadro 2.7</w:t>
            </w:r>
            <w:r w:rsidR="00D70014" w:rsidRPr="00070621">
              <w:rPr>
                <w:rFonts w:eastAsia="Times New Roman" w:cstheme="minorHAnsi"/>
              </w:rPr>
              <w:t xml:space="preserve">  </w:t>
            </w:r>
            <w:r w:rsidR="00D70014" w:rsidRPr="00070621">
              <w:rPr>
                <w:rFonts w:eastAsia="Calibri" w:cstheme="minorHAnsi"/>
                <w:kern w:val="24"/>
              </w:rPr>
              <w:t>Vinculación del objetivo de Fin</w:t>
            </w:r>
            <w:r w:rsidR="00D70014">
              <w:rPr>
                <w:rFonts w:eastAsia="Calibri" w:cstheme="minorHAnsi"/>
                <w:kern w:val="24"/>
              </w:rPr>
              <w:t xml:space="preserve"> y Propósito</w:t>
            </w:r>
            <w:r w:rsidR="00D70014" w:rsidRPr="00070621">
              <w:rPr>
                <w:rFonts w:eastAsia="Calibri" w:cstheme="minorHAnsi"/>
                <w:kern w:val="24"/>
              </w:rPr>
              <w:t xml:space="preserve"> del programa </w:t>
            </w:r>
            <w:r w:rsidR="00D70014">
              <w:rPr>
                <w:rFonts w:eastAsia="Calibri" w:cstheme="minorHAnsi"/>
                <w:kern w:val="24"/>
              </w:rPr>
              <w:t>Infraestructura no Habitacional</w:t>
            </w:r>
            <w:r w:rsidR="00D70014" w:rsidRPr="00070621">
              <w:rPr>
                <w:rFonts w:eastAsia="Calibri" w:cstheme="minorHAnsi"/>
                <w:kern w:val="24"/>
              </w:rPr>
              <w:t xml:space="preserve">, con objetivos de política pública </w:t>
            </w:r>
            <w:r w:rsidR="00D70014">
              <w:rPr>
                <w:rFonts w:eastAsia="Calibri" w:cstheme="minorHAnsi"/>
                <w:kern w:val="24"/>
              </w:rPr>
              <w:t>estatal.</w:t>
            </w:r>
          </w:p>
        </w:tc>
      </w:tr>
      <w:tr w:rsidR="00D70014" w:rsidRPr="00070621" w14:paraId="1978288B" w14:textId="77777777" w:rsidTr="003863DB">
        <w:trPr>
          <w:cnfStyle w:val="000000100000" w:firstRow="0" w:lastRow="0" w:firstColumn="0" w:lastColumn="0" w:oddVBand="0" w:evenVBand="0" w:oddHBand="1" w:evenHBand="0" w:firstRowFirstColumn="0" w:firstRowLastColumn="0" w:lastRowFirstColumn="0" w:lastRowLastColumn="0"/>
          <w:trHeight w:val="1516"/>
        </w:trPr>
        <w:tc>
          <w:tcPr>
            <w:cnfStyle w:val="001000000000" w:firstRow="0" w:lastRow="0" w:firstColumn="1" w:lastColumn="0" w:oddVBand="0" w:evenVBand="0" w:oddHBand="0" w:evenHBand="0" w:firstRowFirstColumn="0" w:firstRowLastColumn="0" w:lastRowFirstColumn="0" w:lastRowLastColumn="0"/>
            <w:tcW w:w="1156" w:type="pct"/>
            <w:tcBorders>
              <w:left w:val="none" w:sz="0" w:space="0" w:color="auto"/>
            </w:tcBorders>
            <w:shd w:val="clear" w:color="auto" w:fill="0E4E7A"/>
            <w:vAlign w:val="center"/>
          </w:tcPr>
          <w:p w14:paraId="487C5DA2" w14:textId="77777777" w:rsidR="00D70014" w:rsidRPr="00070621" w:rsidRDefault="00D70014" w:rsidP="007B086D">
            <w:pPr>
              <w:jc w:val="center"/>
              <w:rPr>
                <w:rFonts w:eastAsia="Times New Roman" w:cstheme="minorHAnsi"/>
                <w:color w:val="FFFFFF"/>
              </w:rPr>
            </w:pPr>
            <w:r>
              <w:rPr>
                <w:rFonts w:eastAsia="Times New Roman" w:cstheme="minorHAnsi"/>
                <w:color w:val="FFFFFF"/>
              </w:rPr>
              <w:t>Fin</w:t>
            </w:r>
          </w:p>
        </w:tc>
        <w:tc>
          <w:tcPr>
            <w:tcW w:w="3844" w:type="pct"/>
            <w:shd w:val="clear" w:color="auto" w:fill="auto"/>
            <w:vAlign w:val="center"/>
          </w:tcPr>
          <w:p w14:paraId="6620F587" w14:textId="77777777" w:rsidR="00D70014" w:rsidRPr="00070621" w:rsidRDefault="007B086D" w:rsidP="0061498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B086D">
              <w:rPr>
                <w:rFonts w:eastAsia="Times New Roman" w:cstheme="minorHAnsi"/>
              </w:rPr>
              <w:t xml:space="preserve">Contribuir en el </w:t>
            </w:r>
            <w:r w:rsidRPr="00855158">
              <w:rPr>
                <w:rFonts w:eastAsia="Times New Roman" w:cstheme="minorHAnsi"/>
                <w:b/>
                <w:color w:val="00B050"/>
              </w:rPr>
              <w:t>desarrollo de la infraestructura Estatal</w:t>
            </w:r>
            <w:r w:rsidRPr="007B086D">
              <w:rPr>
                <w:rFonts w:eastAsia="Times New Roman" w:cstheme="minorHAnsi"/>
              </w:rPr>
              <w:t>, para que la sociedad cuente con edificaciones</w:t>
            </w:r>
            <w:r>
              <w:rPr>
                <w:rFonts w:eastAsia="Times New Roman" w:cstheme="minorHAnsi"/>
              </w:rPr>
              <w:t xml:space="preserve"> </w:t>
            </w:r>
            <w:r w:rsidR="00614983">
              <w:rPr>
                <w:rFonts w:eastAsia="Times New Roman" w:cstheme="minorHAnsi"/>
              </w:rPr>
              <w:t>q</w:t>
            </w:r>
            <w:r w:rsidRPr="007B086D">
              <w:rPr>
                <w:rFonts w:eastAsia="Times New Roman" w:cstheme="minorHAnsi"/>
              </w:rPr>
              <w:t>ue brinden servicios gubernamentales, educativos,</w:t>
            </w:r>
            <w:r>
              <w:rPr>
                <w:rFonts w:eastAsia="Times New Roman" w:cstheme="minorHAnsi"/>
              </w:rPr>
              <w:t xml:space="preserve"> </w:t>
            </w:r>
            <w:r w:rsidRPr="007B086D">
              <w:rPr>
                <w:rFonts w:eastAsia="Times New Roman" w:cstheme="minorHAnsi"/>
              </w:rPr>
              <w:t>Culturales, en materia de seguridad y/o de salud,</w:t>
            </w:r>
            <w:r>
              <w:rPr>
                <w:rFonts w:eastAsia="Times New Roman" w:cstheme="minorHAnsi"/>
              </w:rPr>
              <w:t xml:space="preserve"> </w:t>
            </w:r>
            <w:r w:rsidRPr="007B086D">
              <w:rPr>
                <w:rFonts w:eastAsia="Times New Roman" w:cstheme="minorHAnsi"/>
              </w:rPr>
              <w:t>Accesibles y seguros mediante la adecuada planeación,</w:t>
            </w:r>
            <w:r w:rsidR="003863DB">
              <w:rPr>
                <w:rFonts w:eastAsia="Times New Roman" w:cstheme="minorHAnsi"/>
              </w:rPr>
              <w:t xml:space="preserve"> </w:t>
            </w:r>
            <w:r w:rsidRPr="007B086D">
              <w:rPr>
                <w:rFonts w:eastAsia="Times New Roman" w:cstheme="minorHAnsi"/>
              </w:rPr>
              <w:t>Seguimiento y control de la obra publica</w:t>
            </w:r>
          </w:p>
        </w:tc>
      </w:tr>
      <w:tr w:rsidR="00D70014" w:rsidRPr="00070621" w14:paraId="7D1E3B80" w14:textId="77777777" w:rsidTr="003863DB">
        <w:trPr>
          <w:trHeight w:val="970"/>
        </w:trPr>
        <w:tc>
          <w:tcPr>
            <w:cnfStyle w:val="001000000000" w:firstRow="0" w:lastRow="0" w:firstColumn="1" w:lastColumn="0" w:oddVBand="0" w:evenVBand="0" w:oddHBand="0" w:evenHBand="0" w:firstRowFirstColumn="0" w:firstRowLastColumn="0" w:lastRowFirstColumn="0" w:lastRowLastColumn="0"/>
            <w:tcW w:w="1156" w:type="pct"/>
            <w:tcBorders>
              <w:left w:val="none" w:sz="0" w:space="0" w:color="auto"/>
            </w:tcBorders>
            <w:shd w:val="clear" w:color="auto" w:fill="0E4E7A"/>
            <w:vAlign w:val="center"/>
            <w:hideMark/>
          </w:tcPr>
          <w:p w14:paraId="31B81093" w14:textId="77777777" w:rsidR="00D70014" w:rsidRPr="00C6168D" w:rsidRDefault="00D70014" w:rsidP="007B086D">
            <w:pPr>
              <w:jc w:val="center"/>
              <w:rPr>
                <w:rFonts w:eastAsia="Times New Roman" w:cstheme="minorHAnsi"/>
              </w:rPr>
            </w:pPr>
            <w:r>
              <w:rPr>
                <w:rFonts w:eastAsia="Times New Roman" w:cstheme="minorHAnsi"/>
                <w:bCs w:val="0"/>
              </w:rPr>
              <w:t>Propósito</w:t>
            </w:r>
          </w:p>
        </w:tc>
        <w:tc>
          <w:tcPr>
            <w:tcW w:w="3844" w:type="pct"/>
            <w:shd w:val="clear" w:color="auto" w:fill="auto"/>
            <w:vAlign w:val="center"/>
          </w:tcPr>
          <w:p w14:paraId="7D609417" w14:textId="77777777" w:rsidR="00D70014" w:rsidRPr="00C6168D" w:rsidRDefault="007B086D" w:rsidP="003863D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B086D">
              <w:rPr>
                <w:rFonts w:eastAsia="Times New Roman" w:cstheme="minorHAnsi"/>
              </w:rPr>
              <w:t xml:space="preserve">Que la población cuente con </w:t>
            </w:r>
            <w:r w:rsidRPr="00855158">
              <w:rPr>
                <w:rFonts w:eastAsia="Times New Roman" w:cstheme="minorHAnsi"/>
                <w:b/>
                <w:color w:val="00B050"/>
              </w:rPr>
              <w:t>mayor y mejor</w:t>
            </w:r>
            <w:r w:rsidR="003863DB" w:rsidRPr="00855158">
              <w:rPr>
                <w:rFonts w:eastAsia="Times New Roman" w:cstheme="minorHAnsi"/>
                <w:b/>
                <w:color w:val="00B050"/>
              </w:rPr>
              <w:t xml:space="preserve"> </w:t>
            </w:r>
            <w:r w:rsidRPr="00855158">
              <w:rPr>
                <w:rFonts w:eastAsia="Times New Roman" w:cstheme="minorHAnsi"/>
                <w:b/>
                <w:color w:val="00B050"/>
              </w:rPr>
              <w:t>Infraestructura</w:t>
            </w:r>
            <w:r w:rsidRPr="00855158">
              <w:rPr>
                <w:rFonts w:eastAsia="Times New Roman" w:cstheme="minorHAnsi"/>
                <w:color w:val="00B050"/>
              </w:rPr>
              <w:t xml:space="preserve"> </w:t>
            </w:r>
            <w:r w:rsidRPr="007B086D">
              <w:rPr>
                <w:rFonts w:eastAsia="Times New Roman" w:cstheme="minorHAnsi"/>
              </w:rPr>
              <w:t>necesaria para recibir los servicios</w:t>
            </w:r>
            <w:r w:rsidR="003863DB">
              <w:rPr>
                <w:rFonts w:eastAsia="Times New Roman" w:cstheme="minorHAnsi"/>
              </w:rPr>
              <w:t xml:space="preserve"> </w:t>
            </w:r>
            <w:r w:rsidRPr="007B086D">
              <w:rPr>
                <w:rFonts w:eastAsia="Times New Roman" w:cstheme="minorHAnsi"/>
              </w:rPr>
              <w:t>Públicos necesarios para el desarrollo y la convivencia</w:t>
            </w:r>
            <w:r w:rsidR="003863DB">
              <w:rPr>
                <w:rFonts w:eastAsia="Times New Roman" w:cstheme="minorHAnsi"/>
              </w:rPr>
              <w:t xml:space="preserve"> e</w:t>
            </w:r>
            <w:r w:rsidRPr="007B086D">
              <w:rPr>
                <w:rFonts w:eastAsia="Times New Roman" w:cstheme="minorHAnsi"/>
              </w:rPr>
              <w:t>n el estado.</w:t>
            </w:r>
          </w:p>
        </w:tc>
      </w:tr>
      <w:tr w:rsidR="00D70014" w:rsidRPr="00070621" w14:paraId="46C630AE" w14:textId="77777777" w:rsidTr="00D70014">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1156" w:type="pct"/>
            <w:tcBorders>
              <w:left w:val="none" w:sz="0" w:space="0" w:color="auto"/>
            </w:tcBorders>
            <w:shd w:val="clear" w:color="auto" w:fill="0E4E7A"/>
            <w:vAlign w:val="center"/>
            <w:hideMark/>
          </w:tcPr>
          <w:p w14:paraId="0BDD952A" w14:textId="77777777" w:rsidR="00D70014" w:rsidRPr="00C6168D" w:rsidRDefault="00D70014" w:rsidP="007B086D">
            <w:pPr>
              <w:jc w:val="center"/>
              <w:rPr>
                <w:rFonts w:eastAsia="Times New Roman" w:cstheme="minorHAnsi"/>
                <w:bCs w:val="0"/>
              </w:rPr>
            </w:pPr>
            <w:r w:rsidRPr="00C6168D">
              <w:rPr>
                <w:rFonts w:eastAsia="Times New Roman" w:cstheme="minorHAnsi"/>
                <w:bCs w:val="0"/>
              </w:rPr>
              <w:t>Plan Estatal de Desarrollo</w:t>
            </w:r>
          </w:p>
          <w:p w14:paraId="4EB022E1" w14:textId="77777777" w:rsidR="00D70014" w:rsidRPr="00C6168D" w:rsidRDefault="00D70014" w:rsidP="007B086D">
            <w:pPr>
              <w:jc w:val="center"/>
              <w:rPr>
                <w:rFonts w:eastAsia="Times New Roman" w:cstheme="minorHAnsi"/>
              </w:rPr>
            </w:pPr>
            <w:r>
              <w:rPr>
                <w:rFonts w:eastAsia="Times New Roman" w:cstheme="minorHAnsi"/>
              </w:rPr>
              <w:t>2016 – 2021</w:t>
            </w:r>
          </w:p>
        </w:tc>
        <w:tc>
          <w:tcPr>
            <w:tcW w:w="3844" w:type="pct"/>
            <w:shd w:val="clear" w:color="auto" w:fill="auto"/>
            <w:vAlign w:val="center"/>
          </w:tcPr>
          <w:p w14:paraId="5636FB89" w14:textId="77777777" w:rsidR="00614983" w:rsidRDefault="003E048E" w:rsidP="003E048E">
            <w:pPr>
              <w:spacing w:before="120" w:after="120"/>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Línea de política 4.</w:t>
            </w:r>
          </w:p>
          <w:p w14:paraId="165CA2E5" w14:textId="77777777" w:rsidR="003E048E" w:rsidRDefault="003E048E" w:rsidP="003E048E">
            <w:pPr>
              <w:spacing w:before="120" w:after="120"/>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Objetivo II.4.1 Promover el desarrollo urbano y metropolitano equilibrado del estado, a fin de que los colimenses disfruten de mayor bienestar social.</w:t>
            </w:r>
          </w:p>
          <w:p w14:paraId="7AE1E2C9" w14:textId="77777777" w:rsidR="003E048E" w:rsidRPr="00C6168D" w:rsidRDefault="003E048E" w:rsidP="00855158">
            <w:pPr>
              <w:spacing w:before="120" w:after="120"/>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 xml:space="preserve">Estrategia II.4.1.1. </w:t>
            </w:r>
            <w:r w:rsidRPr="00855158">
              <w:rPr>
                <w:rFonts w:eastAsia="Times New Roman" w:cstheme="minorHAnsi"/>
                <w:b/>
                <w:color w:val="00B050"/>
              </w:rPr>
              <w:t>Mejorar la infraestructura y el equipamiento</w:t>
            </w:r>
            <w:r w:rsidRPr="00855158">
              <w:rPr>
                <w:rFonts w:eastAsia="Times New Roman" w:cstheme="minorHAnsi"/>
                <w:color w:val="00B050"/>
              </w:rPr>
              <w:t xml:space="preserve"> </w:t>
            </w:r>
            <w:r>
              <w:rPr>
                <w:rFonts w:eastAsia="Times New Roman" w:cstheme="minorHAnsi"/>
              </w:rPr>
              <w:t>de las ciudades, acorde a su crecimiento urbano.</w:t>
            </w:r>
          </w:p>
        </w:tc>
      </w:tr>
      <w:tr w:rsidR="00D70014" w:rsidRPr="00070621" w14:paraId="72E547F6" w14:textId="77777777" w:rsidTr="009D24F2">
        <w:trPr>
          <w:trHeight w:val="476"/>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none" w:sz="0" w:space="0" w:color="auto"/>
              <w:bottom w:val="none" w:sz="0" w:space="0" w:color="auto"/>
            </w:tcBorders>
            <w:shd w:val="clear" w:color="auto" w:fill="auto"/>
            <w:vAlign w:val="center"/>
          </w:tcPr>
          <w:p w14:paraId="3C466033" w14:textId="77777777" w:rsidR="00D70014" w:rsidRPr="00C6168D" w:rsidRDefault="00D70014" w:rsidP="009D24F2">
            <w:pPr>
              <w:jc w:val="both"/>
              <w:rPr>
                <w:rFonts w:eastAsia="Times New Roman" w:cstheme="minorHAnsi"/>
                <w:color w:val="auto"/>
                <w:sz w:val="20"/>
                <w:szCs w:val="20"/>
              </w:rPr>
            </w:pPr>
            <w:r w:rsidRPr="00C6168D">
              <w:rPr>
                <w:rFonts w:eastAsia="Times New Roman" w:cstheme="minorHAnsi"/>
                <w:color w:val="auto"/>
                <w:sz w:val="20"/>
                <w:szCs w:val="20"/>
              </w:rPr>
              <w:t xml:space="preserve">Fuente: </w:t>
            </w:r>
            <w:r w:rsidRPr="00C6168D">
              <w:rPr>
                <w:rFonts w:cs="Times New Roman"/>
                <w:b w:val="0"/>
                <w:color w:val="auto"/>
                <w:sz w:val="20"/>
                <w:szCs w:val="20"/>
              </w:rPr>
              <w:t>Elaborado por TECSO con</w:t>
            </w:r>
            <w:r>
              <w:rPr>
                <w:rFonts w:cs="Times New Roman"/>
                <w:b w:val="0"/>
                <w:color w:val="auto"/>
                <w:sz w:val="20"/>
                <w:szCs w:val="20"/>
              </w:rPr>
              <w:t xml:space="preserve"> base en información de la MIR del programa y el </w:t>
            </w:r>
            <w:r w:rsidRPr="00C6168D">
              <w:rPr>
                <w:rFonts w:cs="Times New Roman"/>
                <w:b w:val="0"/>
                <w:color w:val="auto"/>
                <w:sz w:val="20"/>
                <w:szCs w:val="20"/>
              </w:rPr>
              <w:t>Plan Estatal de Desarrollo</w:t>
            </w:r>
            <w:r>
              <w:rPr>
                <w:rFonts w:cs="Times New Roman"/>
                <w:b w:val="0"/>
                <w:color w:val="auto"/>
                <w:sz w:val="20"/>
                <w:szCs w:val="20"/>
              </w:rPr>
              <w:t>2016 – 2021</w:t>
            </w:r>
            <w:r w:rsidRPr="00C6168D">
              <w:rPr>
                <w:rFonts w:cs="Times New Roman"/>
                <w:b w:val="0"/>
                <w:color w:val="auto"/>
                <w:sz w:val="20"/>
                <w:szCs w:val="20"/>
              </w:rPr>
              <w:t>.</w:t>
            </w:r>
          </w:p>
        </w:tc>
      </w:tr>
    </w:tbl>
    <w:p w14:paraId="6106947D" w14:textId="77777777" w:rsidR="00D70014" w:rsidRPr="00855158" w:rsidRDefault="00D70014" w:rsidP="008951C2">
      <w:pPr>
        <w:spacing w:after="240"/>
        <w:jc w:val="both"/>
        <w:rPr>
          <w:rFonts w:ascii="Century Gothic" w:hAnsi="Century Gothic"/>
          <w:sz w:val="2"/>
        </w:rPr>
      </w:pPr>
    </w:p>
    <w:p w14:paraId="547B5D72" w14:textId="77777777" w:rsidR="00D70014" w:rsidRDefault="003E048E" w:rsidP="008951C2">
      <w:pPr>
        <w:spacing w:after="240"/>
        <w:jc w:val="both"/>
        <w:rPr>
          <w:rFonts w:ascii="Century Gothic" w:hAnsi="Century Gothic"/>
          <w:sz w:val="24"/>
        </w:rPr>
      </w:pPr>
      <w:r>
        <w:rPr>
          <w:rFonts w:ascii="Century Gothic" w:hAnsi="Century Gothic"/>
          <w:sz w:val="24"/>
        </w:rPr>
        <w:t>Sin embargo, al revis</w:t>
      </w:r>
      <w:r w:rsidR="00F14C49">
        <w:rPr>
          <w:rFonts w:ascii="Century Gothic" w:hAnsi="Century Gothic"/>
          <w:sz w:val="24"/>
        </w:rPr>
        <w:t>ar el plan estatal y tomando como</w:t>
      </w:r>
      <w:r>
        <w:rPr>
          <w:rFonts w:ascii="Century Gothic" w:hAnsi="Century Gothic"/>
          <w:sz w:val="24"/>
        </w:rPr>
        <w:t xml:space="preserve"> base las obras que se realizaron, se identificaron puntualmente a que objetivos del plan contribuye el programa. Dado la diversidad de obras en infraestructura se </w:t>
      </w:r>
      <w:r>
        <w:rPr>
          <w:rFonts w:ascii="Century Gothic" w:hAnsi="Century Gothic"/>
          <w:sz w:val="24"/>
        </w:rPr>
        <w:lastRenderedPageBreak/>
        <w:t>identificaron varios objetivos con sus respectivas líneas de acción, tal como se muestra en el siguiente cuadro:</w:t>
      </w:r>
    </w:p>
    <w:tbl>
      <w:tblPr>
        <w:tblStyle w:val="Tablaconcuadrcula"/>
        <w:tblW w:w="0" w:type="auto"/>
        <w:tblLook w:val="04A0" w:firstRow="1" w:lastRow="0" w:firstColumn="1" w:lastColumn="0" w:noHBand="0" w:noVBand="1"/>
      </w:tblPr>
      <w:tblGrid>
        <w:gridCol w:w="2218"/>
        <w:gridCol w:w="6610"/>
      </w:tblGrid>
      <w:tr w:rsidR="006D7A43" w14:paraId="31B90A01" w14:textId="77777777" w:rsidTr="0003781B">
        <w:tc>
          <w:tcPr>
            <w:tcW w:w="8978" w:type="dxa"/>
            <w:gridSpan w:val="2"/>
            <w:shd w:val="clear" w:color="auto" w:fill="0E4E7A"/>
            <w:vAlign w:val="center"/>
          </w:tcPr>
          <w:p w14:paraId="1BBCB6AF" w14:textId="77777777" w:rsidR="006D7A43" w:rsidRPr="006D7A43" w:rsidRDefault="003E3B3D" w:rsidP="006D7A43">
            <w:pPr>
              <w:jc w:val="center"/>
              <w:rPr>
                <w:rFonts w:eastAsia="Times New Roman" w:cstheme="minorHAnsi"/>
                <w:b/>
                <w:color w:val="FFFFFF" w:themeColor="background1"/>
              </w:rPr>
            </w:pPr>
            <w:r>
              <w:rPr>
                <w:rFonts w:eastAsia="Times New Roman" w:cstheme="minorHAnsi"/>
                <w:b/>
                <w:color w:val="FFFFFF" w:themeColor="background1"/>
              </w:rPr>
              <w:t>Cuadro 2.8</w:t>
            </w:r>
            <w:r w:rsidR="006D7A43">
              <w:rPr>
                <w:rFonts w:eastAsia="Times New Roman" w:cstheme="minorHAnsi"/>
                <w:b/>
                <w:color w:val="FFFFFF" w:themeColor="background1"/>
              </w:rPr>
              <w:t xml:space="preserve">. Vinculación </w:t>
            </w:r>
            <w:r w:rsidR="006D7A43" w:rsidRPr="006D7A43">
              <w:rPr>
                <w:rFonts w:eastAsia="Times New Roman" w:cstheme="minorHAnsi"/>
                <w:b/>
                <w:color w:val="FFFFFF" w:themeColor="background1"/>
              </w:rPr>
              <w:t>del programa Infraestructura no Habitacional, con objeti</w:t>
            </w:r>
            <w:r w:rsidR="006D7A43">
              <w:rPr>
                <w:rFonts w:eastAsia="Times New Roman" w:cstheme="minorHAnsi"/>
                <w:b/>
                <w:color w:val="FFFFFF" w:themeColor="background1"/>
              </w:rPr>
              <w:t>vos de política pública estatal, según el tipo de obra.</w:t>
            </w:r>
          </w:p>
        </w:tc>
      </w:tr>
      <w:tr w:rsidR="00855158" w14:paraId="68F73803" w14:textId="77777777" w:rsidTr="006D7A43">
        <w:tc>
          <w:tcPr>
            <w:tcW w:w="2235" w:type="dxa"/>
            <w:shd w:val="clear" w:color="auto" w:fill="0E4E7A"/>
            <w:vAlign w:val="center"/>
          </w:tcPr>
          <w:p w14:paraId="22C18535" w14:textId="77777777" w:rsidR="00855158" w:rsidRPr="006D7A43" w:rsidRDefault="00855158" w:rsidP="006D7A43">
            <w:pPr>
              <w:jc w:val="center"/>
              <w:rPr>
                <w:rFonts w:eastAsia="Times New Roman" w:cstheme="minorHAnsi"/>
                <w:b/>
                <w:color w:val="FFFFFF" w:themeColor="background1"/>
              </w:rPr>
            </w:pPr>
            <w:r w:rsidRPr="006D7A43">
              <w:rPr>
                <w:rFonts w:eastAsia="Times New Roman" w:cstheme="minorHAnsi"/>
                <w:b/>
                <w:color w:val="FFFFFF" w:themeColor="background1"/>
              </w:rPr>
              <w:t>Tipo de obra</w:t>
            </w:r>
          </w:p>
        </w:tc>
        <w:tc>
          <w:tcPr>
            <w:tcW w:w="6743" w:type="dxa"/>
            <w:shd w:val="clear" w:color="auto" w:fill="0E4E7A"/>
            <w:vAlign w:val="center"/>
          </w:tcPr>
          <w:p w14:paraId="7520089C" w14:textId="77777777" w:rsidR="00855158" w:rsidRPr="006D7A43" w:rsidRDefault="006D7A43" w:rsidP="006D7A43">
            <w:pPr>
              <w:jc w:val="center"/>
              <w:rPr>
                <w:rFonts w:eastAsia="Times New Roman" w:cstheme="minorHAnsi"/>
                <w:b/>
                <w:color w:val="FFFFFF" w:themeColor="background1"/>
              </w:rPr>
            </w:pPr>
            <w:r w:rsidRPr="006D7A43">
              <w:rPr>
                <w:rFonts w:eastAsia="Times New Roman" w:cstheme="minorHAnsi"/>
                <w:b/>
                <w:color w:val="FFFFFF" w:themeColor="background1"/>
              </w:rPr>
              <w:t>Vinculación</w:t>
            </w:r>
          </w:p>
        </w:tc>
      </w:tr>
      <w:tr w:rsidR="00855158" w14:paraId="53FCA0F3" w14:textId="77777777" w:rsidTr="006D7A43">
        <w:tc>
          <w:tcPr>
            <w:tcW w:w="2235" w:type="dxa"/>
            <w:vAlign w:val="center"/>
          </w:tcPr>
          <w:p w14:paraId="6F2CC84B" w14:textId="77777777" w:rsidR="00855158" w:rsidRDefault="00855158" w:rsidP="006D7A43">
            <w:pPr>
              <w:jc w:val="center"/>
              <w:rPr>
                <w:rFonts w:eastAsia="Times New Roman" w:cstheme="minorHAnsi"/>
              </w:rPr>
            </w:pPr>
            <w:r>
              <w:rPr>
                <w:rFonts w:eastAsia="Times New Roman" w:cstheme="minorHAnsi"/>
              </w:rPr>
              <w:t>Infraestructura para Comedores comunitarios</w:t>
            </w:r>
          </w:p>
        </w:tc>
        <w:tc>
          <w:tcPr>
            <w:tcW w:w="6743" w:type="dxa"/>
          </w:tcPr>
          <w:p w14:paraId="240CD318" w14:textId="77777777" w:rsidR="00855158" w:rsidRDefault="00855158" w:rsidP="006D7A43">
            <w:pPr>
              <w:jc w:val="both"/>
              <w:rPr>
                <w:rFonts w:eastAsia="Times New Roman" w:cstheme="minorHAnsi"/>
              </w:rPr>
            </w:pPr>
            <w:r>
              <w:rPr>
                <w:rFonts w:eastAsia="Times New Roman" w:cstheme="minorHAnsi"/>
              </w:rPr>
              <w:t>Objetivo II.1.1., Estrategia II 1.1.1</w:t>
            </w:r>
          </w:p>
          <w:p w14:paraId="1B0AFE49" w14:textId="77777777" w:rsidR="00855158" w:rsidRDefault="00855158" w:rsidP="006D7A43">
            <w:pPr>
              <w:jc w:val="both"/>
              <w:rPr>
                <w:rFonts w:eastAsia="Times New Roman" w:cstheme="minorHAnsi"/>
              </w:rPr>
            </w:pPr>
            <w:r>
              <w:rPr>
                <w:rFonts w:eastAsia="Times New Roman" w:cstheme="minorHAnsi"/>
              </w:rPr>
              <w:t>Línea de acción:</w:t>
            </w:r>
          </w:p>
          <w:p w14:paraId="0FCA03B3" w14:textId="77777777" w:rsidR="00855158" w:rsidRDefault="00855158" w:rsidP="006D7A43">
            <w:pPr>
              <w:jc w:val="both"/>
              <w:rPr>
                <w:rFonts w:eastAsia="Times New Roman" w:cstheme="minorHAnsi"/>
              </w:rPr>
            </w:pPr>
            <w:r>
              <w:rPr>
                <w:rFonts w:eastAsia="Times New Roman" w:cstheme="minorHAnsi"/>
              </w:rPr>
              <w:t xml:space="preserve">Creación de más </w:t>
            </w:r>
            <w:r w:rsidRPr="00DF409D">
              <w:rPr>
                <w:rFonts w:eastAsia="Times New Roman" w:cstheme="minorHAnsi"/>
                <w:b/>
                <w:color w:val="00B050"/>
              </w:rPr>
              <w:t>comedores comunitarios</w:t>
            </w:r>
            <w:r w:rsidRPr="00DF409D">
              <w:rPr>
                <w:rFonts w:eastAsia="Times New Roman" w:cstheme="minorHAnsi"/>
                <w:color w:val="00B050"/>
              </w:rPr>
              <w:t xml:space="preserve"> </w:t>
            </w:r>
            <w:r>
              <w:rPr>
                <w:rFonts w:eastAsia="Times New Roman" w:cstheme="minorHAnsi"/>
              </w:rPr>
              <w:t>para las personas en situación de pobreza extrema y carencia alimentaria.</w:t>
            </w:r>
          </w:p>
        </w:tc>
      </w:tr>
      <w:tr w:rsidR="00855158" w14:paraId="72F28720" w14:textId="77777777" w:rsidTr="006D7A43">
        <w:tc>
          <w:tcPr>
            <w:tcW w:w="2235" w:type="dxa"/>
            <w:vAlign w:val="center"/>
          </w:tcPr>
          <w:p w14:paraId="1DB76997" w14:textId="77777777" w:rsidR="00855158" w:rsidRDefault="00855158" w:rsidP="006D7A43">
            <w:pPr>
              <w:jc w:val="center"/>
              <w:rPr>
                <w:rFonts w:eastAsia="Times New Roman" w:cstheme="minorHAnsi"/>
              </w:rPr>
            </w:pPr>
            <w:r>
              <w:rPr>
                <w:rFonts w:eastAsia="Times New Roman" w:cstheme="minorHAnsi"/>
              </w:rPr>
              <w:t>Infraestructura de Salud</w:t>
            </w:r>
          </w:p>
        </w:tc>
        <w:tc>
          <w:tcPr>
            <w:tcW w:w="6743" w:type="dxa"/>
          </w:tcPr>
          <w:p w14:paraId="205A7B22" w14:textId="77777777" w:rsidR="009579B7" w:rsidRDefault="00855158" w:rsidP="006D7A43">
            <w:pPr>
              <w:jc w:val="both"/>
              <w:rPr>
                <w:rFonts w:eastAsia="Times New Roman" w:cstheme="minorHAnsi"/>
              </w:rPr>
            </w:pPr>
            <w:r>
              <w:rPr>
                <w:rFonts w:eastAsia="Times New Roman" w:cstheme="minorHAnsi"/>
              </w:rPr>
              <w:t>Objetivo II.2.2.</w:t>
            </w:r>
          </w:p>
          <w:p w14:paraId="4A328072" w14:textId="77777777" w:rsidR="00855158" w:rsidRDefault="00855158" w:rsidP="006D7A43">
            <w:pPr>
              <w:jc w:val="both"/>
              <w:rPr>
                <w:rFonts w:eastAsia="Times New Roman" w:cstheme="minorHAnsi"/>
              </w:rPr>
            </w:pPr>
            <w:r>
              <w:rPr>
                <w:rFonts w:eastAsia="Times New Roman" w:cstheme="minorHAnsi"/>
              </w:rPr>
              <w:t>Estrategia II.2.2.</w:t>
            </w:r>
            <w:r w:rsidR="009579B7">
              <w:rPr>
                <w:rFonts w:eastAsia="Times New Roman" w:cstheme="minorHAnsi"/>
              </w:rPr>
              <w:t>2</w:t>
            </w:r>
          </w:p>
          <w:p w14:paraId="0E767EFE" w14:textId="77777777" w:rsidR="00855158" w:rsidRDefault="009579B7" w:rsidP="006D7A43">
            <w:pPr>
              <w:jc w:val="both"/>
              <w:rPr>
                <w:rFonts w:eastAsia="Times New Roman" w:cstheme="minorHAnsi"/>
              </w:rPr>
            </w:pPr>
            <w:r>
              <w:rPr>
                <w:rFonts w:eastAsia="Times New Roman" w:cstheme="minorHAnsi"/>
              </w:rPr>
              <w:t xml:space="preserve">Restaurar las condiciones dignas de </w:t>
            </w:r>
            <w:r w:rsidRPr="00DF409D">
              <w:rPr>
                <w:rFonts w:eastAsia="Times New Roman" w:cstheme="minorHAnsi"/>
                <w:b/>
                <w:color w:val="00B050"/>
              </w:rPr>
              <w:t>infraestructura y equipamiento</w:t>
            </w:r>
            <w:r w:rsidRPr="00DF409D">
              <w:rPr>
                <w:rFonts w:eastAsia="Times New Roman" w:cstheme="minorHAnsi"/>
                <w:color w:val="00B050"/>
              </w:rPr>
              <w:t xml:space="preserve"> </w:t>
            </w:r>
            <w:r>
              <w:rPr>
                <w:rFonts w:eastAsia="Times New Roman" w:cstheme="minorHAnsi"/>
              </w:rPr>
              <w:t>de las unidades…</w:t>
            </w:r>
          </w:p>
        </w:tc>
      </w:tr>
      <w:tr w:rsidR="00855158" w14:paraId="38F90DF6" w14:textId="77777777" w:rsidTr="006D7A43">
        <w:tc>
          <w:tcPr>
            <w:tcW w:w="2235" w:type="dxa"/>
            <w:vAlign w:val="center"/>
          </w:tcPr>
          <w:p w14:paraId="5D36C0F2" w14:textId="77777777" w:rsidR="00855158" w:rsidRDefault="00D727DC" w:rsidP="006D7A43">
            <w:pPr>
              <w:jc w:val="center"/>
              <w:rPr>
                <w:rFonts w:eastAsia="Times New Roman" w:cstheme="minorHAnsi"/>
              </w:rPr>
            </w:pPr>
            <w:r>
              <w:rPr>
                <w:rFonts w:eastAsia="Times New Roman" w:cstheme="minorHAnsi"/>
              </w:rPr>
              <w:t>Infraestructura deportiva y cultural</w:t>
            </w:r>
          </w:p>
        </w:tc>
        <w:tc>
          <w:tcPr>
            <w:tcW w:w="6743" w:type="dxa"/>
          </w:tcPr>
          <w:p w14:paraId="1894FA87" w14:textId="77777777" w:rsidR="00D727DC" w:rsidRDefault="00D727DC" w:rsidP="006D7A43">
            <w:pPr>
              <w:jc w:val="both"/>
              <w:rPr>
                <w:rFonts w:eastAsia="Times New Roman" w:cstheme="minorHAnsi"/>
              </w:rPr>
            </w:pPr>
            <w:r>
              <w:rPr>
                <w:rFonts w:eastAsia="Times New Roman" w:cstheme="minorHAnsi"/>
              </w:rPr>
              <w:t xml:space="preserve">Estrategia II 5.1.2 </w:t>
            </w:r>
          </w:p>
          <w:p w14:paraId="265BD520" w14:textId="77777777" w:rsidR="00D727DC" w:rsidRDefault="00D727DC" w:rsidP="006D7A43">
            <w:pPr>
              <w:jc w:val="both"/>
              <w:rPr>
                <w:rFonts w:eastAsia="Times New Roman" w:cstheme="minorHAnsi"/>
              </w:rPr>
            </w:pPr>
            <w:r>
              <w:rPr>
                <w:rFonts w:eastAsia="Times New Roman" w:cstheme="minorHAnsi"/>
              </w:rPr>
              <w:t xml:space="preserve">Mejorar la </w:t>
            </w:r>
            <w:r w:rsidRPr="00DF409D">
              <w:rPr>
                <w:rFonts w:eastAsia="Times New Roman" w:cstheme="minorHAnsi"/>
                <w:b/>
                <w:color w:val="00B050"/>
              </w:rPr>
              <w:t>Infraestructura destina a las actividades culturales y artísticas</w:t>
            </w:r>
            <w:r>
              <w:rPr>
                <w:rFonts w:eastAsia="Times New Roman" w:cstheme="minorHAnsi"/>
              </w:rPr>
              <w:t>.</w:t>
            </w:r>
          </w:p>
          <w:p w14:paraId="2C0BFC6D" w14:textId="77777777" w:rsidR="00D727DC" w:rsidRDefault="00D727DC" w:rsidP="006D7A43">
            <w:pPr>
              <w:jc w:val="both"/>
              <w:rPr>
                <w:rFonts w:eastAsia="Times New Roman" w:cstheme="minorHAnsi"/>
              </w:rPr>
            </w:pPr>
            <w:r>
              <w:rPr>
                <w:rFonts w:eastAsia="Times New Roman" w:cstheme="minorHAnsi"/>
              </w:rPr>
              <w:t>Líneas de acción</w:t>
            </w:r>
          </w:p>
          <w:p w14:paraId="62DFA63B" w14:textId="77777777" w:rsidR="00855158" w:rsidRDefault="00D727DC" w:rsidP="006D7A43">
            <w:pPr>
              <w:jc w:val="both"/>
              <w:rPr>
                <w:rFonts w:eastAsia="Times New Roman" w:cstheme="minorHAnsi"/>
              </w:rPr>
            </w:pPr>
            <w:r>
              <w:rPr>
                <w:rFonts w:eastAsia="Times New Roman" w:cstheme="minorHAnsi"/>
              </w:rPr>
              <w:t>II 5.1.2.1 Rehabilitar y mejorar las condiciones de la infraestructura y el equipamiento de los espacios culturales en el estado.</w:t>
            </w:r>
          </w:p>
        </w:tc>
      </w:tr>
      <w:tr w:rsidR="00A318E2" w14:paraId="26EEBB68" w14:textId="77777777" w:rsidTr="0003781B">
        <w:tc>
          <w:tcPr>
            <w:tcW w:w="8978" w:type="dxa"/>
            <w:gridSpan w:val="2"/>
            <w:vAlign w:val="center"/>
          </w:tcPr>
          <w:p w14:paraId="459958C1" w14:textId="77777777" w:rsidR="00A318E2" w:rsidRPr="00A318E2" w:rsidRDefault="00A318E2" w:rsidP="00A318E2">
            <w:pPr>
              <w:jc w:val="both"/>
              <w:rPr>
                <w:rFonts w:eastAsia="Times New Roman" w:cstheme="minorHAnsi"/>
              </w:rPr>
            </w:pPr>
            <w:r w:rsidRPr="00A318E2">
              <w:rPr>
                <w:rFonts w:eastAsia="Times New Roman" w:cstheme="minorHAnsi"/>
                <w:sz w:val="20"/>
                <w:szCs w:val="20"/>
              </w:rPr>
              <w:t xml:space="preserve">Fuente: </w:t>
            </w:r>
            <w:r w:rsidRPr="00A318E2">
              <w:rPr>
                <w:rFonts w:cs="Times New Roman"/>
                <w:sz w:val="20"/>
                <w:szCs w:val="20"/>
              </w:rPr>
              <w:t>Elaborado por TECSO con base en el Plan Estatal de Desarrollo2016 – 2021.</w:t>
            </w:r>
          </w:p>
        </w:tc>
      </w:tr>
    </w:tbl>
    <w:p w14:paraId="2F984FB6" w14:textId="77777777" w:rsidR="00855158" w:rsidRPr="00CB1CCA" w:rsidRDefault="00855158" w:rsidP="003E048E">
      <w:pPr>
        <w:spacing w:before="120" w:after="120"/>
        <w:jc w:val="both"/>
        <w:rPr>
          <w:rFonts w:eastAsia="Times New Roman" w:cstheme="minorHAnsi"/>
          <w:sz w:val="8"/>
        </w:rPr>
      </w:pPr>
    </w:p>
    <w:p w14:paraId="0136C52C" w14:textId="77777777" w:rsidR="003E048E" w:rsidRPr="00CB1CCA" w:rsidRDefault="00CB1CCA" w:rsidP="008951C2">
      <w:pPr>
        <w:spacing w:after="240"/>
        <w:jc w:val="both"/>
        <w:rPr>
          <w:rFonts w:ascii="Century Gothic" w:hAnsi="Century Gothic"/>
          <w:sz w:val="24"/>
        </w:rPr>
      </w:pPr>
      <w:r>
        <w:rPr>
          <w:rFonts w:ascii="Century Gothic" w:hAnsi="Century Gothic"/>
          <w:sz w:val="24"/>
        </w:rPr>
        <w:t xml:space="preserve">Respecto a la vinculación entre </w:t>
      </w:r>
      <w:r w:rsidRPr="0096717A">
        <w:rPr>
          <w:rFonts w:ascii="Century Gothic" w:hAnsi="Century Gothic"/>
          <w:b/>
          <w:sz w:val="24"/>
        </w:rPr>
        <w:t xml:space="preserve">el </w:t>
      </w:r>
      <w:r>
        <w:rPr>
          <w:rFonts w:ascii="Century Gothic" w:hAnsi="Century Gothic"/>
          <w:b/>
          <w:sz w:val="24"/>
        </w:rPr>
        <w:t xml:space="preserve">Fin y el </w:t>
      </w:r>
      <w:r w:rsidRPr="0096717A">
        <w:rPr>
          <w:rFonts w:ascii="Century Gothic" w:hAnsi="Century Gothic"/>
          <w:b/>
          <w:sz w:val="24"/>
        </w:rPr>
        <w:t xml:space="preserve">propósito </w:t>
      </w:r>
      <w:r>
        <w:rPr>
          <w:rFonts w:ascii="Century Gothic" w:hAnsi="Century Gothic"/>
          <w:b/>
          <w:sz w:val="24"/>
        </w:rPr>
        <w:t xml:space="preserve">del programa con los </w:t>
      </w:r>
      <w:r w:rsidR="00F14C49">
        <w:rPr>
          <w:rFonts w:ascii="Century Gothic" w:hAnsi="Century Gothic"/>
          <w:b/>
          <w:sz w:val="24"/>
        </w:rPr>
        <w:t xml:space="preserve">objetivos del </w:t>
      </w:r>
      <w:r>
        <w:rPr>
          <w:rFonts w:ascii="Century Gothic" w:hAnsi="Century Gothic"/>
          <w:b/>
          <w:sz w:val="24"/>
        </w:rPr>
        <w:t>Plan</w:t>
      </w:r>
      <w:r w:rsidRPr="0096717A">
        <w:rPr>
          <w:rFonts w:ascii="Century Gothic" w:hAnsi="Century Gothic"/>
          <w:b/>
          <w:sz w:val="24"/>
        </w:rPr>
        <w:t xml:space="preserve"> </w:t>
      </w:r>
      <w:r>
        <w:rPr>
          <w:rFonts w:ascii="Century Gothic" w:hAnsi="Century Gothic"/>
          <w:b/>
          <w:sz w:val="24"/>
        </w:rPr>
        <w:t xml:space="preserve">Nacional de Desarrollo, </w:t>
      </w:r>
      <w:r>
        <w:rPr>
          <w:rFonts w:ascii="Century Gothic" w:hAnsi="Century Gothic"/>
          <w:sz w:val="24"/>
        </w:rPr>
        <w:t>la SEIDUR manifestó lo siguiente:</w:t>
      </w:r>
    </w:p>
    <w:p w14:paraId="2D36EA79" w14:textId="77777777" w:rsidR="000726BB" w:rsidRDefault="00FA03B6" w:rsidP="000726BB">
      <w:pPr>
        <w:spacing w:after="240"/>
        <w:ind w:left="284" w:right="333"/>
        <w:jc w:val="both"/>
        <w:rPr>
          <w:rFonts w:ascii="Century Gothic" w:hAnsi="Century Gothic"/>
          <w:sz w:val="24"/>
        </w:rPr>
      </w:pPr>
      <w:r>
        <w:rPr>
          <w:rFonts w:ascii="Century Gothic" w:hAnsi="Century Gothic"/>
          <w:sz w:val="24"/>
        </w:rPr>
        <w:t xml:space="preserve">El Programa Infraestructura </w:t>
      </w:r>
      <w:r w:rsidR="000726BB" w:rsidRPr="000726BB">
        <w:rPr>
          <w:rFonts w:ascii="Century Gothic" w:hAnsi="Century Gothic"/>
          <w:sz w:val="24"/>
        </w:rPr>
        <w:t xml:space="preserve">no habitacional se relaciona directamente con la </w:t>
      </w:r>
      <w:r w:rsidR="000726BB" w:rsidRPr="00FA03B6">
        <w:rPr>
          <w:rFonts w:ascii="Century Gothic" w:hAnsi="Century Gothic"/>
          <w:b/>
          <w:sz w:val="24"/>
        </w:rPr>
        <w:t>meta IV México prospero</w:t>
      </w:r>
      <w:r w:rsidR="000726BB" w:rsidRPr="000726BB">
        <w:rPr>
          <w:rFonts w:ascii="Century Gothic" w:hAnsi="Century Gothic"/>
          <w:sz w:val="24"/>
        </w:rPr>
        <w:t xml:space="preserve">, debido a que menciona que para alcanzar un economía </w:t>
      </w:r>
      <w:r w:rsidR="00A7661B">
        <w:rPr>
          <w:rFonts w:ascii="Century Gothic" w:hAnsi="Century Gothic"/>
          <w:sz w:val="24"/>
        </w:rPr>
        <w:t>estable</w:t>
      </w:r>
      <w:r w:rsidR="000726BB" w:rsidRPr="000726BB">
        <w:rPr>
          <w:rFonts w:ascii="Century Gothic" w:hAnsi="Century Gothic"/>
          <w:sz w:val="24"/>
        </w:rPr>
        <w:t xml:space="preserve"> y crecimiento sostenido es  necesario contar con una infraestructura adecuada</w:t>
      </w:r>
      <w:r w:rsidR="000726BB">
        <w:rPr>
          <w:rStyle w:val="Refdenotaalpie"/>
          <w:rFonts w:ascii="Century Gothic" w:hAnsi="Century Gothic"/>
          <w:sz w:val="24"/>
        </w:rPr>
        <w:footnoteReference w:id="10"/>
      </w:r>
      <w:r w:rsidR="000726BB" w:rsidRPr="000726BB">
        <w:rPr>
          <w:rFonts w:ascii="Century Gothic" w:hAnsi="Century Gothic"/>
          <w:sz w:val="24"/>
        </w:rPr>
        <w:t>.</w:t>
      </w:r>
    </w:p>
    <w:p w14:paraId="2ECDF45C" w14:textId="77777777" w:rsidR="00514327" w:rsidRDefault="00B749E1" w:rsidP="008951C2">
      <w:pPr>
        <w:spacing w:after="240"/>
        <w:jc w:val="both"/>
        <w:rPr>
          <w:rFonts w:ascii="Century Gothic" w:hAnsi="Century Gothic"/>
          <w:sz w:val="24"/>
        </w:rPr>
      </w:pPr>
      <w:r>
        <w:rPr>
          <w:rFonts w:ascii="Century Gothic" w:hAnsi="Century Gothic"/>
          <w:sz w:val="24"/>
        </w:rPr>
        <w:t xml:space="preserve">Sin embargo al revisar el plan nacional de desarrollo y establecer el vínculo con el programa de Infraestructura Habitacional se encontró que este </w:t>
      </w:r>
      <w:r w:rsidRPr="00E92050">
        <w:rPr>
          <w:rFonts w:ascii="Century Gothic" w:hAnsi="Century Gothic"/>
          <w:b/>
          <w:sz w:val="24"/>
        </w:rPr>
        <w:t>contribuye a la meta II.</w:t>
      </w:r>
      <w:r>
        <w:rPr>
          <w:rFonts w:ascii="Century Gothic" w:hAnsi="Century Gothic"/>
          <w:sz w:val="24"/>
        </w:rPr>
        <w:t xml:space="preserve"> </w:t>
      </w:r>
      <w:r w:rsidRPr="00E92050">
        <w:rPr>
          <w:rFonts w:ascii="Century Gothic" w:hAnsi="Century Gothic"/>
          <w:b/>
          <w:sz w:val="24"/>
        </w:rPr>
        <w:t>México incluyente, Objetivo 2.5</w:t>
      </w:r>
      <w:r>
        <w:rPr>
          <w:rFonts w:ascii="Century Gothic" w:hAnsi="Century Gothic"/>
          <w:sz w:val="24"/>
        </w:rPr>
        <w:t xml:space="preserve">, </w:t>
      </w:r>
      <w:r w:rsidR="00514327">
        <w:rPr>
          <w:rFonts w:ascii="Century Gothic" w:hAnsi="Century Gothic"/>
          <w:sz w:val="24"/>
        </w:rPr>
        <w:t xml:space="preserve">esto </w:t>
      </w:r>
      <w:r w:rsidR="00514327" w:rsidRPr="00E92050">
        <w:rPr>
          <w:rFonts w:ascii="Century Gothic" w:hAnsi="Century Gothic"/>
          <w:b/>
          <w:sz w:val="24"/>
        </w:rPr>
        <w:t>considerando que el otorgar infraestructura deportiva, cultural, en salud, etc., favorece un entorno adecuado para el desarrollo de una vida digna</w:t>
      </w:r>
      <w:r w:rsidR="00514327">
        <w:rPr>
          <w:rFonts w:ascii="Century Gothic" w:hAnsi="Century Gothic"/>
          <w:sz w:val="24"/>
        </w:rPr>
        <w:t>.</w:t>
      </w:r>
    </w:p>
    <w:p w14:paraId="2E242894" w14:textId="77777777" w:rsidR="008951C2" w:rsidRDefault="00514327" w:rsidP="008951C2">
      <w:pPr>
        <w:spacing w:after="240"/>
        <w:jc w:val="both"/>
        <w:rPr>
          <w:rFonts w:ascii="Century Gothic" w:hAnsi="Century Gothic"/>
          <w:sz w:val="24"/>
        </w:rPr>
      </w:pPr>
      <w:r>
        <w:rPr>
          <w:rFonts w:ascii="Century Gothic" w:hAnsi="Century Gothic"/>
          <w:sz w:val="24"/>
        </w:rPr>
        <w:t xml:space="preserve">Dicha vinculación </w:t>
      </w:r>
      <w:r w:rsidR="00B749E1">
        <w:rPr>
          <w:rFonts w:ascii="Century Gothic" w:hAnsi="Century Gothic"/>
          <w:sz w:val="24"/>
        </w:rPr>
        <w:t xml:space="preserve">se presenta </w:t>
      </w:r>
      <w:r w:rsidR="00054251">
        <w:rPr>
          <w:rFonts w:ascii="Century Gothic" w:hAnsi="Century Gothic"/>
          <w:sz w:val="24"/>
        </w:rPr>
        <w:t>en el siguiente cuadro:</w:t>
      </w:r>
    </w:p>
    <w:tbl>
      <w:tblPr>
        <w:tblStyle w:val="Tabladecuadrcula5oscura-nfasis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6787"/>
      </w:tblGrid>
      <w:tr w:rsidR="00054251" w:rsidRPr="00070621" w14:paraId="6D479540" w14:textId="77777777" w:rsidTr="00E92050">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right w:val="none" w:sz="0" w:space="0" w:color="auto"/>
            </w:tcBorders>
            <w:shd w:val="clear" w:color="auto" w:fill="0E4E7A"/>
            <w:vAlign w:val="center"/>
          </w:tcPr>
          <w:p w14:paraId="3C358BF9" w14:textId="77777777" w:rsidR="00054251" w:rsidRPr="00070621" w:rsidRDefault="003E3B3D" w:rsidP="003E3B3D">
            <w:pPr>
              <w:jc w:val="center"/>
              <w:rPr>
                <w:rFonts w:eastAsia="Times New Roman" w:cstheme="minorHAnsi"/>
              </w:rPr>
            </w:pPr>
            <w:r>
              <w:rPr>
                <w:rFonts w:eastAsia="Times New Roman" w:cstheme="minorHAnsi"/>
              </w:rPr>
              <w:t>Cuadro 2.9</w:t>
            </w:r>
            <w:r w:rsidR="00054251" w:rsidRPr="00070621">
              <w:rPr>
                <w:rFonts w:eastAsia="Times New Roman" w:cstheme="minorHAnsi"/>
              </w:rPr>
              <w:t xml:space="preserve"> </w:t>
            </w:r>
            <w:r w:rsidR="00054251" w:rsidRPr="00070621">
              <w:rPr>
                <w:rFonts w:eastAsia="Calibri" w:cstheme="minorHAnsi"/>
                <w:kern w:val="24"/>
              </w:rPr>
              <w:t>Vinculación del objetivo de Fin</w:t>
            </w:r>
            <w:r w:rsidR="00054251">
              <w:rPr>
                <w:rFonts w:eastAsia="Calibri" w:cstheme="minorHAnsi"/>
                <w:kern w:val="24"/>
              </w:rPr>
              <w:t xml:space="preserve"> y Propósito</w:t>
            </w:r>
            <w:r w:rsidR="00054251" w:rsidRPr="00070621">
              <w:rPr>
                <w:rFonts w:eastAsia="Calibri" w:cstheme="minorHAnsi"/>
                <w:kern w:val="24"/>
              </w:rPr>
              <w:t xml:space="preserve"> del programa </w:t>
            </w:r>
            <w:r w:rsidR="00054251">
              <w:rPr>
                <w:rFonts w:eastAsia="Calibri" w:cstheme="minorHAnsi"/>
                <w:kern w:val="24"/>
              </w:rPr>
              <w:t>Infraestructura no Habitacional</w:t>
            </w:r>
            <w:r w:rsidR="00054251" w:rsidRPr="00070621">
              <w:rPr>
                <w:rFonts w:eastAsia="Calibri" w:cstheme="minorHAnsi"/>
                <w:kern w:val="24"/>
              </w:rPr>
              <w:t xml:space="preserve">, con objetivos de política pública </w:t>
            </w:r>
            <w:r w:rsidR="00054251">
              <w:rPr>
                <w:rFonts w:eastAsia="Calibri" w:cstheme="minorHAnsi"/>
                <w:kern w:val="24"/>
              </w:rPr>
              <w:t>nacional.</w:t>
            </w:r>
          </w:p>
        </w:tc>
      </w:tr>
      <w:tr w:rsidR="00054251" w:rsidRPr="00070621" w14:paraId="2519E6FA" w14:textId="77777777" w:rsidTr="00E92050">
        <w:trPr>
          <w:cnfStyle w:val="000000100000" w:firstRow="0" w:lastRow="0" w:firstColumn="0" w:lastColumn="0" w:oddVBand="0" w:evenVBand="0" w:oddHBand="1" w:evenHBand="0" w:firstRowFirstColumn="0" w:firstRowLastColumn="0" w:lastRowFirstColumn="0" w:lastRowLastColumn="0"/>
          <w:trHeight w:val="1516"/>
          <w:jc w:val="center"/>
        </w:trPr>
        <w:tc>
          <w:tcPr>
            <w:cnfStyle w:val="001000000000" w:firstRow="0" w:lastRow="0" w:firstColumn="1" w:lastColumn="0" w:oddVBand="0" w:evenVBand="0" w:oddHBand="0" w:evenHBand="0" w:firstRowFirstColumn="0" w:firstRowLastColumn="0" w:lastRowFirstColumn="0" w:lastRowLastColumn="0"/>
            <w:tcW w:w="1156" w:type="pct"/>
            <w:tcBorders>
              <w:left w:val="none" w:sz="0" w:space="0" w:color="auto"/>
            </w:tcBorders>
            <w:shd w:val="clear" w:color="auto" w:fill="0E4E7A"/>
            <w:vAlign w:val="center"/>
          </w:tcPr>
          <w:p w14:paraId="6E35ACD6" w14:textId="77777777" w:rsidR="00054251" w:rsidRPr="00070621" w:rsidRDefault="00054251" w:rsidP="0003781B">
            <w:pPr>
              <w:jc w:val="center"/>
              <w:rPr>
                <w:rFonts w:eastAsia="Times New Roman" w:cstheme="minorHAnsi"/>
                <w:color w:val="FFFFFF"/>
              </w:rPr>
            </w:pPr>
            <w:r>
              <w:rPr>
                <w:rFonts w:eastAsia="Times New Roman" w:cstheme="minorHAnsi"/>
                <w:color w:val="FFFFFF"/>
              </w:rPr>
              <w:lastRenderedPageBreak/>
              <w:t>Fin</w:t>
            </w:r>
          </w:p>
        </w:tc>
        <w:tc>
          <w:tcPr>
            <w:tcW w:w="3844" w:type="pct"/>
            <w:shd w:val="clear" w:color="auto" w:fill="auto"/>
            <w:vAlign w:val="center"/>
          </w:tcPr>
          <w:p w14:paraId="1C347FDC" w14:textId="77777777" w:rsidR="00054251" w:rsidRPr="00070621" w:rsidRDefault="00054251" w:rsidP="0003781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7B086D">
              <w:rPr>
                <w:rFonts w:eastAsia="Times New Roman" w:cstheme="minorHAnsi"/>
              </w:rPr>
              <w:t xml:space="preserve">Contribuir en el </w:t>
            </w:r>
            <w:r w:rsidRPr="00855158">
              <w:rPr>
                <w:rFonts w:eastAsia="Times New Roman" w:cstheme="minorHAnsi"/>
                <w:b/>
                <w:color w:val="00B050"/>
              </w:rPr>
              <w:t>desarrollo de la infraestructura Estatal</w:t>
            </w:r>
            <w:r w:rsidRPr="007B086D">
              <w:rPr>
                <w:rFonts w:eastAsia="Times New Roman" w:cstheme="minorHAnsi"/>
              </w:rPr>
              <w:t>, para que la sociedad cuente con edificaciones</w:t>
            </w:r>
            <w:r>
              <w:rPr>
                <w:rFonts w:eastAsia="Times New Roman" w:cstheme="minorHAnsi"/>
              </w:rPr>
              <w:t xml:space="preserve"> q</w:t>
            </w:r>
            <w:r w:rsidRPr="007B086D">
              <w:rPr>
                <w:rFonts w:eastAsia="Times New Roman" w:cstheme="minorHAnsi"/>
              </w:rPr>
              <w:t xml:space="preserve">ue </w:t>
            </w:r>
            <w:r w:rsidRPr="00514327">
              <w:rPr>
                <w:rFonts w:eastAsia="Times New Roman" w:cstheme="minorHAnsi"/>
                <w:b/>
                <w:color w:val="00B050"/>
              </w:rPr>
              <w:t>brinden servicios gubernamentales</w:t>
            </w:r>
            <w:r w:rsidRPr="007B086D">
              <w:rPr>
                <w:rFonts w:eastAsia="Times New Roman" w:cstheme="minorHAnsi"/>
              </w:rPr>
              <w:t>, educativos,</w:t>
            </w:r>
            <w:r>
              <w:rPr>
                <w:rFonts w:eastAsia="Times New Roman" w:cstheme="minorHAnsi"/>
              </w:rPr>
              <w:t xml:space="preserve"> </w:t>
            </w:r>
            <w:r w:rsidRPr="007B086D">
              <w:rPr>
                <w:rFonts w:eastAsia="Times New Roman" w:cstheme="minorHAnsi"/>
              </w:rPr>
              <w:t>Culturales, en materia de seguridad y/o de salud,</w:t>
            </w:r>
            <w:r>
              <w:rPr>
                <w:rFonts w:eastAsia="Times New Roman" w:cstheme="minorHAnsi"/>
              </w:rPr>
              <w:t xml:space="preserve"> </w:t>
            </w:r>
            <w:r w:rsidRPr="00514327">
              <w:rPr>
                <w:rFonts w:eastAsia="Times New Roman" w:cstheme="minorHAnsi"/>
                <w:b/>
                <w:color w:val="00B050"/>
              </w:rPr>
              <w:t>Accesibles y seguros</w:t>
            </w:r>
            <w:r w:rsidRPr="007B086D">
              <w:rPr>
                <w:rFonts w:eastAsia="Times New Roman" w:cstheme="minorHAnsi"/>
              </w:rPr>
              <w:t xml:space="preserve"> mediante la adecuada planeación,</w:t>
            </w:r>
            <w:r>
              <w:rPr>
                <w:rFonts w:eastAsia="Times New Roman" w:cstheme="minorHAnsi"/>
              </w:rPr>
              <w:t xml:space="preserve"> </w:t>
            </w:r>
            <w:r w:rsidRPr="007B086D">
              <w:rPr>
                <w:rFonts w:eastAsia="Times New Roman" w:cstheme="minorHAnsi"/>
              </w:rPr>
              <w:t>Seguimiento y control de la obra publica</w:t>
            </w:r>
          </w:p>
        </w:tc>
      </w:tr>
      <w:tr w:rsidR="00054251" w:rsidRPr="00070621" w14:paraId="58C6B62C" w14:textId="77777777" w:rsidTr="00E92050">
        <w:trPr>
          <w:trHeight w:val="970"/>
          <w:jc w:val="center"/>
        </w:trPr>
        <w:tc>
          <w:tcPr>
            <w:cnfStyle w:val="001000000000" w:firstRow="0" w:lastRow="0" w:firstColumn="1" w:lastColumn="0" w:oddVBand="0" w:evenVBand="0" w:oddHBand="0" w:evenHBand="0" w:firstRowFirstColumn="0" w:firstRowLastColumn="0" w:lastRowFirstColumn="0" w:lastRowLastColumn="0"/>
            <w:tcW w:w="1156" w:type="pct"/>
            <w:tcBorders>
              <w:left w:val="none" w:sz="0" w:space="0" w:color="auto"/>
            </w:tcBorders>
            <w:shd w:val="clear" w:color="auto" w:fill="0E4E7A"/>
            <w:vAlign w:val="center"/>
            <w:hideMark/>
          </w:tcPr>
          <w:p w14:paraId="6DBEC64E" w14:textId="77777777" w:rsidR="00054251" w:rsidRPr="00C6168D" w:rsidRDefault="00054251" w:rsidP="0003781B">
            <w:pPr>
              <w:jc w:val="center"/>
              <w:rPr>
                <w:rFonts w:eastAsia="Times New Roman" w:cstheme="minorHAnsi"/>
              </w:rPr>
            </w:pPr>
            <w:r>
              <w:rPr>
                <w:rFonts w:eastAsia="Times New Roman" w:cstheme="minorHAnsi"/>
                <w:bCs w:val="0"/>
              </w:rPr>
              <w:t>Propósito</w:t>
            </w:r>
          </w:p>
        </w:tc>
        <w:tc>
          <w:tcPr>
            <w:tcW w:w="3844" w:type="pct"/>
            <w:shd w:val="clear" w:color="auto" w:fill="auto"/>
            <w:vAlign w:val="center"/>
          </w:tcPr>
          <w:p w14:paraId="4ACA9519" w14:textId="77777777" w:rsidR="00054251" w:rsidRPr="00C6168D" w:rsidRDefault="00054251" w:rsidP="0003781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7B086D">
              <w:rPr>
                <w:rFonts w:eastAsia="Times New Roman" w:cstheme="minorHAnsi"/>
              </w:rPr>
              <w:t xml:space="preserve">Que la población cuente con </w:t>
            </w:r>
            <w:r w:rsidRPr="00855158">
              <w:rPr>
                <w:rFonts w:eastAsia="Times New Roman" w:cstheme="minorHAnsi"/>
                <w:b/>
                <w:color w:val="00B050"/>
              </w:rPr>
              <w:t>mayor y mejor Infraestructura</w:t>
            </w:r>
            <w:r w:rsidRPr="00855158">
              <w:rPr>
                <w:rFonts w:eastAsia="Times New Roman" w:cstheme="minorHAnsi"/>
                <w:color w:val="00B050"/>
              </w:rPr>
              <w:t xml:space="preserve"> </w:t>
            </w:r>
            <w:r w:rsidRPr="007B086D">
              <w:rPr>
                <w:rFonts w:eastAsia="Times New Roman" w:cstheme="minorHAnsi"/>
              </w:rPr>
              <w:t>necesaria para recibir los servicios</w:t>
            </w:r>
            <w:r>
              <w:rPr>
                <w:rFonts w:eastAsia="Times New Roman" w:cstheme="minorHAnsi"/>
              </w:rPr>
              <w:t xml:space="preserve"> </w:t>
            </w:r>
            <w:r w:rsidRPr="007B086D">
              <w:rPr>
                <w:rFonts w:eastAsia="Times New Roman" w:cstheme="minorHAnsi"/>
              </w:rPr>
              <w:t xml:space="preserve">Públicos necesarios </w:t>
            </w:r>
            <w:r w:rsidRPr="00514327">
              <w:rPr>
                <w:rFonts w:eastAsia="Times New Roman" w:cstheme="minorHAnsi"/>
                <w:b/>
                <w:color w:val="00B050"/>
              </w:rPr>
              <w:t>para el desarrollo y la convivencia</w:t>
            </w:r>
            <w:r w:rsidRPr="00514327">
              <w:rPr>
                <w:rFonts w:eastAsia="Times New Roman" w:cstheme="minorHAnsi"/>
                <w:color w:val="00B050"/>
              </w:rPr>
              <w:t xml:space="preserve"> </w:t>
            </w:r>
            <w:r>
              <w:rPr>
                <w:rFonts w:eastAsia="Times New Roman" w:cstheme="minorHAnsi"/>
              </w:rPr>
              <w:t>e</w:t>
            </w:r>
            <w:r w:rsidRPr="007B086D">
              <w:rPr>
                <w:rFonts w:eastAsia="Times New Roman" w:cstheme="minorHAnsi"/>
              </w:rPr>
              <w:t>n el estado.</w:t>
            </w:r>
          </w:p>
        </w:tc>
      </w:tr>
      <w:tr w:rsidR="00054251" w:rsidRPr="00070621" w14:paraId="244E533E" w14:textId="77777777" w:rsidTr="00E92050">
        <w:trPr>
          <w:cnfStyle w:val="000000100000" w:firstRow="0" w:lastRow="0" w:firstColumn="0" w:lastColumn="0" w:oddVBand="0" w:evenVBand="0" w:oddHBand="1" w:evenHBand="0" w:firstRowFirstColumn="0" w:firstRowLastColumn="0" w:lastRowFirstColumn="0" w:lastRowLastColumn="0"/>
          <w:trHeight w:val="1164"/>
          <w:jc w:val="center"/>
        </w:trPr>
        <w:tc>
          <w:tcPr>
            <w:cnfStyle w:val="001000000000" w:firstRow="0" w:lastRow="0" w:firstColumn="1" w:lastColumn="0" w:oddVBand="0" w:evenVBand="0" w:oddHBand="0" w:evenHBand="0" w:firstRowFirstColumn="0" w:firstRowLastColumn="0" w:lastRowFirstColumn="0" w:lastRowLastColumn="0"/>
            <w:tcW w:w="1156" w:type="pct"/>
            <w:tcBorders>
              <w:left w:val="none" w:sz="0" w:space="0" w:color="auto"/>
            </w:tcBorders>
            <w:shd w:val="clear" w:color="auto" w:fill="0E4E7A"/>
            <w:vAlign w:val="center"/>
            <w:hideMark/>
          </w:tcPr>
          <w:p w14:paraId="5A47AADF" w14:textId="77777777" w:rsidR="00054251" w:rsidRPr="00C6168D" w:rsidRDefault="00054251" w:rsidP="0003781B">
            <w:pPr>
              <w:jc w:val="center"/>
              <w:rPr>
                <w:rFonts w:eastAsia="Times New Roman" w:cstheme="minorHAnsi"/>
                <w:bCs w:val="0"/>
              </w:rPr>
            </w:pPr>
            <w:r w:rsidRPr="00C6168D">
              <w:rPr>
                <w:rFonts w:eastAsia="Times New Roman" w:cstheme="minorHAnsi"/>
                <w:bCs w:val="0"/>
              </w:rPr>
              <w:t xml:space="preserve">Plan </w:t>
            </w:r>
            <w:r>
              <w:rPr>
                <w:rFonts w:eastAsia="Times New Roman" w:cstheme="minorHAnsi"/>
                <w:bCs w:val="0"/>
              </w:rPr>
              <w:t>Nacional</w:t>
            </w:r>
            <w:r w:rsidRPr="00C6168D">
              <w:rPr>
                <w:rFonts w:eastAsia="Times New Roman" w:cstheme="minorHAnsi"/>
                <w:bCs w:val="0"/>
              </w:rPr>
              <w:t xml:space="preserve"> de Desarrollo</w:t>
            </w:r>
          </w:p>
          <w:p w14:paraId="0A7314A4" w14:textId="77777777" w:rsidR="00054251" w:rsidRPr="00C6168D" w:rsidRDefault="00054251" w:rsidP="0003781B">
            <w:pPr>
              <w:jc w:val="center"/>
              <w:rPr>
                <w:rFonts w:eastAsia="Times New Roman" w:cstheme="minorHAnsi"/>
              </w:rPr>
            </w:pPr>
            <w:r>
              <w:rPr>
                <w:rFonts w:eastAsia="Times New Roman" w:cstheme="minorHAnsi"/>
              </w:rPr>
              <w:t>2013 – 2018</w:t>
            </w:r>
          </w:p>
        </w:tc>
        <w:tc>
          <w:tcPr>
            <w:tcW w:w="3844" w:type="pct"/>
            <w:shd w:val="clear" w:color="auto" w:fill="auto"/>
            <w:vAlign w:val="center"/>
          </w:tcPr>
          <w:p w14:paraId="7BEB9311" w14:textId="77777777" w:rsidR="00B749E1" w:rsidRDefault="00A7661B" w:rsidP="00B749E1">
            <w:pPr>
              <w:spacing w:before="120" w:after="120"/>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B749E1">
              <w:rPr>
                <w:rFonts w:eastAsia="Times New Roman" w:cstheme="minorHAnsi"/>
              </w:rPr>
              <w:t>M</w:t>
            </w:r>
            <w:r w:rsidR="00B749E1" w:rsidRPr="00B749E1">
              <w:rPr>
                <w:rFonts w:eastAsia="Times New Roman" w:cstheme="minorHAnsi"/>
              </w:rPr>
              <w:t>eta VI.2.</w:t>
            </w:r>
            <w:r w:rsidRPr="00B749E1">
              <w:rPr>
                <w:rFonts w:eastAsia="Times New Roman" w:cstheme="minorHAnsi"/>
              </w:rPr>
              <w:t xml:space="preserve"> México </w:t>
            </w:r>
            <w:r w:rsidR="00B749E1" w:rsidRPr="00B749E1">
              <w:rPr>
                <w:rFonts w:eastAsia="Times New Roman" w:cstheme="minorHAnsi"/>
              </w:rPr>
              <w:t>Incluyente</w:t>
            </w:r>
          </w:p>
          <w:p w14:paraId="1775FBEC" w14:textId="77777777" w:rsidR="00B749E1" w:rsidRPr="00C6168D" w:rsidRDefault="00B749E1" w:rsidP="00B749E1">
            <w:pPr>
              <w:spacing w:before="120" w:after="120"/>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B749E1">
              <w:rPr>
                <w:rFonts w:eastAsia="Times New Roman" w:cstheme="minorHAnsi"/>
              </w:rPr>
              <w:t xml:space="preserve">Objetivo 2.5. </w:t>
            </w:r>
            <w:r>
              <w:rPr>
                <w:rFonts w:eastAsia="Times New Roman" w:cstheme="minorHAnsi"/>
              </w:rPr>
              <w:t>Prove</w:t>
            </w:r>
            <w:r w:rsidRPr="00B749E1">
              <w:rPr>
                <w:rFonts w:eastAsia="Times New Roman" w:cstheme="minorHAnsi"/>
              </w:rPr>
              <w:t xml:space="preserve">er un </w:t>
            </w:r>
            <w:r w:rsidRPr="00E92050">
              <w:rPr>
                <w:rFonts w:eastAsia="Times New Roman" w:cstheme="minorHAnsi"/>
                <w:b/>
                <w:color w:val="00B050"/>
              </w:rPr>
              <w:t>entorno adecuado</w:t>
            </w:r>
            <w:r w:rsidRPr="00E92050">
              <w:rPr>
                <w:rFonts w:eastAsia="Times New Roman" w:cstheme="minorHAnsi"/>
                <w:color w:val="00B050"/>
              </w:rPr>
              <w:t xml:space="preserve"> </w:t>
            </w:r>
            <w:r w:rsidRPr="00B749E1">
              <w:rPr>
                <w:rFonts w:eastAsia="Times New Roman" w:cstheme="minorHAnsi"/>
              </w:rPr>
              <w:t>para el desarrollo de una vida digna.</w:t>
            </w:r>
          </w:p>
        </w:tc>
      </w:tr>
      <w:tr w:rsidR="00054251" w:rsidRPr="00070621" w14:paraId="7CD3E57F" w14:textId="77777777" w:rsidTr="00E92050">
        <w:trPr>
          <w:trHeight w:val="476"/>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none" w:sz="0" w:space="0" w:color="auto"/>
              <w:bottom w:val="none" w:sz="0" w:space="0" w:color="auto"/>
            </w:tcBorders>
            <w:shd w:val="clear" w:color="auto" w:fill="auto"/>
            <w:vAlign w:val="center"/>
          </w:tcPr>
          <w:p w14:paraId="6BDC4870" w14:textId="77777777" w:rsidR="00054251" w:rsidRPr="00C6168D" w:rsidRDefault="00054251" w:rsidP="00124BAA">
            <w:pPr>
              <w:jc w:val="both"/>
              <w:rPr>
                <w:rFonts w:eastAsia="Times New Roman" w:cstheme="minorHAnsi"/>
                <w:color w:val="auto"/>
                <w:sz w:val="20"/>
                <w:szCs w:val="20"/>
              </w:rPr>
            </w:pPr>
            <w:r w:rsidRPr="00C6168D">
              <w:rPr>
                <w:rFonts w:eastAsia="Times New Roman" w:cstheme="minorHAnsi"/>
                <w:color w:val="auto"/>
                <w:sz w:val="20"/>
                <w:szCs w:val="20"/>
              </w:rPr>
              <w:t xml:space="preserve">Fuente: </w:t>
            </w:r>
            <w:r w:rsidRPr="00C6168D">
              <w:rPr>
                <w:rFonts w:cs="Times New Roman"/>
                <w:b w:val="0"/>
                <w:color w:val="auto"/>
                <w:sz w:val="20"/>
                <w:szCs w:val="20"/>
              </w:rPr>
              <w:t>Elaborado por TECSO con</w:t>
            </w:r>
            <w:r>
              <w:rPr>
                <w:rFonts w:cs="Times New Roman"/>
                <w:b w:val="0"/>
                <w:color w:val="auto"/>
                <w:sz w:val="20"/>
                <w:szCs w:val="20"/>
              </w:rPr>
              <w:t xml:space="preserve"> base en información de la MIR del programa y el </w:t>
            </w:r>
            <w:r w:rsidRPr="00C6168D">
              <w:rPr>
                <w:rFonts w:cs="Times New Roman"/>
                <w:b w:val="0"/>
                <w:color w:val="auto"/>
                <w:sz w:val="20"/>
                <w:szCs w:val="20"/>
              </w:rPr>
              <w:t xml:space="preserve">Plan </w:t>
            </w:r>
            <w:r w:rsidR="00124BAA">
              <w:rPr>
                <w:rFonts w:cs="Times New Roman"/>
                <w:b w:val="0"/>
                <w:color w:val="auto"/>
                <w:sz w:val="20"/>
                <w:szCs w:val="20"/>
              </w:rPr>
              <w:t>Nacional</w:t>
            </w:r>
            <w:r w:rsidRPr="00C6168D">
              <w:rPr>
                <w:rFonts w:cs="Times New Roman"/>
                <w:b w:val="0"/>
                <w:color w:val="auto"/>
                <w:sz w:val="20"/>
                <w:szCs w:val="20"/>
              </w:rPr>
              <w:t xml:space="preserve"> de Desarrollo</w:t>
            </w:r>
            <w:r w:rsidR="00124BAA">
              <w:rPr>
                <w:rFonts w:cs="Times New Roman"/>
                <w:b w:val="0"/>
                <w:color w:val="auto"/>
                <w:sz w:val="20"/>
                <w:szCs w:val="20"/>
              </w:rPr>
              <w:t xml:space="preserve"> </w:t>
            </w:r>
            <w:r>
              <w:rPr>
                <w:rFonts w:cs="Times New Roman"/>
                <w:b w:val="0"/>
                <w:color w:val="auto"/>
                <w:sz w:val="20"/>
                <w:szCs w:val="20"/>
              </w:rPr>
              <w:t>201</w:t>
            </w:r>
            <w:r w:rsidR="00124BAA">
              <w:rPr>
                <w:rFonts w:cs="Times New Roman"/>
                <w:b w:val="0"/>
                <w:color w:val="auto"/>
                <w:sz w:val="20"/>
                <w:szCs w:val="20"/>
              </w:rPr>
              <w:t>3 – 20</w:t>
            </w:r>
            <w:r>
              <w:rPr>
                <w:rFonts w:cs="Times New Roman"/>
                <w:b w:val="0"/>
                <w:color w:val="auto"/>
                <w:sz w:val="20"/>
                <w:szCs w:val="20"/>
              </w:rPr>
              <w:t>1</w:t>
            </w:r>
            <w:r w:rsidR="00124BAA">
              <w:rPr>
                <w:rFonts w:cs="Times New Roman"/>
                <w:b w:val="0"/>
                <w:color w:val="auto"/>
                <w:sz w:val="20"/>
                <w:szCs w:val="20"/>
              </w:rPr>
              <w:t>8</w:t>
            </w:r>
            <w:r w:rsidRPr="00C6168D">
              <w:rPr>
                <w:rFonts w:cs="Times New Roman"/>
                <w:b w:val="0"/>
                <w:color w:val="auto"/>
                <w:sz w:val="20"/>
                <w:szCs w:val="20"/>
              </w:rPr>
              <w:t>.</w:t>
            </w:r>
          </w:p>
        </w:tc>
      </w:tr>
    </w:tbl>
    <w:p w14:paraId="6818403B" w14:textId="77777777" w:rsidR="00054251" w:rsidRPr="00556428" w:rsidRDefault="00054251" w:rsidP="008951C2">
      <w:pPr>
        <w:spacing w:after="240"/>
        <w:jc w:val="both"/>
        <w:rPr>
          <w:rFonts w:ascii="Century Gothic" w:hAnsi="Century Gothic"/>
          <w:sz w:val="6"/>
        </w:rPr>
      </w:pPr>
    </w:p>
    <w:p w14:paraId="05650475" w14:textId="77777777" w:rsidR="00FA03B6" w:rsidRDefault="00556428" w:rsidP="008951C2">
      <w:pPr>
        <w:spacing w:after="240"/>
        <w:jc w:val="both"/>
        <w:rPr>
          <w:rFonts w:ascii="Century Gothic" w:hAnsi="Century Gothic"/>
          <w:sz w:val="24"/>
        </w:rPr>
      </w:pPr>
      <w:r>
        <w:rPr>
          <w:rFonts w:ascii="Century Gothic" w:hAnsi="Century Gothic"/>
          <w:sz w:val="24"/>
        </w:rPr>
        <w:t xml:space="preserve">Como </w:t>
      </w:r>
      <w:r>
        <w:rPr>
          <w:rFonts w:ascii="Century Gothic" w:hAnsi="Century Gothic"/>
          <w:sz w:val="24"/>
          <w:szCs w:val="24"/>
        </w:rPr>
        <w:t>se puede observar el Fin y el Propósito del programa contribuyen al logro de los objetivos de política pública. Sin embargo, una observación ante la vinculación del programa, es que, en primera instancia, se debe establecer puntualmente los bienes o servicios que este ofrece</w:t>
      </w:r>
      <w:r w:rsidR="00F14C49">
        <w:rPr>
          <w:rFonts w:ascii="Century Gothic" w:hAnsi="Century Gothic"/>
          <w:sz w:val="24"/>
          <w:szCs w:val="24"/>
        </w:rPr>
        <w:t xml:space="preserve"> para así tener mayor claridad cuál es la problemática que se atiende y como se está contribuyendo a su logro.</w:t>
      </w:r>
    </w:p>
    <w:p w14:paraId="0F68BAFF" w14:textId="77777777" w:rsidR="00BD6ECE" w:rsidRDefault="00BD6ECE" w:rsidP="00BD6ECE">
      <w:pPr>
        <w:spacing w:before="240" w:after="240"/>
        <w:jc w:val="both"/>
        <w:rPr>
          <w:rFonts w:ascii="Century Gothic" w:hAnsi="Century Gothic"/>
          <w:sz w:val="24"/>
        </w:rPr>
      </w:pPr>
      <w:r>
        <w:rPr>
          <w:rFonts w:ascii="Century Gothic" w:hAnsi="Century Gothic"/>
          <w:sz w:val="24"/>
        </w:rPr>
        <w:t xml:space="preserve">En cuanto a la vinculación </w:t>
      </w:r>
      <w:r w:rsidRPr="00BD6ECE">
        <w:rPr>
          <w:rFonts w:ascii="Century Gothic" w:hAnsi="Century Gothic"/>
          <w:sz w:val="24"/>
        </w:rPr>
        <w:t>con los objetivos del programa sectorial</w:t>
      </w:r>
      <w:r>
        <w:rPr>
          <w:rFonts w:ascii="Century Gothic" w:hAnsi="Century Gothic"/>
          <w:sz w:val="24"/>
        </w:rPr>
        <w:t xml:space="preserve">, se identificó que el Estado de Colima cuenta con el “Programa sectorial desarrollo urbano ordenamiento territorial 2016 </w:t>
      </w:r>
      <w:r w:rsidRPr="00BD6ECE">
        <w:rPr>
          <w:rFonts w:ascii="Century Gothic" w:hAnsi="Century Gothic"/>
          <w:sz w:val="24"/>
        </w:rPr>
        <w:t>2021</w:t>
      </w:r>
      <w:r>
        <w:rPr>
          <w:rFonts w:ascii="Century Gothic" w:hAnsi="Century Gothic"/>
          <w:sz w:val="24"/>
        </w:rPr>
        <w:t>” el cual tiene como objetivo p</w:t>
      </w:r>
      <w:r w:rsidRPr="00BD6ECE">
        <w:rPr>
          <w:rFonts w:ascii="Century Gothic" w:hAnsi="Century Gothic"/>
          <w:sz w:val="24"/>
        </w:rPr>
        <w:t>romover el de</w:t>
      </w:r>
      <w:r>
        <w:rPr>
          <w:rFonts w:ascii="Century Gothic" w:hAnsi="Century Gothic"/>
          <w:sz w:val="24"/>
        </w:rPr>
        <w:t>sarrollo urbano y metropolitano. Así se identificó que el programa de Infraestructura no habitacional contribuye al logro del objetivo ocho, tal como se presenta en el siguiente cuadro:</w:t>
      </w:r>
    </w:p>
    <w:tbl>
      <w:tblPr>
        <w:tblW w:w="5000" w:type="pct"/>
        <w:jc w:val="center"/>
        <w:tblCellMar>
          <w:left w:w="70" w:type="dxa"/>
          <w:right w:w="70" w:type="dxa"/>
        </w:tblCellMar>
        <w:tblLook w:val="04A0" w:firstRow="1" w:lastRow="0" w:firstColumn="1" w:lastColumn="0" w:noHBand="0" w:noVBand="1"/>
      </w:tblPr>
      <w:tblGrid>
        <w:gridCol w:w="3794"/>
        <w:gridCol w:w="5034"/>
      </w:tblGrid>
      <w:tr w:rsidR="00BD6ECE" w:rsidRPr="003A581D" w14:paraId="3EA6D5E0" w14:textId="77777777" w:rsidTr="00DA3B6D">
        <w:trPr>
          <w:trHeight w:val="601"/>
          <w:jc w:val="center"/>
        </w:trPr>
        <w:tc>
          <w:tcPr>
            <w:tcW w:w="5000" w:type="pct"/>
            <w:gridSpan w:val="2"/>
            <w:tcBorders>
              <w:top w:val="single" w:sz="8" w:space="0" w:color="auto"/>
              <w:left w:val="single" w:sz="8" w:space="0" w:color="auto"/>
              <w:bottom w:val="single" w:sz="8" w:space="0" w:color="auto"/>
              <w:right w:val="single" w:sz="8" w:space="0" w:color="auto"/>
            </w:tcBorders>
            <w:shd w:val="clear" w:color="auto" w:fill="0E4E7A"/>
            <w:vAlign w:val="center"/>
          </w:tcPr>
          <w:p w14:paraId="3FDA8ED8" w14:textId="77777777" w:rsidR="00BD6ECE" w:rsidRPr="003A581D" w:rsidRDefault="00BD6ECE" w:rsidP="003E3B3D">
            <w:pPr>
              <w:spacing w:after="0" w:line="240" w:lineRule="auto"/>
              <w:jc w:val="center"/>
              <w:rPr>
                <w:rFonts w:cstheme="minorHAnsi"/>
                <w:b/>
                <w:color w:val="FFFFFF" w:themeColor="background1"/>
                <w:sz w:val="20"/>
              </w:rPr>
            </w:pPr>
            <w:r w:rsidRPr="003A581D">
              <w:rPr>
                <w:rFonts w:cstheme="minorHAnsi"/>
                <w:sz w:val="20"/>
              </w:rPr>
              <w:br w:type="page"/>
            </w:r>
            <w:r>
              <w:rPr>
                <w:rFonts w:cstheme="minorHAnsi"/>
                <w:b/>
                <w:color w:val="FFFFFF" w:themeColor="background1"/>
                <w:sz w:val="20"/>
              </w:rPr>
              <w:t>Cuadro 2.</w:t>
            </w:r>
            <w:r w:rsidR="003E3B3D">
              <w:rPr>
                <w:rFonts w:cstheme="minorHAnsi"/>
                <w:b/>
                <w:color w:val="FFFFFF" w:themeColor="background1"/>
                <w:sz w:val="20"/>
              </w:rPr>
              <w:t>10</w:t>
            </w:r>
            <w:r w:rsidRPr="003A581D">
              <w:rPr>
                <w:rFonts w:cstheme="minorHAnsi"/>
                <w:b/>
                <w:color w:val="FFFFFF" w:themeColor="background1"/>
                <w:sz w:val="20"/>
              </w:rPr>
              <w:t xml:space="preserve"> </w:t>
            </w:r>
            <w:r w:rsidRPr="003A581D">
              <w:rPr>
                <w:rFonts w:eastAsia="Calibri" w:cstheme="minorHAnsi"/>
                <w:b/>
                <w:color w:val="FFFFFF" w:themeColor="background1"/>
                <w:kern w:val="24"/>
                <w:sz w:val="20"/>
              </w:rPr>
              <w:t xml:space="preserve">Vinculación del objetivo de </w:t>
            </w:r>
            <w:r>
              <w:rPr>
                <w:rFonts w:eastAsia="Calibri" w:cstheme="minorHAnsi"/>
                <w:b/>
                <w:color w:val="FFFFFF" w:themeColor="background1"/>
                <w:kern w:val="24"/>
                <w:sz w:val="20"/>
              </w:rPr>
              <w:t xml:space="preserve">Propósito </w:t>
            </w:r>
            <w:r w:rsidRPr="00F00700">
              <w:rPr>
                <w:rFonts w:eastAsia="Calibri" w:cstheme="minorHAnsi"/>
                <w:b/>
                <w:color w:val="FFFFFF" w:themeColor="background1"/>
                <w:kern w:val="24"/>
                <w:sz w:val="20"/>
              </w:rPr>
              <w:t>del programa Infraestructura no Habitacional</w:t>
            </w:r>
            <w:r>
              <w:rPr>
                <w:rFonts w:eastAsia="Calibri" w:cstheme="minorHAnsi"/>
                <w:b/>
                <w:color w:val="FFFFFF" w:themeColor="background1"/>
                <w:kern w:val="24"/>
                <w:sz w:val="20"/>
              </w:rPr>
              <w:t xml:space="preserve"> con</w:t>
            </w:r>
            <w:r w:rsidRPr="00F00700">
              <w:rPr>
                <w:rFonts w:eastAsia="Calibri" w:cstheme="minorHAnsi"/>
                <w:b/>
                <w:color w:val="FFFFFF" w:themeColor="background1"/>
                <w:kern w:val="24"/>
                <w:sz w:val="20"/>
              </w:rPr>
              <w:t xml:space="preserve"> </w:t>
            </w:r>
            <w:r>
              <w:rPr>
                <w:rFonts w:eastAsia="Calibri" w:cstheme="minorHAnsi"/>
                <w:b/>
                <w:color w:val="FFFFFF" w:themeColor="background1"/>
                <w:kern w:val="24"/>
                <w:sz w:val="20"/>
              </w:rPr>
              <w:t xml:space="preserve">el </w:t>
            </w:r>
            <w:r w:rsidRPr="00BD6ECE">
              <w:rPr>
                <w:rFonts w:cstheme="minorHAnsi"/>
                <w:b/>
                <w:color w:val="FFFFFF" w:themeColor="background1"/>
                <w:sz w:val="20"/>
              </w:rPr>
              <w:t>Programa sectorial desarrollo urbano ordenamiento territorial 2016 2021</w:t>
            </w:r>
            <w:r>
              <w:rPr>
                <w:rFonts w:cstheme="minorHAnsi"/>
                <w:b/>
                <w:color w:val="FFFFFF" w:themeColor="background1"/>
                <w:sz w:val="20"/>
              </w:rPr>
              <w:t>.</w:t>
            </w:r>
          </w:p>
        </w:tc>
      </w:tr>
      <w:tr w:rsidR="00BD6ECE" w:rsidRPr="003A581D" w14:paraId="6CD59F9F" w14:textId="77777777" w:rsidTr="00DA3B6D">
        <w:trPr>
          <w:trHeight w:val="113"/>
          <w:jc w:val="center"/>
        </w:trPr>
        <w:tc>
          <w:tcPr>
            <w:tcW w:w="2149" w:type="pct"/>
            <w:tcBorders>
              <w:top w:val="single" w:sz="8" w:space="0" w:color="auto"/>
              <w:left w:val="single" w:sz="8" w:space="0" w:color="auto"/>
              <w:bottom w:val="single" w:sz="4" w:space="0" w:color="auto"/>
              <w:right w:val="single" w:sz="8" w:space="0" w:color="auto"/>
            </w:tcBorders>
            <w:shd w:val="clear" w:color="auto" w:fill="0E4E7A"/>
            <w:vAlign w:val="center"/>
            <w:hideMark/>
          </w:tcPr>
          <w:p w14:paraId="2167D150" w14:textId="77777777" w:rsidR="00BD6ECE" w:rsidRPr="003A581D" w:rsidRDefault="00BD6ECE" w:rsidP="00363140">
            <w:pPr>
              <w:spacing w:after="0" w:line="240" w:lineRule="auto"/>
              <w:jc w:val="center"/>
              <w:rPr>
                <w:rFonts w:cstheme="minorHAnsi"/>
                <w:b/>
                <w:color w:val="FFFFFF" w:themeColor="background1"/>
                <w:sz w:val="20"/>
              </w:rPr>
            </w:pPr>
            <w:r w:rsidRPr="003A581D">
              <w:rPr>
                <w:rFonts w:cstheme="minorHAnsi"/>
                <w:b/>
                <w:color w:val="FFFFFF" w:themeColor="background1"/>
                <w:sz w:val="20"/>
              </w:rPr>
              <w:t xml:space="preserve">Propósito </w:t>
            </w:r>
          </w:p>
        </w:tc>
        <w:tc>
          <w:tcPr>
            <w:tcW w:w="2851" w:type="pct"/>
            <w:tcBorders>
              <w:top w:val="single" w:sz="8" w:space="0" w:color="auto"/>
              <w:left w:val="nil"/>
              <w:bottom w:val="single" w:sz="4" w:space="0" w:color="auto"/>
              <w:right w:val="single" w:sz="8" w:space="0" w:color="auto"/>
            </w:tcBorders>
            <w:shd w:val="clear" w:color="auto" w:fill="0E4E7A"/>
            <w:vAlign w:val="center"/>
            <w:hideMark/>
          </w:tcPr>
          <w:p w14:paraId="26D5A2DC" w14:textId="77777777" w:rsidR="00BD6ECE" w:rsidRPr="003A581D" w:rsidRDefault="00BD6ECE" w:rsidP="00BD6ECE">
            <w:pPr>
              <w:spacing w:after="0" w:line="240" w:lineRule="auto"/>
              <w:jc w:val="center"/>
              <w:rPr>
                <w:rFonts w:cstheme="minorHAnsi"/>
                <w:b/>
                <w:color w:val="FFFFFF" w:themeColor="background1"/>
                <w:sz w:val="20"/>
              </w:rPr>
            </w:pPr>
            <w:r>
              <w:rPr>
                <w:rFonts w:cstheme="minorHAnsi"/>
                <w:b/>
                <w:color w:val="FFFFFF" w:themeColor="background1"/>
                <w:sz w:val="20"/>
              </w:rPr>
              <w:t>Objetivos</w:t>
            </w:r>
          </w:p>
        </w:tc>
      </w:tr>
      <w:tr w:rsidR="00BD6ECE" w:rsidRPr="003A581D" w14:paraId="62F8B41E" w14:textId="77777777" w:rsidTr="00DA3B6D">
        <w:trPr>
          <w:trHeight w:val="1343"/>
          <w:jc w:val="center"/>
        </w:trPr>
        <w:tc>
          <w:tcPr>
            <w:tcW w:w="2149" w:type="pct"/>
            <w:tcBorders>
              <w:top w:val="single" w:sz="4" w:space="0" w:color="auto"/>
              <w:left w:val="single" w:sz="4" w:space="0" w:color="auto"/>
              <w:right w:val="single" w:sz="4" w:space="0" w:color="auto"/>
            </w:tcBorders>
            <w:shd w:val="clear" w:color="auto" w:fill="auto"/>
            <w:vAlign w:val="center"/>
          </w:tcPr>
          <w:p w14:paraId="5A597E76" w14:textId="77777777" w:rsidR="00BD6ECE" w:rsidRPr="003A581D" w:rsidRDefault="00BD6ECE" w:rsidP="00BD6ECE">
            <w:pPr>
              <w:spacing w:after="0" w:line="240" w:lineRule="auto"/>
              <w:jc w:val="both"/>
              <w:rPr>
                <w:rFonts w:cstheme="minorHAnsi"/>
                <w:sz w:val="20"/>
              </w:rPr>
            </w:pPr>
            <w:r w:rsidRPr="007B086D">
              <w:rPr>
                <w:rFonts w:eastAsia="Times New Roman" w:cstheme="minorHAnsi"/>
              </w:rPr>
              <w:t xml:space="preserve">Que la población cuente con </w:t>
            </w:r>
            <w:r w:rsidRPr="00BD6ECE">
              <w:rPr>
                <w:rFonts w:eastAsia="Times New Roman" w:cstheme="minorHAnsi"/>
                <w:b/>
                <w:color w:val="00B050"/>
              </w:rPr>
              <w:t>mayor y mejor Infraestructura</w:t>
            </w:r>
            <w:r w:rsidRPr="005F5C11">
              <w:rPr>
                <w:rFonts w:eastAsia="Times New Roman" w:cstheme="minorHAnsi"/>
              </w:rPr>
              <w:t xml:space="preserve"> </w:t>
            </w:r>
            <w:r w:rsidRPr="007B086D">
              <w:rPr>
                <w:rFonts w:eastAsia="Times New Roman" w:cstheme="minorHAnsi"/>
              </w:rPr>
              <w:t>necesaria para recibir los servicios</w:t>
            </w:r>
            <w:r>
              <w:rPr>
                <w:rFonts w:eastAsia="Times New Roman" w:cstheme="minorHAnsi"/>
              </w:rPr>
              <w:t xml:space="preserve"> </w:t>
            </w:r>
            <w:r w:rsidRPr="007B086D">
              <w:rPr>
                <w:rFonts w:eastAsia="Times New Roman" w:cstheme="minorHAnsi"/>
              </w:rPr>
              <w:t xml:space="preserve">Públicos necesarios </w:t>
            </w:r>
            <w:r w:rsidRPr="00BD6ECE">
              <w:rPr>
                <w:rFonts w:eastAsia="Times New Roman" w:cstheme="minorHAnsi"/>
                <w:b/>
                <w:color w:val="00B050"/>
              </w:rPr>
              <w:t>para el desarrollo y la convivencia</w:t>
            </w:r>
            <w:r w:rsidRPr="005F5C11">
              <w:rPr>
                <w:rFonts w:eastAsia="Times New Roman" w:cstheme="minorHAnsi"/>
              </w:rPr>
              <w:t xml:space="preserve"> </w:t>
            </w:r>
            <w:r>
              <w:rPr>
                <w:rFonts w:eastAsia="Times New Roman" w:cstheme="minorHAnsi"/>
              </w:rPr>
              <w:t>e</w:t>
            </w:r>
            <w:r w:rsidRPr="007B086D">
              <w:rPr>
                <w:rFonts w:eastAsia="Times New Roman" w:cstheme="minorHAnsi"/>
              </w:rPr>
              <w:t>n el estado.</w:t>
            </w:r>
          </w:p>
        </w:tc>
        <w:tc>
          <w:tcPr>
            <w:tcW w:w="2851" w:type="pct"/>
            <w:tcBorders>
              <w:top w:val="single" w:sz="4" w:space="0" w:color="auto"/>
              <w:left w:val="single" w:sz="4" w:space="0" w:color="auto"/>
              <w:right w:val="single" w:sz="4" w:space="0" w:color="auto"/>
            </w:tcBorders>
            <w:shd w:val="clear" w:color="auto" w:fill="auto"/>
            <w:vAlign w:val="center"/>
          </w:tcPr>
          <w:p w14:paraId="36555DB1" w14:textId="77777777" w:rsidR="00BD6ECE" w:rsidRPr="00BD6ECE" w:rsidRDefault="00BD6ECE" w:rsidP="002C3611">
            <w:pPr>
              <w:spacing w:after="0"/>
              <w:rPr>
                <w:b/>
                <w:bCs/>
              </w:rPr>
            </w:pPr>
            <w:r w:rsidRPr="00BD6ECE">
              <w:t>Objetivo Específico 8</w:t>
            </w:r>
          </w:p>
          <w:p w14:paraId="03F82D91" w14:textId="77777777" w:rsidR="00BD6ECE" w:rsidRPr="003A581D" w:rsidRDefault="00BD6ECE" w:rsidP="002C3611">
            <w:pPr>
              <w:spacing w:after="0"/>
              <w:rPr>
                <w:sz w:val="20"/>
              </w:rPr>
            </w:pPr>
            <w:r w:rsidRPr="00BD6ECE">
              <w:rPr>
                <w:color w:val="00B050"/>
              </w:rPr>
              <w:t xml:space="preserve">Mejorar las condiciones físicas </w:t>
            </w:r>
            <w:r w:rsidRPr="00BD6ECE">
              <w:t xml:space="preserve">de los </w:t>
            </w:r>
            <w:r w:rsidRPr="00DA3B6D">
              <w:rPr>
                <w:color w:val="00B050"/>
              </w:rPr>
              <w:t xml:space="preserve">equipamientos </w:t>
            </w:r>
            <w:r w:rsidRPr="00BD6ECE">
              <w:t>urbanos.</w:t>
            </w:r>
          </w:p>
        </w:tc>
      </w:tr>
      <w:tr w:rsidR="00BD6ECE" w:rsidRPr="003A581D" w14:paraId="256CA545" w14:textId="77777777" w:rsidTr="00DA3B6D">
        <w:trPr>
          <w:trHeight w:val="30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22D5AF" w14:textId="77777777" w:rsidR="00BD6ECE" w:rsidRPr="003A581D" w:rsidRDefault="00BD6ECE" w:rsidP="00363140">
            <w:pPr>
              <w:spacing w:after="0"/>
              <w:jc w:val="both"/>
              <w:rPr>
                <w:rFonts w:cstheme="minorHAnsi"/>
                <w:sz w:val="20"/>
              </w:rPr>
            </w:pPr>
            <w:r w:rsidRPr="00BB2445">
              <w:rPr>
                <w:rFonts w:cstheme="minorHAnsi"/>
                <w:b/>
                <w:sz w:val="18"/>
              </w:rPr>
              <w:t>Fuente</w:t>
            </w:r>
            <w:r w:rsidRPr="00BB2445">
              <w:rPr>
                <w:rFonts w:cstheme="minorHAnsi"/>
                <w:sz w:val="18"/>
              </w:rPr>
              <w:t>: Elaborado por TECSO con base a la MIR del Programa K005 y la Organización de las Naciones Unidas.</w:t>
            </w:r>
          </w:p>
        </w:tc>
      </w:tr>
    </w:tbl>
    <w:p w14:paraId="540D03EF" w14:textId="77777777" w:rsidR="00D165FE" w:rsidRDefault="00D165FE" w:rsidP="00D165FE">
      <w:pPr>
        <w:spacing w:before="240" w:after="240"/>
        <w:jc w:val="both"/>
        <w:rPr>
          <w:rFonts w:ascii="Century Gothic" w:hAnsi="Century Gothic"/>
          <w:sz w:val="24"/>
          <w:szCs w:val="24"/>
        </w:rPr>
      </w:pPr>
      <w:r>
        <w:rPr>
          <w:rFonts w:ascii="Century Gothic" w:hAnsi="Century Gothic"/>
          <w:sz w:val="24"/>
        </w:rPr>
        <w:t xml:space="preserve">Finalmente </w:t>
      </w:r>
      <w:r>
        <w:rPr>
          <w:rFonts w:ascii="Century Gothic" w:hAnsi="Century Gothic"/>
          <w:sz w:val="24"/>
          <w:szCs w:val="24"/>
        </w:rPr>
        <w:t xml:space="preserve">se analiza </w:t>
      </w:r>
      <w:r w:rsidRPr="004259FE">
        <w:rPr>
          <w:rFonts w:ascii="Century Gothic" w:hAnsi="Century Gothic"/>
          <w:sz w:val="24"/>
          <w:szCs w:val="24"/>
        </w:rPr>
        <w:t xml:space="preserve">la </w:t>
      </w:r>
      <w:r>
        <w:rPr>
          <w:rFonts w:ascii="Century Gothic" w:hAnsi="Century Gothic"/>
          <w:sz w:val="24"/>
          <w:szCs w:val="24"/>
        </w:rPr>
        <w:t>contribución del Programa a los objetivos del desarrollo del milenio planteados por la ONU, esto responde a que hay</w:t>
      </w:r>
      <w:r w:rsidRPr="00B06282">
        <w:rPr>
          <w:rFonts w:ascii="Century Gothic" w:hAnsi="Century Gothic"/>
          <w:sz w:val="24"/>
          <w:szCs w:val="24"/>
        </w:rPr>
        <w:t xml:space="preserve"> un </w:t>
      </w:r>
      <w:r w:rsidRPr="00B06282">
        <w:rPr>
          <w:rFonts w:ascii="Century Gothic" w:hAnsi="Century Gothic"/>
          <w:sz w:val="24"/>
          <w:szCs w:val="24"/>
        </w:rPr>
        <w:lastRenderedPageBreak/>
        <w:t xml:space="preserve">modelo acordado por </w:t>
      </w:r>
      <w:r>
        <w:rPr>
          <w:rFonts w:ascii="Century Gothic" w:hAnsi="Century Gothic"/>
          <w:sz w:val="24"/>
          <w:szCs w:val="24"/>
        </w:rPr>
        <w:t xml:space="preserve">varios </w:t>
      </w:r>
      <w:r w:rsidRPr="00B06282">
        <w:rPr>
          <w:rFonts w:ascii="Century Gothic" w:hAnsi="Century Gothic"/>
          <w:sz w:val="24"/>
          <w:szCs w:val="24"/>
        </w:rPr>
        <w:t xml:space="preserve">países </w:t>
      </w:r>
      <w:r>
        <w:rPr>
          <w:rFonts w:ascii="Century Gothic" w:hAnsi="Century Gothic"/>
          <w:sz w:val="24"/>
          <w:szCs w:val="24"/>
        </w:rPr>
        <w:t>e</w:t>
      </w:r>
      <w:r w:rsidRPr="00B06282">
        <w:rPr>
          <w:rFonts w:ascii="Century Gothic" w:hAnsi="Century Gothic"/>
          <w:sz w:val="24"/>
          <w:szCs w:val="24"/>
        </w:rPr>
        <w:t xml:space="preserve"> instituciones de desarrollo</w:t>
      </w:r>
      <w:r>
        <w:rPr>
          <w:rFonts w:ascii="Century Gothic" w:hAnsi="Century Gothic"/>
          <w:sz w:val="24"/>
          <w:szCs w:val="24"/>
        </w:rPr>
        <w:t xml:space="preserve"> </w:t>
      </w:r>
      <w:r w:rsidRPr="00B06282">
        <w:rPr>
          <w:rFonts w:ascii="Century Gothic" w:hAnsi="Century Gothic"/>
          <w:sz w:val="24"/>
          <w:szCs w:val="24"/>
        </w:rPr>
        <w:t>para suplir las necesidades de los más pobres</w:t>
      </w:r>
      <w:r w:rsidR="00F00700">
        <w:rPr>
          <w:rFonts w:ascii="Century Gothic" w:hAnsi="Century Gothic"/>
          <w:sz w:val="24"/>
          <w:szCs w:val="24"/>
        </w:rPr>
        <w:t xml:space="preserve">. </w:t>
      </w:r>
    </w:p>
    <w:p w14:paraId="125CC6B0" w14:textId="77777777" w:rsidR="00F00700" w:rsidRDefault="00F00700" w:rsidP="00D165FE">
      <w:pPr>
        <w:spacing w:before="240" w:after="240"/>
        <w:jc w:val="both"/>
        <w:rPr>
          <w:rFonts w:ascii="Century Gothic" w:hAnsi="Century Gothic"/>
          <w:sz w:val="24"/>
          <w:szCs w:val="24"/>
        </w:rPr>
      </w:pPr>
      <w:r>
        <w:rPr>
          <w:rFonts w:ascii="Century Gothic" w:hAnsi="Century Gothic"/>
          <w:sz w:val="24"/>
          <w:szCs w:val="24"/>
        </w:rPr>
        <w:t>Ante ello la SEIDUR manifestó que el programa se vincula a los siguientes objetivos:</w:t>
      </w:r>
    </w:p>
    <w:p w14:paraId="0C3EFFC5" w14:textId="77777777" w:rsidR="00F00700" w:rsidRPr="00F00700" w:rsidRDefault="00F00700" w:rsidP="007B7DEE">
      <w:pPr>
        <w:tabs>
          <w:tab w:val="left" w:pos="540"/>
        </w:tabs>
        <w:ind w:left="284" w:right="333"/>
        <w:jc w:val="both"/>
        <w:rPr>
          <w:rFonts w:ascii="Century Gothic" w:hAnsi="Century Gothic"/>
          <w:sz w:val="24"/>
          <w:szCs w:val="24"/>
        </w:rPr>
      </w:pPr>
      <w:r w:rsidRPr="007B7DEE">
        <w:rPr>
          <w:rFonts w:ascii="Century Gothic" w:hAnsi="Century Gothic"/>
          <w:b/>
          <w:sz w:val="24"/>
          <w:szCs w:val="24"/>
        </w:rPr>
        <w:t>1.- Poner fin a la pobreza en todas sus formas</w:t>
      </w:r>
      <w:r w:rsidRPr="00F00700">
        <w:rPr>
          <w:rFonts w:ascii="Century Gothic" w:hAnsi="Century Gothic"/>
          <w:sz w:val="24"/>
          <w:szCs w:val="24"/>
        </w:rPr>
        <w:t>: Dado que el programa contribuye a la construcción de infraestructura para el saneamiento y servicios básicos en ciudades y localidades rurales, la generación de espacios públicos que propician la inclusión y la conectividad.</w:t>
      </w:r>
    </w:p>
    <w:p w14:paraId="67E6D406" w14:textId="77777777" w:rsidR="00F00700" w:rsidRPr="00F00700" w:rsidRDefault="00F00700" w:rsidP="007B7DEE">
      <w:pPr>
        <w:tabs>
          <w:tab w:val="left" w:pos="540"/>
        </w:tabs>
        <w:ind w:left="284" w:right="333"/>
        <w:jc w:val="both"/>
        <w:rPr>
          <w:rFonts w:ascii="Century Gothic" w:hAnsi="Century Gothic"/>
          <w:sz w:val="24"/>
          <w:szCs w:val="24"/>
        </w:rPr>
      </w:pPr>
      <w:r w:rsidRPr="007B7DEE">
        <w:rPr>
          <w:rFonts w:ascii="Century Gothic" w:hAnsi="Century Gothic"/>
          <w:b/>
          <w:sz w:val="24"/>
          <w:szCs w:val="24"/>
        </w:rPr>
        <w:t>6.-Agua limpia y saneamiento</w:t>
      </w:r>
      <w:r w:rsidRPr="00F00700">
        <w:rPr>
          <w:rFonts w:ascii="Century Gothic" w:hAnsi="Century Gothic"/>
          <w:sz w:val="24"/>
          <w:szCs w:val="24"/>
        </w:rPr>
        <w:t xml:space="preserve">: Dado que con la infraestructura para el saneamiento se beneficia a los habitantes, otorgándoles condiciones salubres; </w:t>
      </w:r>
      <w:r w:rsidR="007B7DEE" w:rsidRPr="00F00700">
        <w:rPr>
          <w:rFonts w:ascii="Century Gothic" w:hAnsi="Century Gothic"/>
          <w:sz w:val="24"/>
          <w:szCs w:val="24"/>
        </w:rPr>
        <w:t>así</w:t>
      </w:r>
      <w:r w:rsidRPr="00F00700">
        <w:rPr>
          <w:rFonts w:ascii="Century Gothic" w:hAnsi="Century Gothic"/>
          <w:sz w:val="24"/>
          <w:szCs w:val="24"/>
        </w:rPr>
        <w:t xml:space="preserve"> como proveer del líquido vital a través de esta.</w:t>
      </w:r>
    </w:p>
    <w:p w14:paraId="1D60D182" w14:textId="77777777" w:rsidR="00F00700" w:rsidRPr="00F00700" w:rsidRDefault="00F00700" w:rsidP="007B7DEE">
      <w:pPr>
        <w:tabs>
          <w:tab w:val="left" w:pos="0"/>
        </w:tabs>
        <w:ind w:left="284" w:right="333"/>
        <w:jc w:val="both"/>
        <w:rPr>
          <w:rFonts w:ascii="Century Gothic" w:hAnsi="Century Gothic"/>
          <w:sz w:val="24"/>
          <w:szCs w:val="24"/>
        </w:rPr>
      </w:pPr>
      <w:r w:rsidRPr="007B7DEE">
        <w:rPr>
          <w:rFonts w:ascii="Century Gothic" w:hAnsi="Century Gothic"/>
          <w:b/>
          <w:sz w:val="24"/>
          <w:szCs w:val="24"/>
        </w:rPr>
        <w:t>11.-Ciudades y Comunidades Sostenibles</w:t>
      </w:r>
      <w:r w:rsidRPr="00F00700">
        <w:rPr>
          <w:rFonts w:ascii="Century Gothic" w:hAnsi="Century Gothic"/>
          <w:sz w:val="24"/>
          <w:szCs w:val="24"/>
        </w:rPr>
        <w:t>: Porque con los recursos del programa se puede invertir en transporte público creando vías con las condiciones óptimas, así mismo para crear áreas públicas verdes</w:t>
      </w:r>
      <w:r w:rsidR="007B7DEE">
        <w:rPr>
          <w:rStyle w:val="Refdenotaalpie"/>
          <w:rFonts w:ascii="Century Gothic" w:hAnsi="Century Gothic"/>
          <w:sz w:val="24"/>
          <w:szCs w:val="24"/>
        </w:rPr>
        <w:footnoteReference w:id="11"/>
      </w:r>
      <w:r w:rsidRPr="00F00700">
        <w:rPr>
          <w:rFonts w:ascii="Century Gothic" w:hAnsi="Century Gothic"/>
          <w:sz w:val="24"/>
          <w:szCs w:val="24"/>
        </w:rPr>
        <w:t>.</w:t>
      </w:r>
    </w:p>
    <w:p w14:paraId="26522E36" w14:textId="77777777" w:rsidR="00F00700" w:rsidRDefault="00DA2329" w:rsidP="00D165FE">
      <w:pPr>
        <w:spacing w:before="240" w:after="240"/>
        <w:jc w:val="both"/>
        <w:rPr>
          <w:rFonts w:ascii="Century Gothic" w:hAnsi="Century Gothic"/>
          <w:sz w:val="24"/>
          <w:szCs w:val="24"/>
        </w:rPr>
      </w:pPr>
      <w:r>
        <w:rPr>
          <w:rFonts w:ascii="Century Gothic" w:hAnsi="Century Gothic"/>
          <w:sz w:val="24"/>
          <w:szCs w:val="24"/>
        </w:rPr>
        <w:t>Sin embargo, al analizar al detalle cada uno de los objetivos propuestos en la “Agenda de desarrollo post 2015”, se identificó que hay un objetivo al cual la vinculación es más precisa al tocar el tema de la infraestructura en las ciudades, esto se presenta en el siguiente cuadro:</w:t>
      </w:r>
    </w:p>
    <w:tbl>
      <w:tblPr>
        <w:tblW w:w="5000" w:type="pct"/>
        <w:jc w:val="center"/>
        <w:tblCellMar>
          <w:left w:w="70" w:type="dxa"/>
          <w:right w:w="70" w:type="dxa"/>
        </w:tblCellMar>
        <w:tblLook w:val="04A0" w:firstRow="1" w:lastRow="0" w:firstColumn="1" w:lastColumn="0" w:noHBand="0" w:noVBand="1"/>
      </w:tblPr>
      <w:tblGrid>
        <w:gridCol w:w="3794"/>
        <w:gridCol w:w="5034"/>
      </w:tblGrid>
      <w:tr w:rsidR="00D165FE" w:rsidRPr="003A581D" w14:paraId="1FFC5C33" w14:textId="77777777" w:rsidTr="0003781B">
        <w:trPr>
          <w:trHeight w:val="601"/>
          <w:jc w:val="center"/>
        </w:trPr>
        <w:tc>
          <w:tcPr>
            <w:tcW w:w="5000" w:type="pct"/>
            <w:gridSpan w:val="2"/>
            <w:tcBorders>
              <w:top w:val="single" w:sz="8" w:space="0" w:color="auto"/>
              <w:left w:val="single" w:sz="8" w:space="0" w:color="auto"/>
              <w:bottom w:val="single" w:sz="8" w:space="0" w:color="auto"/>
              <w:right w:val="single" w:sz="8" w:space="0" w:color="auto"/>
            </w:tcBorders>
            <w:shd w:val="clear" w:color="auto" w:fill="0E4E7A"/>
            <w:vAlign w:val="center"/>
          </w:tcPr>
          <w:p w14:paraId="39C39A1F" w14:textId="77777777" w:rsidR="00D165FE" w:rsidRPr="003A581D" w:rsidRDefault="00D165FE" w:rsidP="00F00700">
            <w:pPr>
              <w:spacing w:after="0" w:line="240" w:lineRule="auto"/>
              <w:jc w:val="center"/>
              <w:rPr>
                <w:rFonts w:cstheme="minorHAnsi"/>
                <w:b/>
                <w:color w:val="FFFFFF" w:themeColor="background1"/>
                <w:sz w:val="20"/>
              </w:rPr>
            </w:pPr>
            <w:r w:rsidRPr="003A581D">
              <w:rPr>
                <w:rFonts w:cstheme="minorHAnsi"/>
                <w:sz w:val="20"/>
              </w:rPr>
              <w:br w:type="page"/>
            </w:r>
            <w:r w:rsidR="003E3B3D">
              <w:rPr>
                <w:rFonts w:cstheme="minorHAnsi"/>
                <w:b/>
                <w:color w:val="FFFFFF" w:themeColor="background1"/>
                <w:sz w:val="20"/>
              </w:rPr>
              <w:t>Cuadro 2.11</w:t>
            </w:r>
            <w:r w:rsidRPr="003A581D">
              <w:rPr>
                <w:rFonts w:cstheme="minorHAnsi"/>
                <w:b/>
                <w:color w:val="FFFFFF" w:themeColor="background1"/>
                <w:sz w:val="20"/>
              </w:rPr>
              <w:t xml:space="preserve"> </w:t>
            </w:r>
            <w:r w:rsidRPr="003A581D">
              <w:rPr>
                <w:rFonts w:eastAsia="Calibri" w:cstheme="minorHAnsi"/>
                <w:b/>
                <w:color w:val="FFFFFF" w:themeColor="background1"/>
                <w:kern w:val="24"/>
                <w:sz w:val="20"/>
              </w:rPr>
              <w:t xml:space="preserve">Vinculación del objetivo de </w:t>
            </w:r>
            <w:r w:rsidR="00F00700">
              <w:rPr>
                <w:rFonts w:eastAsia="Calibri" w:cstheme="minorHAnsi"/>
                <w:b/>
                <w:color w:val="FFFFFF" w:themeColor="background1"/>
                <w:kern w:val="24"/>
                <w:sz w:val="20"/>
              </w:rPr>
              <w:t xml:space="preserve">Propósito </w:t>
            </w:r>
            <w:r w:rsidR="00F00700" w:rsidRPr="00F00700">
              <w:rPr>
                <w:rFonts w:eastAsia="Calibri" w:cstheme="minorHAnsi"/>
                <w:b/>
                <w:color w:val="FFFFFF" w:themeColor="background1"/>
                <w:kern w:val="24"/>
                <w:sz w:val="20"/>
              </w:rPr>
              <w:t>del programa Infraestructura no Habitacional</w:t>
            </w:r>
            <w:r w:rsidR="00F00700">
              <w:rPr>
                <w:rFonts w:eastAsia="Calibri" w:cstheme="minorHAnsi"/>
                <w:b/>
                <w:color w:val="FFFFFF" w:themeColor="background1"/>
                <w:kern w:val="24"/>
                <w:sz w:val="20"/>
              </w:rPr>
              <w:t xml:space="preserve"> con</w:t>
            </w:r>
            <w:r w:rsidR="00F00700" w:rsidRPr="00F00700">
              <w:rPr>
                <w:rFonts w:eastAsia="Calibri" w:cstheme="minorHAnsi"/>
                <w:b/>
                <w:color w:val="FFFFFF" w:themeColor="background1"/>
                <w:kern w:val="24"/>
                <w:sz w:val="20"/>
              </w:rPr>
              <w:t xml:space="preserve"> </w:t>
            </w:r>
            <w:r w:rsidRPr="003A581D">
              <w:rPr>
                <w:rFonts w:cstheme="minorHAnsi"/>
                <w:b/>
                <w:color w:val="FFFFFF" w:themeColor="background1"/>
                <w:sz w:val="20"/>
              </w:rPr>
              <w:t>los Objetivos de Desarrollo del Milenio de la ONU, 2015</w:t>
            </w:r>
            <w:r>
              <w:rPr>
                <w:rFonts w:cstheme="minorHAnsi"/>
                <w:b/>
                <w:color w:val="FFFFFF" w:themeColor="background1"/>
                <w:sz w:val="20"/>
              </w:rPr>
              <w:t>.</w:t>
            </w:r>
          </w:p>
        </w:tc>
      </w:tr>
      <w:tr w:rsidR="00D165FE" w:rsidRPr="003A581D" w14:paraId="06BA588A" w14:textId="77777777" w:rsidTr="0003781B">
        <w:trPr>
          <w:trHeight w:val="113"/>
          <w:jc w:val="center"/>
        </w:trPr>
        <w:tc>
          <w:tcPr>
            <w:tcW w:w="2149" w:type="pct"/>
            <w:tcBorders>
              <w:top w:val="single" w:sz="8" w:space="0" w:color="auto"/>
              <w:left w:val="single" w:sz="8" w:space="0" w:color="auto"/>
              <w:bottom w:val="single" w:sz="4" w:space="0" w:color="auto"/>
              <w:right w:val="single" w:sz="8" w:space="0" w:color="auto"/>
            </w:tcBorders>
            <w:shd w:val="clear" w:color="auto" w:fill="0E4E7A"/>
            <w:vAlign w:val="center"/>
            <w:hideMark/>
          </w:tcPr>
          <w:p w14:paraId="2F69C833" w14:textId="77777777" w:rsidR="00D165FE" w:rsidRPr="003A581D" w:rsidRDefault="00D165FE" w:rsidP="0003781B">
            <w:pPr>
              <w:spacing w:after="0" w:line="240" w:lineRule="auto"/>
              <w:jc w:val="center"/>
              <w:rPr>
                <w:rFonts w:cstheme="minorHAnsi"/>
                <w:b/>
                <w:color w:val="FFFFFF" w:themeColor="background1"/>
                <w:sz w:val="20"/>
              </w:rPr>
            </w:pPr>
            <w:r w:rsidRPr="003A581D">
              <w:rPr>
                <w:rFonts w:cstheme="minorHAnsi"/>
                <w:b/>
                <w:color w:val="FFFFFF" w:themeColor="background1"/>
                <w:sz w:val="20"/>
              </w:rPr>
              <w:t xml:space="preserve">Propósito </w:t>
            </w:r>
          </w:p>
        </w:tc>
        <w:tc>
          <w:tcPr>
            <w:tcW w:w="2851" w:type="pct"/>
            <w:tcBorders>
              <w:top w:val="single" w:sz="8" w:space="0" w:color="auto"/>
              <w:left w:val="nil"/>
              <w:bottom w:val="single" w:sz="4" w:space="0" w:color="auto"/>
              <w:right w:val="single" w:sz="8" w:space="0" w:color="auto"/>
            </w:tcBorders>
            <w:shd w:val="clear" w:color="auto" w:fill="0E4E7A"/>
            <w:vAlign w:val="center"/>
            <w:hideMark/>
          </w:tcPr>
          <w:p w14:paraId="083224CC" w14:textId="77777777" w:rsidR="00D165FE" w:rsidRPr="003A581D" w:rsidRDefault="00D165FE" w:rsidP="0003781B">
            <w:pPr>
              <w:spacing w:after="0" w:line="240" w:lineRule="auto"/>
              <w:jc w:val="center"/>
              <w:rPr>
                <w:rFonts w:cstheme="minorHAnsi"/>
                <w:b/>
                <w:color w:val="FFFFFF" w:themeColor="background1"/>
                <w:sz w:val="20"/>
              </w:rPr>
            </w:pPr>
            <w:r w:rsidRPr="003A581D">
              <w:rPr>
                <w:rFonts w:cstheme="minorHAnsi"/>
                <w:b/>
                <w:color w:val="FFFFFF" w:themeColor="background1"/>
                <w:sz w:val="20"/>
              </w:rPr>
              <w:t>Objetivos del Desarrollo del Milenio</w:t>
            </w:r>
          </w:p>
        </w:tc>
      </w:tr>
      <w:tr w:rsidR="00DA2329" w:rsidRPr="003A581D" w14:paraId="3E43C8B1" w14:textId="77777777" w:rsidTr="005F5C11">
        <w:trPr>
          <w:trHeight w:val="1343"/>
          <w:jc w:val="center"/>
        </w:trPr>
        <w:tc>
          <w:tcPr>
            <w:tcW w:w="2149" w:type="pct"/>
            <w:tcBorders>
              <w:top w:val="single" w:sz="4" w:space="0" w:color="auto"/>
              <w:left w:val="single" w:sz="4" w:space="0" w:color="auto"/>
              <w:right w:val="single" w:sz="4" w:space="0" w:color="auto"/>
            </w:tcBorders>
            <w:shd w:val="clear" w:color="auto" w:fill="auto"/>
            <w:vAlign w:val="center"/>
          </w:tcPr>
          <w:p w14:paraId="35E362FA" w14:textId="77777777" w:rsidR="00DA2329" w:rsidRPr="003A581D" w:rsidRDefault="00DA2329" w:rsidP="005F5C11">
            <w:pPr>
              <w:spacing w:after="0" w:line="240" w:lineRule="auto"/>
              <w:jc w:val="both"/>
              <w:rPr>
                <w:rFonts w:cstheme="minorHAnsi"/>
                <w:sz w:val="20"/>
              </w:rPr>
            </w:pPr>
            <w:r w:rsidRPr="007B086D">
              <w:rPr>
                <w:rFonts w:eastAsia="Times New Roman" w:cstheme="minorHAnsi"/>
              </w:rPr>
              <w:t xml:space="preserve">Que la población cuente con </w:t>
            </w:r>
            <w:r w:rsidRPr="005F5C11">
              <w:rPr>
                <w:rFonts w:eastAsia="Times New Roman" w:cstheme="minorHAnsi"/>
              </w:rPr>
              <w:t xml:space="preserve">mayor y mejor Infraestructura </w:t>
            </w:r>
            <w:r w:rsidRPr="007B086D">
              <w:rPr>
                <w:rFonts w:eastAsia="Times New Roman" w:cstheme="minorHAnsi"/>
              </w:rPr>
              <w:t>necesaria para recibir los servicios</w:t>
            </w:r>
            <w:r>
              <w:rPr>
                <w:rFonts w:eastAsia="Times New Roman" w:cstheme="minorHAnsi"/>
              </w:rPr>
              <w:t xml:space="preserve"> </w:t>
            </w:r>
            <w:r w:rsidRPr="007B086D">
              <w:rPr>
                <w:rFonts w:eastAsia="Times New Roman" w:cstheme="minorHAnsi"/>
              </w:rPr>
              <w:t xml:space="preserve">Públicos necesarios </w:t>
            </w:r>
            <w:r w:rsidRPr="005F5C11">
              <w:rPr>
                <w:rFonts w:eastAsia="Times New Roman" w:cstheme="minorHAnsi"/>
              </w:rPr>
              <w:t xml:space="preserve">para el desarrollo y la convivencia </w:t>
            </w:r>
            <w:r>
              <w:rPr>
                <w:rFonts w:eastAsia="Times New Roman" w:cstheme="minorHAnsi"/>
              </w:rPr>
              <w:t>e</w:t>
            </w:r>
            <w:r w:rsidRPr="007B086D">
              <w:rPr>
                <w:rFonts w:eastAsia="Times New Roman" w:cstheme="minorHAnsi"/>
              </w:rPr>
              <w:t>n el estado.</w:t>
            </w:r>
          </w:p>
        </w:tc>
        <w:tc>
          <w:tcPr>
            <w:tcW w:w="2851" w:type="pct"/>
            <w:tcBorders>
              <w:top w:val="single" w:sz="4" w:space="0" w:color="auto"/>
              <w:left w:val="single" w:sz="4" w:space="0" w:color="auto"/>
              <w:right w:val="single" w:sz="4" w:space="0" w:color="auto"/>
            </w:tcBorders>
            <w:shd w:val="clear" w:color="auto" w:fill="auto"/>
            <w:vAlign w:val="center"/>
          </w:tcPr>
          <w:p w14:paraId="6F58D72D" w14:textId="77777777" w:rsidR="00DA2329" w:rsidRPr="003A581D" w:rsidRDefault="00DA2329" w:rsidP="00977488">
            <w:pPr>
              <w:spacing w:after="0"/>
              <w:jc w:val="both"/>
              <w:rPr>
                <w:sz w:val="20"/>
              </w:rPr>
            </w:pPr>
            <w:r w:rsidRPr="008E0DCD">
              <w:rPr>
                <w:b/>
              </w:rPr>
              <w:t>Objetivo 11:</w:t>
            </w:r>
            <w:r w:rsidRPr="005F5C11">
              <w:t xml:space="preserve"> </w:t>
            </w:r>
            <w:r w:rsidRPr="00DA2329">
              <w:t>Lograr que las ciudades y los asentamientos humanos sean inclusivos, seguros, resilientes y sostenibles</w:t>
            </w:r>
            <w:r>
              <w:t>.</w:t>
            </w:r>
          </w:p>
        </w:tc>
      </w:tr>
      <w:tr w:rsidR="00D165FE" w:rsidRPr="003A581D" w14:paraId="760D23EC" w14:textId="77777777" w:rsidTr="0003781B">
        <w:trPr>
          <w:trHeight w:val="30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770524" w14:textId="77777777" w:rsidR="00D165FE" w:rsidRPr="003A581D" w:rsidRDefault="00D165FE" w:rsidP="0003781B">
            <w:pPr>
              <w:spacing w:after="0"/>
              <w:jc w:val="both"/>
              <w:rPr>
                <w:rFonts w:cstheme="minorHAnsi"/>
                <w:sz w:val="20"/>
              </w:rPr>
            </w:pPr>
            <w:r w:rsidRPr="00BB2445">
              <w:rPr>
                <w:rFonts w:cstheme="minorHAnsi"/>
                <w:b/>
                <w:sz w:val="18"/>
              </w:rPr>
              <w:t>Fuente</w:t>
            </w:r>
            <w:r w:rsidRPr="00BB2445">
              <w:rPr>
                <w:rFonts w:cstheme="minorHAnsi"/>
                <w:sz w:val="18"/>
              </w:rPr>
              <w:t>: Elaborado por TECSO con base a la MIR del Programa K005 y la Organización de las Naciones Unidas.</w:t>
            </w:r>
          </w:p>
        </w:tc>
      </w:tr>
    </w:tbl>
    <w:p w14:paraId="7127F983" w14:textId="77777777" w:rsidR="00D165FE" w:rsidRPr="00425186" w:rsidRDefault="00D165FE" w:rsidP="00D165FE">
      <w:pPr>
        <w:spacing w:after="240"/>
        <w:jc w:val="both"/>
        <w:rPr>
          <w:rFonts w:ascii="Century Gothic" w:hAnsi="Century Gothic"/>
          <w:sz w:val="8"/>
          <w:szCs w:val="24"/>
        </w:rPr>
      </w:pPr>
    </w:p>
    <w:p w14:paraId="259BFC45" w14:textId="77777777" w:rsidR="00DA2329" w:rsidRPr="00DA2329" w:rsidRDefault="00DA2329" w:rsidP="00DA2329">
      <w:pPr>
        <w:spacing w:after="240"/>
        <w:jc w:val="both"/>
        <w:rPr>
          <w:rFonts w:ascii="Century Gothic" w:hAnsi="Century Gothic"/>
          <w:sz w:val="24"/>
          <w:szCs w:val="24"/>
        </w:rPr>
      </w:pPr>
      <w:r>
        <w:rPr>
          <w:rFonts w:ascii="Century Gothic" w:hAnsi="Century Gothic"/>
          <w:sz w:val="24"/>
        </w:rPr>
        <w:t>Tal como lo manifiesta la ONU, uno de los grandes problemas en las ciudades es el deterioro de la infraestructura:</w:t>
      </w:r>
    </w:p>
    <w:p w14:paraId="6C29A946" w14:textId="77777777" w:rsidR="00DA2329" w:rsidRPr="00DA2329" w:rsidRDefault="00DA2329" w:rsidP="00DA2329">
      <w:pPr>
        <w:pStyle w:val="NormalWeb"/>
        <w:shd w:val="clear" w:color="auto" w:fill="FFFFFF"/>
        <w:spacing w:before="0" w:beforeAutospacing="0" w:after="240" w:afterAutospacing="0" w:line="276" w:lineRule="auto"/>
        <w:ind w:left="284" w:right="333"/>
        <w:jc w:val="both"/>
        <w:rPr>
          <w:rFonts w:ascii="Century Gothic" w:eastAsiaTheme="minorHAnsi" w:hAnsi="Century Gothic" w:cstheme="minorBidi"/>
          <w:lang w:eastAsia="en-US"/>
        </w:rPr>
      </w:pPr>
      <w:r w:rsidRPr="00DA2329">
        <w:rPr>
          <w:rFonts w:ascii="Century Gothic" w:eastAsiaTheme="minorHAnsi" w:hAnsi="Century Gothic" w:cstheme="minorBidi"/>
          <w:lang w:eastAsia="en-US"/>
        </w:rPr>
        <w:t xml:space="preserve">Las ciudades son hervideros de ideas, comercio, cultura, ciencia, productividad, desarrollo social y mucho más. En el mejor de los casos, </w:t>
      </w:r>
      <w:r w:rsidRPr="00DA2329">
        <w:rPr>
          <w:rFonts w:ascii="Century Gothic" w:eastAsiaTheme="minorHAnsi" w:hAnsi="Century Gothic" w:cstheme="minorBidi"/>
          <w:lang w:eastAsia="en-US"/>
        </w:rPr>
        <w:lastRenderedPageBreak/>
        <w:t>las ciudades han permitido a las personas progresar social y económicamente.</w:t>
      </w:r>
      <w:r>
        <w:rPr>
          <w:rFonts w:ascii="Century Gothic" w:eastAsiaTheme="minorHAnsi" w:hAnsi="Century Gothic" w:cstheme="minorBidi"/>
          <w:lang w:eastAsia="en-US"/>
        </w:rPr>
        <w:t xml:space="preserve"> … </w:t>
      </w:r>
      <w:r w:rsidRPr="00DA2329">
        <w:rPr>
          <w:rFonts w:ascii="Century Gothic" w:eastAsiaTheme="minorHAnsi" w:hAnsi="Century Gothic" w:cstheme="minorBidi"/>
          <w:lang w:eastAsia="en-US"/>
        </w:rPr>
        <w:t xml:space="preserve">Los </w:t>
      </w:r>
      <w:r w:rsidRPr="00DA2329">
        <w:rPr>
          <w:rFonts w:ascii="Century Gothic" w:eastAsiaTheme="minorHAnsi" w:hAnsi="Century Gothic" w:cstheme="minorBidi"/>
          <w:b/>
          <w:lang w:eastAsia="en-US"/>
        </w:rPr>
        <w:t>problemas comunes</w:t>
      </w:r>
      <w:r w:rsidRPr="00DA2329">
        <w:rPr>
          <w:rFonts w:ascii="Century Gothic" w:eastAsiaTheme="minorHAnsi" w:hAnsi="Century Gothic" w:cstheme="minorBidi"/>
          <w:lang w:eastAsia="en-US"/>
        </w:rPr>
        <w:t xml:space="preserve"> de las ciudades son la congestión, la falta de fondos para prestar servicios básicos, la escasez de vivienda adecuada y el </w:t>
      </w:r>
      <w:r w:rsidRPr="00DA2329">
        <w:rPr>
          <w:rFonts w:ascii="Century Gothic" w:eastAsiaTheme="minorHAnsi" w:hAnsi="Century Gothic" w:cstheme="minorBidi"/>
          <w:b/>
          <w:lang w:eastAsia="en-US"/>
        </w:rPr>
        <w:t>deterioro de la infraestructura</w:t>
      </w:r>
      <w:r w:rsidRPr="00DA2329">
        <w:rPr>
          <w:rFonts w:ascii="Century Gothic" w:eastAsiaTheme="minorHAnsi" w:hAnsi="Century Gothic" w:cstheme="minorBidi"/>
          <w:lang w:eastAsia="en-US"/>
        </w:rPr>
        <w:t>.</w:t>
      </w:r>
      <w:r>
        <w:rPr>
          <w:rFonts w:ascii="Century Gothic" w:eastAsiaTheme="minorHAnsi" w:hAnsi="Century Gothic" w:cstheme="minorBidi"/>
          <w:lang w:eastAsia="en-US"/>
        </w:rPr>
        <w:t xml:space="preserve"> (ONU, 2015).</w:t>
      </w:r>
    </w:p>
    <w:p w14:paraId="154FC3D7" w14:textId="77777777" w:rsidR="00FC6AB6" w:rsidRDefault="00FC6AB6" w:rsidP="007D4B87">
      <w:pPr>
        <w:spacing w:after="240"/>
        <w:jc w:val="both"/>
        <w:rPr>
          <w:rFonts w:ascii="Century Gothic" w:hAnsi="Century Gothic"/>
          <w:sz w:val="24"/>
          <w:szCs w:val="24"/>
        </w:rPr>
      </w:pPr>
      <w:r>
        <w:rPr>
          <w:rFonts w:ascii="Century Gothic" w:hAnsi="Century Gothic"/>
          <w:sz w:val="24"/>
          <w:szCs w:val="24"/>
        </w:rPr>
        <w:t xml:space="preserve">Así, se puede concluir ante este apartado que el programa Infraestructura no Habitacional contribuye al logro de los objetivos de política pública en los diferentes niveles, sin embargo, para que esta sea más precisa es necesario, primero, que se reestructuren los objetivos de la MIR y, posteriormente, se defina la vinculación exacta con los diferentes planes </w:t>
      </w:r>
      <w:r w:rsidR="00F14C49">
        <w:rPr>
          <w:rFonts w:ascii="Century Gothic" w:hAnsi="Century Gothic"/>
          <w:sz w:val="24"/>
          <w:szCs w:val="24"/>
        </w:rPr>
        <w:t xml:space="preserve">de gobierno, </w:t>
      </w:r>
      <w:r>
        <w:rPr>
          <w:rFonts w:ascii="Century Gothic" w:hAnsi="Century Gothic"/>
          <w:sz w:val="24"/>
          <w:szCs w:val="24"/>
        </w:rPr>
        <w:t>(Nacional, Estatal, y Sectoriales)</w:t>
      </w:r>
      <w:r>
        <w:rPr>
          <w:rFonts w:ascii="Century Gothic" w:eastAsiaTheme="majorEastAsia" w:hAnsi="Century Gothic" w:cstheme="majorBidi"/>
          <w:sz w:val="24"/>
          <w:szCs w:val="32"/>
        </w:rPr>
        <w:t>.</w:t>
      </w:r>
    </w:p>
    <w:p w14:paraId="3018C7AD" w14:textId="77777777" w:rsidR="004F24E8" w:rsidRDefault="00252B54" w:rsidP="007D4B87">
      <w:pPr>
        <w:pStyle w:val="Ttulo2"/>
        <w:spacing w:before="0" w:after="240"/>
        <w:ind w:left="284"/>
        <w:jc w:val="both"/>
        <w:rPr>
          <w:rFonts w:ascii="Century Gothic" w:hAnsi="Century Gothic"/>
          <w:color w:val="0E4E7A"/>
          <w:sz w:val="28"/>
        </w:rPr>
      </w:pPr>
      <w:bookmarkStart w:id="16" w:name="_Toc505364426"/>
      <w:bookmarkStart w:id="17" w:name="_Toc511859770"/>
      <w:r>
        <w:rPr>
          <w:rFonts w:ascii="Century Gothic" w:hAnsi="Century Gothic"/>
          <w:color w:val="0E4E7A"/>
          <w:sz w:val="28"/>
        </w:rPr>
        <w:t>2.1</w:t>
      </w:r>
      <w:r w:rsidR="004F24E8">
        <w:rPr>
          <w:rFonts w:ascii="Century Gothic" w:hAnsi="Century Gothic"/>
          <w:color w:val="0E4E7A"/>
          <w:sz w:val="28"/>
        </w:rPr>
        <w:t>.</w:t>
      </w:r>
      <w:r w:rsidR="008D34E8">
        <w:rPr>
          <w:rFonts w:ascii="Century Gothic" w:hAnsi="Century Gothic"/>
          <w:color w:val="0E4E7A"/>
          <w:sz w:val="28"/>
        </w:rPr>
        <w:t>3</w:t>
      </w:r>
      <w:r w:rsidR="004F24E8" w:rsidRPr="00745740">
        <w:rPr>
          <w:rFonts w:ascii="Century Gothic" w:hAnsi="Century Gothic"/>
          <w:color w:val="0E4E7A"/>
          <w:sz w:val="28"/>
        </w:rPr>
        <w:t xml:space="preserve"> </w:t>
      </w:r>
      <w:r w:rsidR="004F24E8" w:rsidRPr="004F24E8">
        <w:rPr>
          <w:rFonts w:ascii="Century Gothic" w:hAnsi="Century Gothic"/>
          <w:color w:val="0E4E7A"/>
          <w:sz w:val="28"/>
        </w:rPr>
        <w:t>Análisis de la población potencial y objetivo y mecanismos de elegibilidad</w:t>
      </w:r>
      <w:r w:rsidR="004F24E8" w:rsidRPr="00745740">
        <w:rPr>
          <w:rFonts w:ascii="Century Gothic" w:hAnsi="Century Gothic"/>
          <w:color w:val="0E4E7A"/>
          <w:sz w:val="28"/>
        </w:rPr>
        <w:t>.</w:t>
      </w:r>
      <w:bookmarkEnd w:id="16"/>
      <w:bookmarkEnd w:id="17"/>
    </w:p>
    <w:p w14:paraId="41B11702" w14:textId="77777777" w:rsidR="00BC540A" w:rsidRPr="008D7B9C" w:rsidRDefault="00BC540A" w:rsidP="007D4B87">
      <w:pPr>
        <w:spacing w:after="240"/>
        <w:jc w:val="both"/>
        <w:rPr>
          <w:rFonts w:ascii="Century Gothic" w:hAnsi="Century Gothic"/>
          <w:sz w:val="24"/>
          <w:szCs w:val="24"/>
        </w:rPr>
      </w:pPr>
      <w:r>
        <w:rPr>
          <w:rFonts w:ascii="Century Gothic" w:hAnsi="Century Gothic"/>
          <w:sz w:val="24"/>
          <w:szCs w:val="24"/>
        </w:rPr>
        <w:t>Este apartado tiene como objetivo i</w:t>
      </w:r>
      <w:r w:rsidRPr="008D7B9C">
        <w:rPr>
          <w:rFonts w:ascii="Century Gothic" w:hAnsi="Century Gothic"/>
          <w:sz w:val="24"/>
          <w:szCs w:val="24"/>
        </w:rPr>
        <w:t>dentificar</w:t>
      </w:r>
      <w:r>
        <w:rPr>
          <w:rFonts w:ascii="Century Gothic" w:hAnsi="Century Gothic"/>
          <w:sz w:val="24"/>
          <w:szCs w:val="24"/>
        </w:rPr>
        <w:t xml:space="preserve"> si el municipio tiene definidos los siguientes conceptos</w:t>
      </w:r>
      <w:r w:rsidRPr="008D7B9C">
        <w:rPr>
          <w:rFonts w:ascii="Century Gothic" w:hAnsi="Century Gothic"/>
          <w:sz w:val="24"/>
          <w:szCs w:val="24"/>
        </w:rPr>
        <w:t>:</w:t>
      </w:r>
    </w:p>
    <w:p w14:paraId="41CC756D" w14:textId="77777777" w:rsidR="00BC540A" w:rsidRPr="008D7B9C" w:rsidRDefault="00BC540A" w:rsidP="00B522E8">
      <w:pPr>
        <w:numPr>
          <w:ilvl w:val="0"/>
          <w:numId w:val="5"/>
        </w:numPr>
        <w:spacing w:after="120"/>
        <w:ind w:left="714" w:hanging="357"/>
        <w:jc w:val="both"/>
        <w:rPr>
          <w:rFonts w:ascii="Century Gothic" w:hAnsi="Century Gothic"/>
          <w:sz w:val="24"/>
          <w:szCs w:val="24"/>
        </w:rPr>
      </w:pPr>
      <w:r w:rsidRPr="008D7B9C">
        <w:rPr>
          <w:rFonts w:ascii="Century Gothic" w:hAnsi="Century Gothic"/>
          <w:sz w:val="24"/>
          <w:szCs w:val="24"/>
        </w:rPr>
        <w:t>Población potencial, objetivo y atendida, y mecanismos para identificarla.</w:t>
      </w:r>
    </w:p>
    <w:p w14:paraId="5BC1BE4C" w14:textId="77777777" w:rsidR="00BC540A" w:rsidRPr="008D7B9C" w:rsidRDefault="00BC540A" w:rsidP="00B522E8">
      <w:pPr>
        <w:numPr>
          <w:ilvl w:val="0"/>
          <w:numId w:val="6"/>
        </w:numPr>
        <w:spacing w:after="120"/>
        <w:ind w:left="714" w:hanging="357"/>
        <w:jc w:val="both"/>
        <w:rPr>
          <w:rFonts w:ascii="Century Gothic" w:hAnsi="Century Gothic"/>
          <w:sz w:val="24"/>
          <w:szCs w:val="24"/>
        </w:rPr>
      </w:pPr>
      <w:r w:rsidRPr="008D7B9C">
        <w:rPr>
          <w:rFonts w:ascii="Century Gothic" w:hAnsi="Century Gothic"/>
          <w:sz w:val="24"/>
          <w:szCs w:val="24"/>
        </w:rPr>
        <w:t xml:space="preserve">Información sobre la demanda total de apoyo y sus características. </w:t>
      </w:r>
    </w:p>
    <w:p w14:paraId="32AE526F" w14:textId="77777777" w:rsidR="00BC540A" w:rsidRPr="008D7B9C" w:rsidRDefault="00BC540A" w:rsidP="00B522E8">
      <w:pPr>
        <w:numPr>
          <w:ilvl w:val="0"/>
          <w:numId w:val="7"/>
        </w:numPr>
        <w:spacing w:after="120"/>
        <w:ind w:left="714" w:hanging="357"/>
        <w:jc w:val="both"/>
        <w:rPr>
          <w:rFonts w:ascii="Century Gothic" w:hAnsi="Century Gothic"/>
          <w:sz w:val="24"/>
          <w:szCs w:val="24"/>
        </w:rPr>
      </w:pPr>
      <w:r w:rsidRPr="008D7B9C">
        <w:rPr>
          <w:rFonts w:ascii="Century Gothic" w:hAnsi="Century Gothic"/>
          <w:sz w:val="24"/>
          <w:szCs w:val="24"/>
        </w:rPr>
        <w:t>Estrategia de cobertura.</w:t>
      </w:r>
    </w:p>
    <w:p w14:paraId="649D4A95" w14:textId="77777777" w:rsidR="00BC540A" w:rsidRDefault="00BC540A" w:rsidP="00FD0970">
      <w:pPr>
        <w:numPr>
          <w:ilvl w:val="0"/>
          <w:numId w:val="8"/>
        </w:numPr>
        <w:spacing w:after="0"/>
        <w:jc w:val="both"/>
        <w:rPr>
          <w:rFonts w:ascii="Century Gothic" w:hAnsi="Century Gothic"/>
          <w:sz w:val="24"/>
          <w:szCs w:val="24"/>
        </w:rPr>
      </w:pPr>
      <w:r w:rsidRPr="008D7B9C">
        <w:rPr>
          <w:rFonts w:ascii="Century Gothic" w:hAnsi="Century Gothic"/>
          <w:sz w:val="24"/>
          <w:szCs w:val="24"/>
        </w:rPr>
        <w:t>Procedimientos para la selección de beneficiarios.</w:t>
      </w:r>
    </w:p>
    <w:p w14:paraId="0143234E" w14:textId="77777777" w:rsidR="00BC540A" w:rsidRDefault="00BC540A" w:rsidP="00BC540A">
      <w:pPr>
        <w:spacing w:after="0"/>
        <w:ind w:left="720"/>
        <w:jc w:val="both"/>
        <w:rPr>
          <w:rFonts w:ascii="Century Gothic" w:hAnsi="Century Gothic"/>
          <w:sz w:val="24"/>
          <w:szCs w:val="24"/>
        </w:rPr>
      </w:pPr>
    </w:p>
    <w:p w14:paraId="07AE0D67" w14:textId="77777777" w:rsidR="00BC540A" w:rsidRDefault="00BC540A" w:rsidP="00BC540A">
      <w:pPr>
        <w:spacing w:after="240"/>
        <w:jc w:val="both"/>
        <w:rPr>
          <w:rFonts w:ascii="Century Gothic" w:hAnsi="Century Gothic"/>
          <w:sz w:val="24"/>
          <w:szCs w:val="24"/>
        </w:rPr>
      </w:pPr>
      <w:r>
        <w:rPr>
          <w:rFonts w:ascii="Century Gothic" w:hAnsi="Century Gothic"/>
          <w:sz w:val="24"/>
          <w:szCs w:val="24"/>
        </w:rPr>
        <w:t>Estos</w:t>
      </w:r>
      <w:r w:rsidR="00596AA3">
        <w:rPr>
          <w:rFonts w:ascii="Century Gothic" w:hAnsi="Century Gothic"/>
          <w:sz w:val="24"/>
          <w:szCs w:val="24"/>
        </w:rPr>
        <w:t xml:space="preserve"> conceptos</w:t>
      </w:r>
      <w:r>
        <w:rPr>
          <w:rFonts w:ascii="Century Gothic" w:hAnsi="Century Gothic"/>
          <w:sz w:val="24"/>
          <w:szCs w:val="24"/>
        </w:rPr>
        <w:t xml:space="preserve"> ya tienen referentes obligatorios, por ello, de acuerdo con los términos de referencia de CONEVAL, se entenderá por:</w:t>
      </w:r>
    </w:p>
    <w:p w14:paraId="3B44E663" w14:textId="77777777" w:rsidR="00BC540A" w:rsidRPr="00865C95" w:rsidRDefault="00BC540A" w:rsidP="00DC3148">
      <w:pPr>
        <w:pStyle w:val="Prrafodelista"/>
        <w:numPr>
          <w:ilvl w:val="0"/>
          <w:numId w:val="9"/>
        </w:numPr>
        <w:spacing w:after="120"/>
        <w:ind w:left="714" w:hanging="357"/>
        <w:contextualSpacing w:val="0"/>
        <w:jc w:val="both"/>
        <w:rPr>
          <w:rFonts w:ascii="Century Gothic" w:hAnsi="Century Gothic"/>
          <w:b/>
          <w:sz w:val="24"/>
          <w:szCs w:val="24"/>
        </w:rPr>
      </w:pPr>
      <w:r w:rsidRPr="00865C95">
        <w:rPr>
          <w:rFonts w:ascii="Century Gothic" w:hAnsi="Century Gothic"/>
          <w:b/>
          <w:sz w:val="24"/>
          <w:szCs w:val="24"/>
        </w:rPr>
        <w:t>Población potencial</w:t>
      </w:r>
      <w:r>
        <w:rPr>
          <w:rFonts w:ascii="Century Gothic" w:hAnsi="Century Gothic"/>
          <w:sz w:val="24"/>
          <w:szCs w:val="24"/>
        </w:rPr>
        <w:t xml:space="preserve"> a la población total que representa la necesidad y/o problema que justifica la existencia del programa y que por lo tanto pudiera ser elegible para su atención.</w:t>
      </w:r>
    </w:p>
    <w:p w14:paraId="5D472B42" w14:textId="77777777" w:rsidR="00BC540A" w:rsidRPr="00865C95" w:rsidRDefault="00BC540A" w:rsidP="00DC3148">
      <w:pPr>
        <w:pStyle w:val="Prrafodelista"/>
        <w:numPr>
          <w:ilvl w:val="0"/>
          <w:numId w:val="9"/>
        </w:numPr>
        <w:spacing w:after="120"/>
        <w:ind w:left="714" w:hanging="357"/>
        <w:contextualSpacing w:val="0"/>
        <w:jc w:val="both"/>
        <w:rPr>
          <w:rFonts w:ascii="Century Gothic" w:hAnsi="Century Gothic"/>
          <w:b/>
          <w:sz w:val="24"/>
          <w:szCs w:val="24"/>
        </w:rPr>
      </w:pPr>
      <w:r>
        <w:rPr>
          <w:rFonts w:ascii="Century Gothic" w:hAnsi="Century Gothic"/>
          <w:b/>
          <w:sz w:val="24"/>
          <w:szCs w:val="24"/>
        </w:rPr>
        <w:t>Población objetivo</w:t>
      </w:r>
      <w:r>
        <w:rPr>
          <w:rFonts w:ascii="Century Gothic" w:hAnsi="Century Gothic"/>
          <w:sz w:val="24"/>
          <w:szCs w:val="24"/>
        </w:rPr>
        <w:t xml:space="preserve"> a la población que el programa tiene planeado o programado atender para cubrir la población potencial, y que cumple con los criterios de elegibilidad establecidos en su normatividad.</w:t>
      </w:r>
    </w:p>
    <w:p w14:paraId="0E53697B" w14:textId="77777777" w:rsidR="00BC540A" w:rsidRPr="00865C95" w:rsidRDefault="00BC540A" w:rsidP="00FD0970">
      <w:pPr>
        <w:pStyle w:val="Prrafodelista"/>
        <w:numPr>
          <w:ilvl w:val="0"/>
          <w:numId w:val="9"/>
        </w:numPr>
        <w:spacing w:after="240"/>
        <w:jc w:val="both"/>
        <w:rPr>
          <w:rFonts w:ascii="Century Gothic" w:hAnsi="Century Gothic"/>
          <w:b/>
          <w:sz w:val="24"/>
          <w:szCs w:val="24"/>
        </w:rPr>
      </w:pPr>
      <w:r>
        <w:rPr>
          <w:rFonts w:ascii="Century Gothic" w:hAnsi="Century Gothic"/>
          <w:b/>
          <w:sz w:val="24"/>
          <w:szCs w:val="24"/>
        </w:rPr>
        <w:t xml:space="preserve">Población atendida </w:t>
      </w:r>
      <w:r>
        <w:rPr>
          <w:rFonts w:ascii="Century Gothic" w:hAnsi="Century Gothic"/>
          <w:sz w:val="24"/>
          <w:szCs w:val="24"/>
        </w:rPr>
        <w:t xml:space="preserve">a la población beneficiada por el programa en un ejercicio fiscal. </w:t>
      </w:r>
    </w:p>
    <w:p w14:paraId="310259BE" w14:textId="77777777" w:rsidR="00DC3148" w:rsidRPr="00666C3D" w:rsidRDefault="00666C3D" w:rsidP="00666C3D">
      <w:pPr>
        <w:tabs>
          <w:tab w:val="left" w:pos="284"/>
        </w:tabs>
        <w:spacing w:after="240"/>
        <w:jc w:val="both"/>
        <w:rPr>
          <w:rFonts w:ascii="Century Gothic" w:hAnsi="Century Gothic"/>
          <w:sz w:val="24"/>
          <w:szCs w:val="24"/>
        </w:rPr>
      </w:pPr>
      <w:r w:rsidRPr="00666C3D">
        <w:rPr>
          <w:rFonts w:ascii="Century Gothic" w:hAnsi="Century Gothic"/>
          <w:sz w:val="24"/>
          <w:szCs w:val="24"/>
        </w:rPr>
        <w:lastRenderedPageBreak/>
        <w:t xml:space="preserve">Ante </w:t>
      </w:r>
      <w:r w:rsidR="00C35DD0">
        <w:rPr>
          <w:rFonts w:ascii="Century Gothic" w:hAnsi="Century Gothic"/>
          <w:sz w:val="24"/>
          <w:szCs w:val="24"/>
        </w:rPr>
        <w:t>el</w:t>
      </w:r>
      <w:r w:rsidRPr="00666C3D">
        <w:rPr>
          <w:rFonts w:ascii="Century Gothic" w:hAnsi="Century Gothic"/>
          <w:sz w:val="24"/>
          <w:szCs w:val="24"/>
        </w:rPr>
        <w:t xml:space="preserve"> requerimiento </w:t>
      </w:r>
      <w:r w:rsidR="00C35DD0">
        <w:rPr>
          <w:rFonts w:ascii="Century Gothic" w:hAnsi="Century Gothic"/>
          <w:sz w:val="24"/>
          <w:szCs w:val="24"/>
        </w:rPr>
        <w:t xml:space="preserve">de la información sobre las </w:t>
      </w:r>
      <w:r w:rsidR="00C35DD0" w:rsidRPr="00C35DD0">
        <w:rPr>
          <w:rFonts w:ascii="Century Gothic" w:hAnsi="Century Gothic"/>
          <w:sz w:val="24"/>
          <w:szCs w:val="24"/>
        </w:rPr>
        <w:t>poblaciones, potencial y objetivo,</w:t>
      </w:r>
      <w:r w:rsidR="00715B66">
        <w:rPr>
          <w:rFonts w:ascii="Century Gothic" w:hAnsi="Century Gothic"/>
          <w:sz w:val="24"/>
          <w:szCs w:val="24"/>
        </w:rPr>
        <w:t xml:space="preserve"> y si</w:t>
      </w:r>
      <w:r w:rsidR="00C35DD0" w:rsidRPr="00C35DD0">
        <w:rPr>
          <w:rFonts w:ascii="Century Gothic" w:hAnsi="Century Gothic"/>
          <w:sz w:val="24"/>
          <w:szCs w:val="24"/>
        </w:rPr>
        <w:t xml:space="preserve"> están definidas en documentos oficiales y/o en el diagnóstico del problema</w:t>
      </w:r>
      <w:r w:rsidR="00715B66">
        <w:rPr>
          <w:rFonts w:ascii="Century Gothic" w:hAnsi="Century Gothic"/>
          <w:sz w:val="24"/>
          <w:szCs w:val="24"/>
        </w:rPr>
        <w:t xml:space="preserve"> </w:t>
      </w:r>
      <w:r w:rsidRPr="00666C3D">
        <w:rPr>
          <w:rFonts w:ascii="Century Gothic" w:hAnsi="Century Gothic"/>
          <w:sz w:val="24"/>
          <w:szCs w:val="24"/>
        </w:rPr>
        <w:t>la SEIDUR manifestó que “</w:t>
      </w:r>
      <w:r w:rsidRPr="00715B66">
        <w:rPr>
          <w:rFonts w:ascii="Century Gothic" w:eastAsia="Times" w:hAnsi="Century Gothic" w:cs="Arial"/>
          <w:b/>
          <w:sz w:val="24"/>
          <w:szCs w:val="24"/>
        </w:rPr>
        <w:t>No se cuenta con información</w:t>
      </w:r>
      <w:r w:rsidRPr="00666C3D">
        <w:rPr>
          <w:rFonts w:ascii="Century Gothic" w:eastAsia="Times" w:hAnsi="Century Gothic" w:cs="Arial"/>
          <w:sz w:val="24"/>
          <w:szCs w:val="24"/>
        </w:rPr>
        <w:t>”</w:t>
      </w:r>
      <w:r w:rsidR="00B522E8">
        <w:rPr>
          <w:rFonts w:ascii="Century Gothic" w:eastAsia="Times" w:hAnsi="Century Gothic" w:cs="Arial"/>
          <w:sz w:val="24"/>
          <w:szCs w:val="24"/>
        </w:rPr>
        <w:t xml:space="preserve">. </w:t>
      </w:r>
    </w:p>
    <w:p w14:paraId="4239A17E" w14:textId="77777777" w:rsidR="003814CB" w:rsidRPr="00156EE7" w:rsidRDefault="003814CB" w:rsidP="003814CB">
      <w:pPr>
        <w:spacing w:before="240" w:after="240"/>
        <w:jc w:val="both"/>
        <w:rPr>
          <w:rFonts w:ascii="Century Gothic" w:hAnsi="Century Gothic"/>
          <w:sz w:val="24"/>
          <w:szCs w:val="24"/>
        </w:rPr>
      </w:pPr>
      <w:r>
        <w:rPr>
          <w:rFonts w:ascii="Century Gothic" w:hAnsi="Century Gothic"/>
          <w:sz w:val="24"/>
          <w:szCs w:val="24"/>
        </w:rPr>
        <w:t xml:space="preserve">En este apartado es importante mencionar que los TdR para este tipo de evaluación, están basados en lo que establece el CONEVAL para la evaluación de la política social, y que su terminología está dirigida principalmente a beneficiarios individuales y por lo tanto su unidad de medida son las personas, sin embargo, para los </w:t>
      </w:r>
      <w:r w:rsidRPr="003814CB">
        <w:rPr>
          <w:rFonts w:ascii="Century Gothic" w:hAnsi="Century Gothic"/>
          <w:b/>
          <w:sz w:val="24"/>
          <w:szCs w:val="24"/>
        </w:rPr>
        <w:t>proyectos de infraestructura la unidad de medida puede variar</w:t>
      </w:r>
      <w:r>
        <w:rPr>
          <w:rFonts w:ascii="Century Gothic" w:hAnsi="Century Gothic"/>
          <w:sz w:val="24"/>
          <w:szCs w:val="24"/>
        </w:rPr>
        <w:t xml:space="preserve">, es decir, </w:t>
      </w:r>
      <w:r w:rsidRPr="003814CB">
        <w:rPr>
          <w:rFonts w:ascii="Century Gothic" w:hAnsi="Century Gothic"/>
          <w:b/>
          <w:sz w:val="24"/>
          <w:szCs w:val="24"/>
        </w:rPr>
        <w:t>además de personas se pueden establecer zonas industriales</w:t>
      </w:r>
      <w:r>
        <w:rPr>
          <w:rFonts w:ascii="Century Gothic" w:hAnsi="Century Gothic"/>
          <w:sz w:val="24"/>
          <w:szCs w:val="24"/>
        </w:rPr>
        <w:t xml:space="preserve">, </w:t>
      </w:r>
      <w:r w:rsidR="00473966">
        <w:rPr>
          <w:rFonts w:ascii="Century Gothic" w:hAnsi="Century Gothic"/>
          <w:b/>
          <w:sz w:val="24"/>
          <w:szCs w:val="24"/>
        </w:rPr>
        <w:t xml:space="preserve">de comercio, </w:t>
      </w:r>
      <w:r w:rsidRPr="003814CB">
        <w:rPr>
          <w:rFonts w:ascii="Century Gothic" w:hAnsi="Century Gothic"/>
          <w:b/>
          <w:sz w:val="24"/>
          <w:szCs w:val="24"/>
        </w:rPr>
        <w:t>localidades</w:t>
      </w:r>
      <w:r w:rsidR="00473966">
        <w:rPr>
          <w:rFonts w:ascii="Century Gothic" w:hAnsi="Century Gothic"/>
          <w:b/>
          <w:sz w:val="24"/>
          <w:szCs w:val="24"/>
        </w:rPr>
        <w:t xml:space="preserve"> o colonias</w:t>
      </w:r>
      <w:r>
        <w:rPr>
          <w:rFonts w:ascii="Century Gothic" w:hAnsi="Century Gothic"/>
          <w:sz w:val="24"/>
          <w:szCs w:val="24"/>
        </w:rPr>
        <w:t>.</w:t>
      </w:r>
    </w:p>
    <w:p w14:paraId="37F545F3" w14:textId="77777777" w:rsidR="00FC44A1" w:rsidRPr="00A73B0A" w:rsidRDefault="003814CB" w:rsidP="00A73B0A">
      <w:pPr>
        <w:spacing w:after="240"/>
        <w:jc w:val="both"/>
        <w:rPr>
          <w:rFonts w:ascii="Century Gothic" w:hAnsi="Century Gothic"/>
          <w:sz w:val="24"/>
          <w:szCs w:val="24"/>
        </w:rPr>
      </w:pPr>
      <w:r>
        <w:rPr>
          <w:rFonts w:ascii="Century Gothic" w:hAnsi="Century Gothic"/>
          <w:sz w:val="24"/>
          <w:szCs w:val="24"/>
        </w:rPr>
        <w:t xml:space="preserve">Así, una primera recomendación es </w:t>
      </w:r>
      <w:r w:rsidRPr="00FC44A1">
        <w:rPr>
          <w:rFonts w:ascii="Century Gothic" w:hAnsi="Century Gothic"/>
          <w:b/>
          <w:sz w:val="24"/>
          <w:szCs w:val="24"/>
        </w:rPr>
        <w:t>diferenciar los tipos de población</w:t>
      </w:r>
      <w:r>
        <w:rPr>
          <w:rFonts w:ascii="Century Gothic" w:hAnsi="Century Gothic"/>
          <w:sz w:val="24"/>
          <w:szCs w:val="24"/>
        </w:rPr>
        <w:t xml:space="preserve"> entre </w:t>
      </w:r>
      <w:r w:rsidR="00FC44A1">
        <w:rPr>
          <w:rFonts w:ascii="Century Gothic" w:hAnsi="Century Gothic"/>
          <w:sz w:val="24"/>
          <w:szCs w:val="24"/>
        </w:rPr>
        <w:t>los distintos tipos de obra</w:t>
      </w:r>
      <w:r>
        <w:rPr>
          <w:rFonts w:ascii="Century Gothic" w:hAnsi="Century Gothic"/>
          <w:sz w:val="24"/>
          <w:szCs w:val="24"/>
        </w:rPr>
        <w:t xml:space="preserve"> que otorga el programa</w:t>
      </w:r>
      <w:r w:rsidR="00FC44A1">
        <w:rPr>
          <w:rFonts w:ascii="Century Gothic" w:hAnsi="Century Gothic"/>
          <w:sz w:val="24"/>
          <w:szCs w:val="24"/>
        </w:rPr>
        <w:t xml:space="preserve"> en Infraestructura</w:t>
      </w:r>
      <w:r w:rsidRPr="005D0C79">
        <w:rPr>
          <w:rFonts w:ascii="Century Gothic" w:hAnsi="Century Gothic"/>
          <w:sz w:val="24"/>
          <w:szCs w:val="24"/>
        </w:rPr>
        <w:t>.</w:t>
      </w:r>
      <w:r w:rsidR="00FC44A1">
        <w:rPr>
          <w:rFonts w:ascii="Century Gothic" w:hAnsi="Century Gothic"/>
          <w:sz w:val="24"/>
          <w:szCs w:val="24"/>
        </w:rPr>
        <w:t xml:space="preserve"> Por, ejemplo, un tipo de población sería</w:t>
      </w:r>
      <w:r w:rsidR="00C132EF">
        <w:rPr>
          <w:rFonts w:ascii="Century Gothic" w:hAnsi="Century Gothic"/>
          <w:sz w:val="24"/>
          <w:szCs w:val="24"/>
        </w:rPr>
        <w:t>n</w:t>
      </w:r>
      <w:r w:rsidR="00FC44A1">
        <w:rPr>
          <w:rFonts w:ascii="Century Gothic" w:hAnsi="Century Gothic"/>
          <w:sz w:val="24"/>
          <w:szCs w:val="24"/>
        </w:rPr>
        <w:t xml:space="preserve"> aquellas localidades, barrios o colonias que carecen de </w:t>
      </w:r>
      <w:r w:rsidR="00FC44A1" w:rsidRPr="00FC44A1">
        <w:rPr>
          <w:rFonts w:ascii="Century Gothic" w:hAnsi="Century Gothic"/>
          <w:b/>
          <w:sz w:val="24"/>
          <w:szCs w:val="24"/>
        </w:rPr>
        <w:t>infraestructura deportiva</w:t>
      </w:r>
      <w:r w:rsidR="00FC44A1">
        <w:rPr>
          <w:rFonts w:ascii="Century Gothic" w:hAnsi="Century Gothic"/>
          <w:sz w:val="24"/>
          <w:szCs w:val="24"/>
        </w:rPr>
        <w:t xml:space="preserve">, y por tanto requiere la </w:t>
      </w:r>
      <w:r w:rsidR="00FC44A1" w:rsidRPr="00FC44A1">
        <w:rPr>
          <w:rFonts w:ascii="Century Gothic" w:hAnsi="Century Gothic"/>
          <w:b/>
          <w:sz w:val="24"/>
          <w:szCs w:val="24"/>
        </w:rPr>
        <w:t>construcción</w:t>
      </w:r>
      <w:r w:rsidR="00FC44A1">
        <w:rPr>
          <w:rFonts w:ascii="Century Gothic" w:hAnsi="Century Gothic"/>
          <w:sz w:val="24"/>
          <w:szCs w:val="24"/>
        </w:rPr>
        <w:t xml:space="preserve">, y otro tipo de población sería aquella que ya cuenta con esta pero que requiere de </w:t>
      </w:r>
      <w:r w:rsidR="00FC44A1" w:rsidRPr="00FC44A1">
        <w:rPr>
          <w:rFonts w:ascii="Century Gothic" w:hAnsi="Century Gothic"/>
          <w:b/>
          <w:sz w:val="24"/>
          <w:szCs w:val="24"/>
        </w:rPr>
        <w:t>rehabilitación o mantenimiento</w:t>
      </w:r>
      <w:r w:rsidR="00FC44A1">
        <w:rPr>
          <w:rFonts w:ascii="Century Gothic" w:hAnsi="Century Gothic"/>
          <w:sz w:val="24"/>
          <w:szCs w:val="24"/>
        </w:rPr>
        <w:t xml:space="preserve">, esta sería la </w:t>
      </w:r>
      <w:r w:rsidR="00FC44A1" w:rsidRPr="00A73B0A">
        <w:rPr>
          <w:rFonts w:ascii="Century Gothic" w:hAnsi="Century Gothic"/>
          <w:sz w:val="24"/>
          <w:szCs w:val="24"/>
        </w:rPr>
        <w:t>población objetivo, es decir aquella susceptible a ser atendida.</w:t>
      </w:r>
    </w:p>
    <w:p w14:paraId="578959B0" w14:textId="77777777" w:rsidR="00DC3148" w:rsidRPr="00A73B0A" w:rsidRDefault="00C132EF" w:rsidP="00A73B0A">
      <w:pPr>
        <w:tabs>
          <w:tab w:val="left" w:pos="284"/>
        </w:tabs>
        <w:spacing w:after="240"/>
        <w:jc w:val="both"/>
        <w:rPr>
          <w:rFonts w:ascii="Century Gothic" w:hAnsi="Century Gothic"/>
          <w:sz w:val="24"/>
          <w:szCs w:val="24"/>
        </w:rPr>
      </w:pPr>
      <w:r w:rsidRPr="00A73B0A">
        <w:rPr>
          <w:rFonts w:ascii="Century Gothic" w:hAnsi="Century Gothic"/>
          <w:sz w:val="24"/>
          <w:szCs w:val="24"/>
        </w:rPr>
        <w:t>Para ello es necesario conocer o tener un diagn</w:t>
      </w:r>
      <w:r w:rsidR="00A73B0A" w:rsidRPr="00A73B0A">
        <w:rPr>
          <w:rFonts w:ascii="Century Gothic" w:hAnsi="Century Gothic"/>
          <w:sz w:val="24"/>
          <w:szCs w:val="24"/>
        </w:rPr>
        <w:t xml:space="preserve">óstico de las condiciones de la infraestructura no habitacional en el estado. Tema que si menciona el estado en su </w:t>
      </w:r>
      <w:r w:rsidRPr="00A73B0A">
        <w:rPr>
          <w:rFonts w:ascii="Century Gothic" w:hAnsi="Century Gothic"/>
          <w:sz w:val="24"/>
          <w:szCs w:val="24"/>
        </w:rPr>
        <w:t>Programa Sectorial de Desarrollo Urbano y Ordenamiento Territorial 2016-2021</w:t>
      </w:r>
      <w:r w:rsidR="00A73B0A" w:rsidRPr="00A73B0A">
        <w:rPr>
          <w:rFonts w:ascii="Century Gothic" w:hAnsi="Century Gothic"/>
          <w:sz w:val="24"/>
          <w:szCs w:val="24"/>
        </w:rPr>
        <w:t>, para el caso de</w:t>
      </w:r>
      <w:r w:rsidR="001A6083">
        <w:rPr>
          <w:rFonts w:ascii="Century Gothic" w:hAnsi="Century Gothic"/>
          <w:sz w:val="24"/>
          <w:szCs w:val="24"/>
        </w:rPr>
        <w:t xml:space="preserve"> </w:t>
      </w:r>
      <w:r w:rsidR="00A73B0A" w:rsidRPr="00A73B0A">
        <w:rPr>
          <w:rFonts w:ascii="Century Gothic" w:hAnsi="Century Gothic"/>
          <w:sz w:val="24"/>
          <w:szCs w:val="24"/>
        </w:rPr>
        <w:t>los espacios deportivos:</w:t>
      </w:r>
    </w:p>
    <w:p w14:paraId="4B4289AE" w14:textId="77777777" w:rsidR="00DC3148" w:rsidRPr="00A73B0A" w:rsidRDefault="00A73B0A" w:rsidP="00A73B0A">
      <w:pPr>
        <w:tabs>
          <w:tab w:val="left" w:pos="284"/>
        </w:tabs>
        <w:spacing w:after="240"/>
        <w:ind w:left="284" w:right="333"/>
        <w:jc w:val="both"/>
        <w:rPr>
          <w:rFonts w:ascii="Century Gothic" w:hAnsi="Century Gothic"/>
          <w:sz w:val="24"/>
          <w:szCs w:val="24"/>
        </w:rPr>
      </w:pPr>
      <w:r w:rsidRPr="00A73B0A">
        <w:rPr>
          <w:rFonts w:ascii="Century Gothic" w:hAnsi="Century Gothic"/>
          <w:sz w:val="24"/>
          <w:szCs w:val="24"/>
        </w:rPr>
        <w:t>E</w:t>
      </w:r>
      <w:r w:rsidR="0088495E" w:rsidRPr="00A73B0A">
        <w:rPr>
          <w:rFonts w:ascii="Century Gothic" w:hAnsi="Century Gothic"/>
          <w:sz w:val="24"/>
          <w:szCs w:val="24"/>
        </w:rPr>
        <w:t xml:space="preserve">xisten en total 1 mil 75 espacios deportivos censados en el 2016, de los cuales </w:t>
      </w:r>
      <w:r w:rsidR="0088495E" w:rsidRPr="00A73B0A">
        <w:rPr>
          <w:rFonts w:ascii="Century Gothic" w:hAnsi="Century Gothic"/>
          <w:b/>
          <w:sz w:val="24"/>
          <w:szCs w:val="24"/>
        </w:rPr>
        <w:t>831 pertenecen a los gobiernos estatal y municipales</w:t>
      </w:r>
      <w:r w:rsidR="0088495E" w:rsidRPr="00A73B0A">
        <w:rPr>
          <w:rFonts w:ascii="Century Gothic" w:hAnsi="Century Gothic"/>
          <w:sz w:val="24"/>
          <w:szCs w:val="24"/>
        </w:rPr>
        <w:t xml:space="preserve">, de éstos últimos </w:t>
      </w:r>
      <w:r w:rsidR="0088495E" w:rsidRPr="00A73B0A">
        <w:rPr>
          <w:rFonts w:ascii="Century Gothic" w:hAnsi="Century Gothic"/>
          <w:b/>
          <w:sz w:val="24"/>
          <w:szCs w:val="24"/>
        </w:rPr>
        <w:t>un 76 por ciento requiere de algún grado de mantenimiento</w:t>
      </w:r>
      <w:r w:rsidR="0088495E" w:rsidRPr="00A73B0A">
        <w:rPr>
          <w:rFonts w:ascii="Century Gothic" w:hAnsi="Century Gothic"/>
          <w:sz w:val="24"/>
          <w:szCs w:val="24"/>
        </w:rPr>
        <w:t xml:space="preserve"> para su correcto funcionamiento.</w:t>
      </w:r>
    </w:p>
    <w:p w14:paraId="52A8C2C2" w14:textId="77777777" w:rsidR="00DC3148" w:rsidRDefault="00A73B0A" w:rsidP="00A73B0A">
      <w:pPr>
        <w:tabs>
          <w:tab w:val="left" w:pos="284"/>
        </w:tabs>
        <w:spacing w:after="240"/>
        <w:jc w:val="both"/>
        <w:rPr>
          <w:rFonts w:ascii="Century Gothic" w:hAnsi="Century Gothic"/>
          <w:sz w:val="24"/>
          <w:szCs w:val="24"/>
        </w:rPr>
      </w:pPr>
      <w:r>
        <w:rPr>
          <w:rFonts w:ascii="Century Gothic" w:hAnsi="Century Gothic"/>
          <w:sz w:val="24"/>
          <w:szCs w:val="24"/>
        </w:rPr>
        <w:t>De igual forma en el Plan Estatal de Desarrollo, presentan datos de sobre la infraestructura en el estado, principalmente la deportiva:</w:t>
      </w:r>
    </w:p>
    <w:p w14:paraId="2F44718E" w14:textId="77777777" w:rsidR="00A73B0A" w:rsidRDefault="00A73B0A" w:rsidP="00A73B0A">
      <w:pPr>
        <w:tabs>
          <w:tab w:val="left" w:pos="284"/>
        </w:tabs>
        <w:spacing w:after="240"/>
        <w:ind w:left="284" w:right="333"/>
        <w:jc w:val="both"/>
        <w:rPr>
          <w:rFonts w:ascii="Century Gothic" w:hAnsi="Century Gothic"/>
          <w:sz w:val="24"/>
          <w:szCs w:val="24"/>
        </w:rPr>
      </w:pPr>
      <w:r>
        <w:rPr>
          <w:rFonts w:ascii="Century Gothic" w:hAnsi="Century Gothic"/>
          <w:sz w:val="24"/>
          <w:szCs w:val="24"/>
        </w:rPr>
        <w:t>Colima cuenta con 1075 espacios deportivos, que dan servicio a más de 13000 mil habitantes, con 60 instructores. Sin embargo, la demanda aún no está cubierta para brindar alternativas para la diversidad de aficiones.</w:t>
      </w:r>
    </w:p>
    <w:p w14:paraId="6FC52FB2" w14:textId="77777777" w:rsidR="00A73B0A" w:rsidRDefault="003C6437" w:rsidP="00A73B0A">
      <w:pPr>
        <w:tabs>
          <w:tab w:val="left" w:pos="284"/>
        </w:tabs>
        <w:spacing w:after="240"/>
        <w:jc w:val="both"/>
        <w:rPr>
          <w:rFonts w:ascii="Century Gothic" w:hAnsi="Century Gothic"/>
          <w:sz w:val="24"/>
          <w:szCs w:val="24"/>
        </w:rPr>
      </w:pPr>
      <w:r>
        <w:rPr>
          <w:rFonts w:ascii="Century Gothic" w:hAnsi="Century Gothic"/>
          <w:sz w:val="24"/>
          <w:szCs w:val="24"/>
        </w:rPr>
        <w:lastRenderedPageBreak/>
        <w:t>Una vez identifica la carencia o necesidad es más fácil poder identificar la población, una forma para hacerlo es por medio de las localidades o colonias, tal como se ilustra en la siguiente figura.</w:t>
      </w:r>
    </w:p>
    <w:p w14:paraId="7AC3BB11" w14:textId="77777777" w:rsidR="00A73B0A" w:rsidRPr="00A53AF5" w:rsidRDefault="00807280" w:rsidP="00807280">
      <w:pPr>
        <w:tabs>
          <w:tab w:val="left" w:pos="284"/>
        </w:tabs>
        <w:spacing w:after="240"/>
        <w:jc w:val="center"/>
        <w:rPr>
          <w:rFonts w:ascii="Century Gothic" w:hAnsi="Century Gothic"/>
          <w:b/>
          <w:sz w:val="24"/>
          <w:szCs w:val="24"/>
        </w:rPr>
      </w:pPr>
      <w:r w:rsidRPr="00A53AF5">
        <w:rPr>
          <w:rFonts w:ascii="Century Gothic" w:hAnsi="Century Gothic"/>
          <w:b/>
          <w:sz w:val="24"/>
          <w:szCs w:val="24"/>
        </w:rPr>
        <w:t xml:space="preserve">Figura </w:t>
      </w:r>
      <w:r w:rsidR="003E3B3D">
        <w:rPr>
          <w:rFonts w:ascii="Century Gothic" w:hAnsi="Century Gothic"/>
          <w:b/>
          <w:sz w:val="24"/>
          <w:szCs w:val="24"/>
        </w:rPr>
        <w:t>2.1</w:t>
      </w:r>
      <w:r w:rsidRPr="00A53AF5">
        <w:rPr>
          <w:rFonts w:ascii="Century Gothic" w:hAnsi="Century Gothic"/>
          <w:b/>
          <w:sz w:val="24"/>
          <w:szCs w:val="24"/>
        </w:rPr>
        <w:t>. Esquema tipos de población para infraestructura deportiva</w:t>
      </w:r>
    </w:p>
    <w:p w14:paraId="41EC81AC" w14:textId="77777777" w:rsidR="00807280" w:rsidRDefault="00185734" w:rsidP="00807280">
      <w:pPr>
        <w:tabs>
          <w:tab w:val="left" w:pos="284"/>
        </w:tabs>
        <w:spacing w:after="240"/>
        <w:jc w:val="center"/>
        <w:rPr>
          <w:rFonts w:ascii="Century Gothic" w:hAnsi="Century Gothic"/>
          <w:sz w:val="24"/>
          <w:szCs w:val="24"/>
        </w:rPr>
      </w:pPr>
      <w:r>
        <w:rPr>
          <w:rFonts w:ascii="Century Gothic" w:hAnsi="Century Gothic"/>
          <w:noProof/>
          <w:sz w:val="24"/>
          <w:szCs w:val="24"/>
          <w:lang w:eastAsia="es-MX"/>
        </w:rPr>
        <w:drawing>
          <wp:inline distT="0" distB="0" distL="0" distR="0" wp14:anchorId="51FC2A3D" wp14:editId="51ED56A0">
            <wp:extent cx="5540963" cy="46101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8578" cy="4616436"/>
                    </a:xfrm>
                    <a:prstGeom prst="rect">
                      <a:avLst/>
                    </a:prstGeom>
                    <a:noFill/>
                  </pic:spPr>
                </pic:pic>
              </a:graphicData>
            </a:graphic>
          </wp:inline>
        </w:drawing>
      </w:r>
    </w:p>
    <w:p w14:paraId="29377F20" w14:textId="77777777" w:rsidR="00807280" w:rsidRDefault="00807280" w:rsidP="00A73B0A">
      <w:pPr>
        <w:tabs>
          <w:tab w:val="left" w:pos="284"/>
        </w:tabs>
        <w:spacing w:after="240"/>
        <w:jc w:val="both"/>
        <w:rPr>
          <w:rFonts w:ascii="Century Gothic" w:hAnsi="Century Gothic"/>
          <w:sz w:val="24"/>
          <w:szCs w:val="24"/>
        </w:rPr>
      </w:pPr>
      <w:r w:rsidRPr="00133DFA">
        <w:rPr>
          <w:rFonts w:cstheme="minorHAnsi"/>
          <w:b/>
          <w:sz w:val="20"/>
        </w:rPr>
        <w:t>Fuente:</w:t>
      </w:r>
      <w:r w:rsidRPr="00133DFA">
        <w:rPr>
          <w:rFonts w:cstheme="minorHAnsi"/>
          <w:sz w:val="20"/>
        </w:rPr>
        <w:t xml:space="preserve"> Elaborado por TECSO</w:t>
      </w:r>
    </w:p>
    <w:p w14:paraId="5114A7B8" w14:textId="77777777" w:rsidR="00807280" w:rsidRDefault="00473966" w:rsidP="00A73B0A">
      <w:pPr>
        <w:tabs>
          <w:tab w:val="left" w:pos="284"/>
        </w:tabs>
        <w:spacing w:after="240"/>
        <w:jc w:val="both"/>
        <w:rPr>
          <w:rFonts w:ascii="Century Gothic" w:hAnsi="Century Gothic"/>
          <w:sz w:val="24"/>
          <w:szCs w:val="24"/>
        </w:rPr>
      </w:pPr>
      <w:r>
        <w:rPr>
          <w:rFonts w:ascii="Century Gothic" w:hAnsi="Century Gothic"/>
          <w:sz w:val="24"/>
          <w:szCs w:val="24"/>
        </w:rPr>
        <w:t xml:space="preserve">En este sentido, la </w:t>
      </w:r>
      <w:r w:rsidRPr="00797D52">
        <w:rPr>
          <w:rFonts w:ascii="Century Gothic" w:hAnsi="Century Gothic"/>
          <w:b/>
          <w:sz w:val="24"/>
          <w:szCs w:val="24"/>
        </w:rPr>
        <w:t>población potencial</w:t>
      </w:r>
      <w:r>
        <w:rPr>
          <w:rFonts w:ascii="Century Gothic" w:hAnsi="Century Gothic"/>
          <w:sz w:val="24"/>
          <w:szCs w:val="24"/>
        </w:rPr>
        <w:t xml:space="preserve"> serían todas las localidades o colonias donde hay infraestructura deportiva que requiere algún tipo de mantenimiento o rehabilitación.</w:t>
      </w:r>
    </w:p>
    <w:p w14:paraId="2073276C" w14:textId="77777777" w:rsidR="00473966" w:rsidRDefault="00473966" w:rsidP="00A73B0A">
      <w:pPr>
        <w:tabs>
          <w:tab w:val="left" w:pos="284"/>
        </w:tabs>
        <w:spacing w:after="240"/>
        <w:jc w:val="both"/>
        <w:rPr>
          <w:rFonts w:ascii="Century Gothic" w:hAnsi="Century Gothic"/>
          <w:sz w:val="24"/>
          <w:szCs w:val="24"/>
        </w:rPr>
      </w:pPr>
      <w:r>
        <w:rPr>
          <w:rFonts w:ascii="Century Gothic" w:hAnsi="Century Gothic"/>
          <w:sz w:val="24"/>
          <w:szCs w:val="24"/>
        </w:rPr>
        <w:t xml:space="preserve">Referente a la </w:t>
      </w:r>
      <w:r w:rsidRPr="00027138">
        <w:rPr>
          <w:rFonts w:ascii="Century Gothic" w:hAnsi="Century Gothic"/>
          <w:b/>
          <w:sz w:val="24"/>
          <w:szCs w:val="24"/>
        </w:rPr>
        <w:t>población objetivo</w:t>
      </w:r>
      <w:r>
        <w:rPr>
          <w:rFonts w:ascii="Century Gothic" w:hAnsi="Century Gothic"/>
          <w:sz w:val="24"/>
          <w:szCs w:val="24"/>
        </w:rPr>
        <w:t>, esta se debe acotar a las localidades o colonias, en las que se proyecta atender dicha carencia.</w:t>
      </w:r>
    </w:p>
    <w:p w14:paraId="7CBC0B16" w14:textId="77777777" w:rsidR="00473966" w:rsidRPr="00A73B0A" w:rsidRDefault="00473966" w:rsidP="00A73B0A">
      <w:pPr>
        <w:tabs>
          <w:tab w:val="left" w:pos="284"/>
        </w:tabs>
        <w:spacing w:after="240"/>
        <w:jc w:val="both"/>
        <w:rPr>
          <w:rFonts w:ascii="Century Gothic" w:hAnsi="Century Gothic"/>
          <w:sz w:val="24"/>
          <w:szCs w:val="24"/>
        </w:rPr>
      </w:pPr>
      <w:r>
        <w:rPr>
          <w:rFonts w:ascii="Century Gothic" w:hAnsi="Century Gothic"/>
          <w:sz w:val="24"/>
          <w:szCs w:val="24"/>
        </w:rPr>
        <w:t xml:space="preserve">En cuanto a la </w:t>
      </w:r>
      <w:r w:rsidRPr="00490BDD">
        <w:rPr>
          <w:rFonts w:ascii="Century Gothic" w:hAnsi="Century Gothic"/>
          <w:b/>
          <w:sz w:val="24"/>
          <w:szCs w:val="24"/>
        </w:rPr>
        <w:t>población</w:t>
      </w:r>
      <w:r>
        <w:rPr>
          <w:rFonts w:ascii="Century Gothic" w:hAnsi="Century Gothic"/>
          <w:b/>
          <w:sz w:val="24"/>
          <w:szCs w:val="24"/>
        </w:rPr>
        <w:t xml:space="preserve"> atendida</w:t>
      </w:r>
      <w:r>
        <w:rPr>
          <w:rFonts w:ascii="Century Gothic" w:hAnsi="Century Gothic"/>
          <w:sz w:val="24"/>
          <w:szCs w:val="24"/>
        </w:rPr>
        <w:t>, se limita sólo a aquellas zonas en las que efectivamente se atendió la necesidad.</w:t>
      </w:r>
    </w:p>
    <w:p w14:paraId="55023551" w14:textId="77777777" w:rsidR="00DC3148" w:rsidRPr="0088495E" w:rsidRDefault="00317B3C" w:rsidP="0088495E">
      <w:pPr>
        <w:tabs>
          <w:tab w:val="left" w:pos="284"/>
        </w:tabs>
        <w:spacing w:after="240"/>
        <w:jc w:val="both"/>
        <w:rPr>
          <w:rFonts w:ascii="Century Gothic" w:hAnsi="Century Gothic"/>
          <w:sz w:val="24"/>
          <w:szCs w:val="24"/>
        </w:rPr>
      </w:pPr>
      <w:r w:rsidRPr="009C0F82">
        <w:rPr>
          <w:rFonts w:ascii="Century Gothic" w:hAnsi="Century Gothic"/>
          <w:sz w:val="24"/>
          <w:szCs w:val="23"/>
        </w:rPr>
        <w:lastRenderedPageBreak/>
        <w:t>La falta de claridad e identificación de los diferentes tipos de población pueden generar inconvenientes al momento de foca</w:t>
      </w:r>
      <w:r>
        <w:rPr>
          <w:rFonts w:ascii="Century Gothic" w:hAnsi="Century Gothic"/>
          <w:sz w:val="24"/>
          <w:szCs w:val="23"/>
        </w:rPr>
        <w:t xml:space="preserve">lizar los recursos del programa y establecerlos beneficios que este genera en determinada población, </w:t>
      </w:r>
      <w:r w:rsidRPr="009C0F82">
        <w:rPr>
          <w:rFonts w:ascii="Century Gothic" w:hAnsi="Century Gothic"/>
          <w:sz w:val="24"/>
          <w:szCs w:val="23"/>
        </w:rPr>
        <w:t xml:space="preserve">por lo que se recomienda </w:t>
      </w:r>
      <w:r w:rsidR="00EA1D0F">
        <w:rPr>
          <w:rFonts w:ascii="Century Gothic" w:hAnsi="Century Gothic"/>
          <w:sz w:val="24"/>
          <w:szCs w:val="23"/>
        </w:rPr>
        <w:t>recabar dicha información</w:t>
      </w:r>
      <w:r w:rsidRPr="009C0F82">
        <w:rPr>
          <w:rFonts w:ascii="Century Gothic" w:hAnsi="Century Gothic"/>
          <w:sz w:val="24"/>
          <w:szCs w:val="23"/>
        </w:rPr>
        <w:t xml:space="preserve"> para ganar en precisión y que, como consecuencia, quede explicado y sustentado documentalmente.</w:t>
      </w:r>
    </w:p>
    <w:p w14:paraId="50C434AC" w14:textId="77777777" w:rsidR="00122F31" w:rsidRDefault="00252B54" w:rsidP="00252B54">
      <w:pPr>
        <w:pStyle w:val="Ttulo2"/>
        <w:spacing w:before="0" w:after="240"/>
        <w:ind w:left="284"/>
        <w:jc w:val="both"/>
        <w:rPr>
          <w:rFonts w:ascii="Century Gothic" w:hAnsi="Century Gothic"/>
          <w:color w:val="0E4E7A"/>
          <w:sz w:val="28"/>
        </w:rPr>
      </w:pPr>
      <w:bookmarkStart w:id="18" w:name="_Toc505364427"/>
      <w:bookmarkStart w:id="19" w:name="_Toc511859771"/>
      <w:r>
        <w:rPr>
          <w:rFonts w:ascii="Century Gothic" w:hAnsi="Century Gothic"/>
          <w:color w:val="0E4E7A"/>
          <w:sz w:val="28"/>
        </w:rPr>
        <w:t>2.1</w:t>
      </w:r>
      <w:r w:rsidR="00122F31">
        <w:rPr>
          <w:rFonts w:ascii="Century Gothic" w:hAnsi="Century Gothic"/>
          <w:color w:val="0E4E7A"/>
          <w:sz w:val="28"/>
        </w:rPr>
        <w:t>.</w:t>
      </w:r>
      <w:r w:rsidR="008D34E8">
        <w:rPr>
          <w:rFonts w:ascii="Century Gothic" w:hAnsi="Century Gothic"/>
          <w:color w:val="0E4E7A"/>
          <w:sz w:val="28"/>
        </w:rPr>
        <w:t>4</w:t>
      </w:r>
      <w:r w:rsidR="00122F31" w:rsidRPr="00745740">
        <w:rPr>
          <w:rFonts w:ascii="Century Gothic" w:hAnsi="Century Gothic"/>
          <w:color w:val="0E4E7A"/>
          <w:sz w:val="28"/>
        </w:rPr>
        <w:t xml:space="preserve"> </w:t>
      </w:r>
      <w:r w:rsidR="00122F31" w:rsidRPr="00122F31">
        <w:rPr>
          <w:rFonts w:ascii="Century Gothic" w:hAnsi="Century Gothic"/>
          <w:color w:val="0E4E7A"/>
          <w:sz w:val="28"/>
        </w:rPr>
        <w:t>Evaluación y análisis de la matriz de indicadores para resultados</w:t>
      </w:r>
      <w:r w:rsidR="00122F31" w:rsidRPr="00745740">
        <w:rPr>
          <w:rFonts w:ascii="Century Gothic" w:hAnsi="Century Gothic"/>
          <w:color w:val="0E4E7A"/>
          <w:sz w:val="28"/>
        </w:rPr>
        <w:t>.</w:t>
      </w:r>
      <w:bookmarkEnd w:id="18"/>
      <w:bookmarkEnd w:id="19"/>
    </w:p>
    <w:p w14:paraId="122598EF" w14:textId="77777777" w:rsidR="00883093" w:rsidRDefault="005B012D" w:rsidP="00354F9E">
      <w:pPr>
        <w:spacing w:after="240"/>
        <w:jc w:val="both"/>
        <w:rPr>
          <w:rFonts w:ascii="Century Gothic" w:hAnsi="Century Gothic" w:cs="Arial"/>
          <w:bCs/>
          <w:color w:val="000000"/>
          <w:sz w:val="24"/>
          <w:szCs w:val="24"/>
        </w:rPr>
      </w:pPr>
      <w:r w:rsidRPr="00FE7599">
        <w:rPr>
          <w:rFonts w:ascii="Century Gothic" w:hAnsi="Century Gothic" w:cs="Arial"/>
          <w:bCs/>
          <w:color w:val="000000"/>
          <w:sz w:val="24"/>
          <w:szCs w:val="24"/>
        </w:rPr>
        <w:t xml:space="preserve">Como parte del proceso de planeación de un programa presupuestario, y siguiendo la lógica establecida en la Guía para la elaboración de la Matriz de indicadores para Resultados de la SHCP, es necesario contemplar integralmente la elaboración de la </w:t>
      </w:r>
      <w:r w:rsidRPr="00883093">
        <w:rPr>
          <w:rFonts w:ascii="Century Gothic" w:hAnsi="Century Gothic" w:cs="Arial"/>
          <w:b/>
          <w:bCs/>
          <w:color w:val="000000"/>
          <w:sz w:val="24"/>
          <w:szCs w:val="24"/>
        </w:rPr>
        <w:t>secuencia</w:t>
      </w:r>
      <w:r w:rsidRPr="00FE7599">
        <w:rPr>
          <w:rFonts w:ascii="Century Gothic" w:hAnsi="Century Gothic" w:cs="Arial"/>
          <w:bCs/>
          <w:color w:val="000000"/>
          <w:sz w:val="24"/>
          <w:szCs w:val="24"/>
        </w:rPr>
        <w:t xml:space="preserve"> </w:t>
      </w:r>
      <w:r w:rsidRPr="00883093">
        <w:rPr>
          <w:rFonts w:ascii="Century Gothic" w:hAnsi="Century Gothic" w:cs="Arial"/>
          <w:bCs/>
          <w:i/>
          <w:color w:val="000000"/>
          <w:sz w:val="24"/>
          <w:szCs w:val="24"/>
        </w:rPr>
        <w:t>Árbol de Problemas-Árbol de Objetivos-Matriz de Indicadores</w:t>
      </w:r>
      <w:r w:rsidRPr="00FE7599">
        <w:rPr>
          <w:rFonts w:ascii="Century Gothic" w:hAnsi="Century Gothic" w:cs="Arial"/>
          <w:bCs/>
          <w:color w:val="000000"/>
          <w:sz w:val="24"/>
          <w:szCs w:val="24"/>
        </w:rPr>
        <w:t xml:space="preserve"> para lograr una mayor asertividad en cuanto al planteamiento de los objetivos que serán sometidos a medición de resultados. </w:t>
      </w:r>
    </w:p>
    <w:p w14:paraId="4768B242" w14:textId="77777777" w:rsidR="005B012D" w:rsidRDefault="00883093" w:rsidP="00354F9E">
      <w:pPr>
        <w:spacing w:after="240"/>
        <w:jc w:val="both"/>
        <w:rPr>
          <w:rFonts w:ascii="Century Gothic" w:hAnsi="Century Gothic" w:cs="Arial"/>
          <w:bCs/>
          <w:color w:val="000000"/>
          <w:sz w:val="24"/>
          <w:szCs w:val="24"/>
        </w:rPr>
      </w:pPr>
      <w:r>
        <w:rPr>
          <w:rFonts w:ascii="Century Gothic" w:hAnsi="Century Gothic" w:cs="Arial"/>
          <w:bCs/>
          <w:color w:val="000000"/>
          <w:sz w:val="24"/>
          <w:szCs w:val="24"/>
        </w:rPr>
        <w:t>E</w:t>
      </w:r>
      <w:r w:rsidR="005B012D" w:rsidRPr="00FE7599">
        <w:rPr>
          <w:rFonts w:ascii="Century Gothic" w:hAnsi="Century Gothic" w:cs="Arial"/>
          <w:bCs/>
          <w:color w:val="000000"/>
          <w:sz w:val="24"/>
          <w:szCs w:val="24"/>
        </w:rPr>
        <w:t xml:space="preserve">stos tres momentos </w:t>
      </w:r>
      <w:r w:rsidR="004C4F9F" w:rsidRPr="00FE7599">
        <w:rPr>
          <w:rFonts w:ascii="Century Gothic" w:hAnsi="Century Gothic" w:cs="Arial"/>
          <w:bCs/>
          <w:color w:val="000000"/>
          <w:sz w:val="24"/>
          <w:szCs w:val="24"/>
        </w:rPr>
        <w:t xml:space="preserve">son fundamentales </w:t>
      </w:r>
      <w:r w:rsidR="005B012D" w:rsidRPr="00FE7599">
        <w:rPr>
          <w:rFonts w:ascii="Century Gothic" w:hAnsi="Century Gothic" w:cs="Arial"/>
          <w:bCs/>
          <w:color w:val="000000"/>
          <w:sz w:val="24"/>
          <w:szCs w:val="24"/>
        </w:rPr>
        <w:t>en la creación y diseño de un programa</w:t>
      </w:r>
      <w:r w:rsidR="004C4F9F">
        <w:rPr>
          <w:rFonts w:ascii="Century Gothic" w:hAnsi="Century Gothic" w:cs="Arial"/>
          <w:bCs/>
          <w:color w:val="000000"/>
          <w:sz w:val="24"/>
          <w:szCs w:val="24"/>
        </w:rPr>
        <w:t>,</w:t>
      </w:r>
      <w:r w:rsidR="005B012D" w:rsidRPr="00FE7599">
        <w:rPr>
          <w:rFonts w:ascii="Century Gothic" w:hAnsi="Century Gothic" w:cs="Arial"/>
          <w:bCs/>
          <w:color w:val="000000"/>
          <w:sz w:val="24"/>
          <w:szCs w:val="24"/>
        </w:rPr>
        <w:t xml:space="preserve"> </w:t>
      </w:r>
      <w:r w:rsidR="004C4F9F">
        <w:rPr>
          <w:rFonts w:ascii="Century Gothic" w:hAnsi="Century Gothic" w:cs="Arial"/>
          <w:bCs/>
          <w:color w:val="000000"/>
          <w:sz w:val="24"/>
          <w:szCs w:val="24"/>
        </w:rPr>
        <w:t>no sólo en su elaboración</w:t>
      </w:r>
      <w:r w:rsidR="005B012D" w:rsidRPr="00FE7599">
        <w:rPr>
          <w:rFonts w:ascii="Century Gothic" w:hAnsi="Century Gothic" w:cs="Arial"/>
          <w:bCs/>
          <w:color w:val="000000"/>
          <w:sz w:val="24"/>
          <w:szCs w:val="24"/>
        </w:rPr>
        <w:t xml:space="preserve"> sino también en la coherencia y correspondencia que deben mantener como parte de la estructura analítica de un programa presupuestario. </w:t>
      </w:r>
    </w:p>
    <w:p w14:paraId="168B78FA" w14:textId="77777777" w:rsidR="005B012D" w:rsidRDefault="005B012D" w:rsidP="00354F9E">
      <w:pPr>
        <w:spacing w:after="240"/>
        <w:jc w:val="both"/>
        <w:rPr>
          <w:rFonts w:ascii="Century Gothic" w:hAnsi="Century Gothic" w:cs="Arial"/>
          <w:b/>
          <w:bCs/>
          <w:color w:val="000000"/>
          <w:sz w:val="24"/>
          <w:szCs w:val="24"/>
        </w:rPr>
      </w:pPr>
      <w:r w:rsidRPr="00FE7599">
        <w:rPr>
          <w:rFonts w:ascii="Century Gothic" w:hAnsi="Century Gothic" w:cs="Arial"/>
          <w:bCs/>
          <w:color w:val="000000"/>
          <w:sz w:val="24"/>
          <w:szCs w:val="24"/>
        </w:rPr>
        <w:t>Cabe recordar que la MIR “</w:t>
      </w:r>
      <w:r w:rsidRPr="00FE7599">
        <w:rPr>
          <w:rFonts w:ascii="Century Gothic" w:hAnsi="Century Gothic" w:cs="Arial"/>
          <w:bCs/>
          <w:i/>
          <w:iCs/>
          <w:color w:val="000000"/>
          <w:sz w:val="24"/>
          <w:szCs w:val="24"/>
        </w:rPr>
        <w:t>es una herramienta que permite vincular los distintos instrumentos para el diseño, organización, ejecución, seguimiento, evaluación y mejora de los programas, resultando de un proceso de planeación con base en la Metodología del Marco Lógico</w:t>
      </w:r>
      <w:r w:rsidRPr="00FE7599">
        <w:rPr>
          <w:rFonts w:ascii="Century Gothic" w:hAnsi="Century Gothic" w:cs="Arial"/>
          <w:bCs/>
          <w:color w:val="000000"/>
          <w:sz w:val="24"/>
          <w:szCs w:val="24"/>
        </w:rPr>
        <w:t>” (SHCP, 2010: 44),</w:t>
      </w:r>
      <w:r>
        <w:rPr>
          <w:rFonts w:ascii="Century Gothic" w:hAnsi="Century Gothic" w:cs="Arial"/>
          <w:bCs/>
          <w:color w:val="000000"/>
          <w:sz w:val="24"/>
          <w:szCs w:val="24"/>
        </w:rPr>
        <w:t xml:space="preserve"> </w:t>
      </w:r>
      <w:r w:rsidRPr="00FE7599">
        <w:rPr>
          <w:rFonts w:ascii="Century Gothic" w:hAnsi="Century Gothic" w:cs="Arial"/>
          <w:bCs/>
          <w:color w:val="000000"/>
          <w:sz w:val="24"/>
          <w:szCs w:val="24"/>
        </w:rPr>
        <w:t xml:space="preserve">por lo que se hace énfasis en su correspondencia, ya que forman parte de </w:t>
      </w:r>
      <w:r w:rsidRPr="00940A4E">
        <w:rPr>
          <w:rFonts w:ascii="Century Gothic" w:hAnsi="Century Gothic" w:cs="Arial"/>
          <w:b/>
          <w:bCs/>
          <w:color w:val="000000"/>
          <w:sz w:val="24"/>
          <w:szCs w:val="24"/>
        </w:rPr>
        <w:t xml:space="preserve">un ejercicio de articulación estratégico. </w:t>
      </w:r>
    </w:p>
    <w:p w14:paraId="7FACD0FA" w14:textId="77777777" w:rsidR="00354F9E" w:rsidRDefault="00354F9E" w:rsidP="00354F9E">
      <w:pPr>
        <w:overflowPunct w:val="0"/>
        <w:autoSpaceDE w:val="0"/>
        <w:autoSpaceDN w:val="0"/>
        <w:adjustRightInd w:val="0"/>
        <w:spacing w:after="240"/>
        <w:jc w:val="both"/>
        <w:textAlignment w:val="baseline"/>
        <w:rPr>
          <w:rFonts w:ascii="Century Gothic" w:hAnsi="Century Gothic"/>
          <w:sz w:val="24"/>
          <w:szCs w:val="24"/>
        </w:rPr>
      </w:pPr>
      <w:bookmarkStart w:id="20" w:name="_Toc505364428"/>
      <w:r>
        <w:rPr>
          <w:rFonts w:ascii="Century Gothic" w:hAnsi="Century Gothic"/>
          <w:sz w:val="24"/>
          <w:szCs w:val="24"/>
        </w:rPr>
        <w:t xml:space="preserve">Como lo establece SHCP en la guía para el diseño de la MIR: </w:t>
      </w:r>
      <w:r w:rsidRPr="00354F9E">
        <w:rPr>
          <w:rFonts w:ascii="Century Gothic" w:hAnsi="Century Gothic"/>
          <w:sz w:val="24"/>
          <w:szCs w:val="24"/>
        </w:rPr>
        <w:t>La elaboración de una Matriz de Indicadores para Resultados implica realizar ordenadamente cada una</w:t>
      </w:r>
      <w:r>
        <w:rPr>
          <w:rFonts w:ascii="Century Gothic" w:hAnsi="Century Gothic"/>
          <w:sz w:val="24"/>
          <w:szCs w:val="24"/>
        </w:rPr>
        <w:t xml:space="preserve"> </w:t>
      </w:r>
      <w:r w:rsidRPr="00354F9E">
        <w:rPr>
          <w:rFonts w:ascii="Century Gothic" w:hAnsi="Century Gothic"/>
          <w:sz w:val="24"/>
          <w:szCs w:val="24"/>
        </w:rPr>
        <w:t>de las etapas de la metodología de marco lógico para lograr un mejor proceso de planeación</w:t>
      </w:r>
      <w:r>
        <w:rPr>
          <w:rFonts w:ascii="Century Gothic" w:hAnsi="Century Gothic"/>
          <w:sz w:val="24"/>
          <w:szCs w:val="24"/>
        </w:rPr>
        <w:t>, tal como se ilustra en la siguiente figura</w:t>
      </w:r>
      <w:r w:rsidRPr="00354F9E">
        <w:rPr>
          <w:rFonts w:ascii="Century Gothic" w:hAnsi="Century Gothic"/>
          <w:sz w:val="24"/>
          <w:szCs w:val="24"/>
        </w:rPr>
        <w:t>:</w:t>
      </w:r>
    </w:p>
    <w:p w14:paraId="23DA15EF" w14:textId="77777777" w:rsidR="00354F9E" w:rsidRPr="00CF7825" w:rsidRDefault="003E3B3D" w:rsidP="00F47148">
      <w:pPr>
        <w:overflowPunct w:val="0"/>
        <w:autoSpaceDE w:val="0"/>
        <w:autoSpaceDN w:val="0"/>
        <w:adjustRightInd w:val="0"/>
        <w:spacing w:after="120"/>
        <w:jc w:val="center"/>
        <w:textAlignment w:val="baseline"/>
        <w:rPr>
          <w:rFonts w:ascii="Century Gothic" w:hAnsi="Century Gothic"/>
          <w:b/>
          <w:sz w:val="24"/>
          <w:szCs w:val="24"/>
        </w:rPr>
      </w:pPr>
      <w:r>
        <w:rPr>
          <w:rFonts w:ascii="Century Gothic" w:hAnsi="Century Gothic"/>
          <w:b/>
          <w:sz w:val="24"/>
          <w:szCs w:val="24"/>
        </w:rPr>
        <w:t>Figura 2.2</w:t>
      </w:r>
      <w:r w:rsidR="00CF7825" w:rsidRPr="00CF7825">
        <w:rPr>
          <w:rFonts w:ascii="Century Gothic" w:hAnsi="Century Gothic"/>
          <w:b/>
          <w:sz w:val="24"/>
          <w:szCs w:val="24"/>
        </w:rPr>
        <w:t>. Secuencia para la elaboración de la MIR</w:t>
      </w:r>
    </w:p>
    <w:p w14:paraId="00884945" w14:textId="77777777" w:rsidR="00354F9E" w:rsidRDefault="00985A23" w:rsidP="00F47148">
      <w:pPr>
        <w:overflowPunct w:val="0"/>
        <w:autoSpaceDE w:val="0"/>
        <w:autoSpaceDN w:val="0"/>
        <w:adjustRightInd w:val="0"/>
        <w:spacing w:after="120"/>
        <w:jc w:val="center"/>
        <w:textAlignment w:val="baseline"/>
        <w:rPr>
          <w:rFonts w:ascii="Century Gothic" w:hAnsi="Century Gothic"/>
          <w:sz w:val="24"/>
          <w:szCs w:val="24"/>
        </w:rPr>
      </w:pPr>
      <w:r>
        <w:rPr>
          <w:rFonts w:ascii="Century Gothic" w:hAnsi="Century Gothic"/>
          <w:noProof/>
          <w:sz w:val="24"/>
          <w:szCs w:val="24"/>
          <w:lang w:eastAsia="es-MX"/>
        </w:rPr>
        <w:lastRenderedPageBreak/>
        <w:drawing>
          <wp:inline distT="0" distB="0" distL="0" distR="0" wp14:anchorId="19212A9E" wp14:editId="286CB7DB">
            <wp:extent cx="5684421" cy="14287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42827" r="21372" b="31282"/>
                    <a:stretch/>
                  </pic:blipFill>
                  <pic:spPr bwMode="auto">
                    <a:xfrm>
                      <a:off x="0" y="0"/>
                      <a:ext cx="5692517" cy="1430785"/>
                    </a:xfrm>
                    <a:prstGeom prst="rect">
                      <a:avLst/>
                    </a:prstGeom>
                    <a:noFill/>
                    <a:ln>
                      <a:noFill/>
                    </a:ln>
                    <a:extLst>
                      <a:ext uri="{53640926-AAD7-44D8-BBD7-CCE9431645EC}">
                        <a14:shadowObscured xmlns:a14="http://schemas.microsoft.com/office/drawing/2010/main"/>
                      </a:ext>
                    </a:extLst>
                  </pic:spPr>
                </pic:pic>
              </a:graphicData>
            </a:graphic>
          </wp:inline>
        </w:drawing>
      </w:r>
    </w:p>
    <w:p w14:paraId="076F8E92" w14:textId="77777777" w:rsidR="00354F9E" w:rsidRPr="00F47148" w:rsidRDefault="00CF7825" w:rsidP="00354F9E">
      <w:pPr>
        <w:overflowPunct w:val="0"/>
        <w:autoSpaceDE w:val="0"/>
        <w:autoSpaceDN w:val="0"/>
        <w:adjustRightInd w:val="0"/>
        <w:spacing w:after="240"/>
        <w:jc w:val="both"/>
        <w:textAlignment w:val="baseline"/>
        <w:rPr>
          <w:rFonts w:cstheme="minorHAnsi"/>
          <w:sz w:val="20"/>
          <w:szCs w:val="24"/>
        </w:rPr>
      </w:pPr>
      <w:r w:rsidRPr="00F47148">
        <w:rPr>
          <w:rFonts w:cstheme="minorHAnsi"/>
          <w:sz w:val="20"/>
          <w:szCs w:val="24"/>
        </w:rPr>
        <w:t xml:space="preserve">Fuente: </w:t>
      </w:r>
      <w:r w:rsidR="00E53EBD" w:rsidRPr="00F47148">
        <w:rPr>
          <w:rFonts w:eastAsiaTheme="majorEastAsia" w:cstheme="minorHAnsi"/>
          <w:sz w:val="20"/>
          <w:szCs w:val="24"/>
        </w:rPr>
        <w:t>CONEVAL, SHCP, SFP</w:t>
      </w:r>
      <w:r w:rsidRPr="00F47148">
        <w:rPr>
          <w:rFonts w:cstheme="minorHAnsi"/>
          <w:sz w:val="20"/>
          <w:szCs w:val="24"/>
        </w:rPr>
        <w:t>, Guía para el diseño de la MIR.</w:t>
      </w:r>
    </w:p>
    <w:p w14:paraId="5DBD3AD9" w14:textId="77777777" w:rsidR="00354F9E" w:rsidRDefault="00354F9E" w:rsidP="00B71D10">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Por lo que un primer paso es la identificación del proble</w:t>
      </w:r>
      <w:r w:rsidR="00486C3B">
        <w:rPr>
          <w:rFonts w:ascii="Century Gothic" w:hAnsi="Century Gothic"/>
          <w:sz w:val="24"/>
          <w:szCs w:val="24"/>
        </w:rPr>
        <w:t>ma (árbol de problemas, continuando con el árbol de objetivos y finalmente la MIR.</w:t>
      </w:r>
    </w:p>
    <w:p w14:paraId="3F878AEF" w14:textId="77777777" w:rsidR="00486C3B" w:rsidRDefault="00486C3B" w:rsidP="00B71D10">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 xml:space="preserve">Bajo este contexto </w:t>
      </w:r>
      <w:r w:rsidR="00B71D10">
        <w:rPr>
          <w:rFonts w:ascii="Century Gothic" w:hAnsi="Century Gothic"/>
          <w:sz w:val="24"/>
          <w:szCs w:val="24"/>
        </w:rPr>
        <w:t>la valoración</w:t>
      </w:r>
      <w:r>
        <w:rPr>
          <w:rFonts w:ascii="Century Gothic" w:hAnsi="Century Gothic"/>
          <w:sz w:val="24"/>
          <w:szCs w:val="24"/>
        </w:rPr>
        <w:t xml:space="preserve"> de este apartado debería iniciarse con </w:t>
      </w:r>
      <w:r w:rsidR="00B71D10">
        <w:rPr>
          <w:rFonts w:ascii="Century Gothic" w:hAnsi="Century Gothic"/>
          <w:sz w:val="24"/>
          <w:szCs w:val="24"/>
        </w:rPr>
        <w:t xml:space="preserve">un análisis de dichos </w:t>
      </w:r>
      <w:r w:rsidR="00B71D10" w:rsidRPr="00B71D10">
        <w:rPr>
          <w:rFonts w:ascii="Century Gothic" w:hAnsi="Century Gothic"/>
          <w:sz w:val="24"/>
          <w:szCs w:val="24"/>
        </w:rPr>
        <w:t>instrumentos de planeación, árbol de problemas y árbol de objetivos, sin embargo al momento de la evaluación la dependencia manifestó que estos no han sido desarrollados.</w:t>
      </w:r>
    </w:p>
    <w:p w14:paraId="4DE9CACA" w14:textId="77777777" w:rsidR="00A301CD" w:rsidRDefault="00A301CD" w:rsidP="00BB4C32">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Ante ello es importante mencionar que, como parte del proceso de planeación de un programa presupuestario y siguiendo la lógica establecida en la Guía para el Diseño de la Matriz de Indicadores para Resultados</w:t>
      </w:r>
      <w:r>
        <w:rPr>
          <w:rStyle w:val="Refdenotaalpie"/>
          <w:rFonts w:ascii="Century Gothic" w:hAnsi="Century Gothic"/>
          <w:sz w:val="24"/>
          <w:szCs w:val="24"/>
        </w:rPr>
        <w:footnoteReference w:id="12"/>
      </w:r>
      <w:r>
        <w:rPr>
          <w:rFonts w:ascii="Century Gothic" w:hAnsi="Century Gothic"/>
          <w:sz w:val="24"/>
          <w:szCs w:val="24"/>
        </w:rPr>
        <w:t>, publicada por la SHCP, es necesario contemplar integralmente la elaboración del Árbol de Problemas -Árbol de Objetivos -Matriz de Indicadores para lograr una mayor asertividad en cuanto al planteamiento de los objetivos que serán sometidos a medición de los resultados de dicho programa. Son, estos tres momentos en la creación y diseño de un programa fundamental, no sólo en su elaboración sino en la coherencia y correspondencia que deben mantener como parte de la estructura analítica de un programa presupuestario.</w:t>
      </w:r>
    </w:p>
    <w:p w14:paraId="1D158AAA" w14:textId="77777777" w:rsidR="00996EB1" w:rsidRDefault="00996EB1" w:rsidP="00BB4C32">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 xml:space="preserve">Es importante que la dependencia desarrolle estos instrumentos (árbol de problemas y objetivos), </w:t>
      </w:r>
      <w:r w:rsidR="00BB4C32">
        <w:rPr>
          <w:rFonts w:ascii="Century Gothic" w:hAnsi="Century Gothic"/>
          <w:sz w:val="24"/>
          <w:szCs w:val="24"/>
        </w:rPr>
        <w:t>teniendo presente que “e</w:t>
      </w:r>
      <w:r w:rsidRPr="00BB4C32">
        <w:rPr>
          <w:rFonts w:ascii="Century Gothic" w:hAnsi="Century Gothic"/>
          <w:sz w:val="24"/>
          <w:szCs w:val="24"/>
        </w:rPr>
        <w:t xml:space="preserve">l </w:t>
      </w:r>
      <w:r w:rsidRPr="00BB4C32">
        <w:rPr>
          <w:rFonts w:ascii="Century Gothic" w:hAnsi="Century Gothic"/>
          <w:b/>
          <w:sz w:val="24"/>
          <w:szCs w:val="24"/>
        </w:rPr>
        <w:t>origen de un programa se da a partir del reconocimiento</w:t>
      </w:r>
      <w:r w:rsidRPr="00BB4C32">
        <w:rPr>
          <w:rFonts w:ascii="Century Gothic" w:hAnsi="Century Gothic"/>
          <w:sz w:val="24"/>
          <w:szCs w:val="24"/>
        </w:rPr>
        <w:t xml:space="preserve">, por parte del gobierno, de la </w:t>
      </w:r>
      <w:r w:rsidRPr="00BB4C32">
        <w:rPr>
          <w:rFonts w:ascii="Century Gothic" w:hAnsi="Century Gothic"/>
          <w:b/>
          <w:sz w:val="24"/>
          <w:szCs w:val="24"/>
        </w:rPr>
        <w:t>existencia de un problema</w:t>
      </w:r>
      <w:r w:rsidRPr="00BB4C32">
        <w:rPr>
          <w:rFonts w:ascii="Century Gothic" w:hAnsi="Century Gothic"/>
          <w:sz w:val="24"/>
          <w:szCs w:val="24"/>
        </w:rPr>
        <w:t xml:space="preserve"> que juzga como público y que, por tanto, debe ser resuelto</w:t>
      </w:r>
      <w:r w:rsidR="00BB4C32">
        <w:rPr>
          <w:rFonts w:ascii="Century Gothic" w:hAnsi="Century Gothic"/>
          <w:sz w:val="24"/>
          <w:szCs w:val="24"/>
        </w:rPr>
        <w:t>” (CONEVAL, 2013)</w:t>
      </w:r>
      <w:r w:rsidRPr="00BB4C32">
        <w:rPr>
          <w:rFonts w:ascii="Century Gothic" w:hAnsi="Century Gothic"/>
          <w:sz w:val="24"/>
          <w:szCs w:val="24"/>
        </w:rPr>
        <w:t>.</w:t>
      </w:r>
    </w:p>
    <w:p w14:paraId="5E756915" w14:textId="77777777" w:rsidR="002608C0" w:rsidRDefault="002608C0" w:rsidP="00BB4C32">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Un primer paso es tener claridad cuál es la problemática que se busca atender con la intervención de la política pública</w:t>
      </w:r>
      <w:r w:rsidR="002F04D4">
        <w:rPr>
          <w:rFonts w:ascii="Century Gothic" w:hAnsi="Century Gothic"/>
          <w:sz w:val="24"/>
          <w:szCs w:val="24"/>
        </w:rPr>
        <w:t xml:space="preserve">, identificando los efectos </w:t>
      </w:r>
      <w:r>
        <w:rPr>
          <w:rFonts w:ascii="Century Gothic" w:hAnsi="Century Gothic"/>
          <w:sz w:val="24"/>
          <w:szCs w:val="24"/>
        </w:rPr>
        <w:lastRenderedPageBreak/>
        <w:t>que esto provoca y las causas que lo generen</w:t>
      </w:r>
      <w:r w:rsidR="002F04D4">
        <w:rPr>
          <w:rFonts w:ascii="Century Gothic" w:hAnsi="Century Gothic"/>
          <w:sz w:val="24"/>
          <w:szCs w:val="24"/>
        </w:rPr>
        <w:t>, a continuación se ilustra esquemáticamente pautas de cómo identificarlo</w:t>
      </w:r>
      <w:r>
        <w:rPr>
          <w:rFonts w:ascii="Century Gothic" w:hAnsi="Century Gothic"/>
          <w:sz w:val="24"/>
          <w:szCs w:val="24"/>
        </w:rPr>
        <w:t>:</w:t>
      </w:r>
    </w:p>
    <w:p w14:paraId="594D35DA" w14:textId="77777777" w:rsidR="002608C0" w:rsidRPr="002F04D4" w:rsidRDefault="003E3B3D" w:rsidP="002F04D4">
      <w:pPr>
        <w:overflowPunct w:val="0"/>
        <w:autoSpaceDE w:val="0"/>
        <w:autoSpaceDN w:val="0"/>
        <w:adjustRightInd w:val="0"/>
        <w:spacing w:after="120"/>
        <w:jc w:val="center"/>
        <w:textAlignment w:val="baseline"/>
        <w:rPr>
          <w:rFonts w:ascii="Century Gothic" w:hAnsi="Century Gothic"/>
          <w:b/>
          <w:sz w:val="24"/>
          <w:szCs w:val="24"/>
        </w:rPr>
      </w:pPr>
      <w:r>
        <w:rPr>
          <w:rFonts w:ascii="Century Gothic" w:hAnsi="Century Gothic"/>
          <w:b/>
          <w:sz w:val="24"/>
          <w:szCs w:val="24"/>
        </w:rPr>
        <w:t>Figura 2.3</w:t>
      </w:r>
      <w:r w:rsidR="002608C0" w:rsidRPr="002F04D4">
        <w:rPr>
          <w:rFonts w:ascii="Century Gothic" w:hAnsi="Century Gothic"/>
          <w:b/>
          <w:sz w:val="24"/>
          <w:szCs w:val="24"/>
        </w:rPr>
        <w:t>.</w:t>
      </w:r>
      <w:r w:rsidR="002F04D4" w:rsidRPr="002F04D4">
        <w:rPr>
          <w:rFonts w:ascii="Century Gothic" w:hAnsi="Century Gothic"/>
          <w:b/>
          <w:sz w:val="24"/>
          <w:szCs w:val="24"/>
        </w:rPr>
        <w:t xml:space="preserve"> Identificación del Problema</w:t>
      </w:r>
    </w:p>
    <w:p w14:paraId="0217C344" w14:textId="77777777" w:rsidR="002608C0" w:rsidRDefault="002F04D4" w:rsidP="002F04D4">
      <w:pPr>
        <w:overflowPunct w:val="0"/>
        <w:autoSpaceDE w:val="0"/>
        <w:autoSpaceDN w:val="0"/>
        <w:adjustRightInd w:val="0"/>
        <w:spacing w:after="240"/>
        <w:jc w:val="center"/>
        <w:textAlignment w:val="baseline"/>
        <w:rPr>
          <w:rFonts w:ascii="Century Gothic" w:hAnsi="Century Gothic"/>
          <w:sz w:val="24"/>
          <w:szCs w:val="24"/>
        </w:rPr>
      </w:pPr>
      <w:r>
        <w:rPr>
          <w:rFonts w:ascii="Century Gothic" w:hAnsi="Century Gothic"/>
          <w:noProof/>
          <w:sz w:val="24"/>
          <w:szCs w:val="24"/>
          <w:lang w:eastAsia="es-MX"/>
        </w:rPr>
        <w:drawing>
          <wp:inline distT="0" distB="0" distL="0" distR="0" wp14:anchorId="6DD618D5" wp14:editId="4983A022">
            <wp:extent cx="3268245" cy="3819525"/>
            <wp:effectExtent l="0" t="0" r="889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9787" cy="3833014"/>
                    </a:xfrm>
                    <a:prstGeom prst="rect">
                      <a:avLst/>
                    </a:prstGeom>
                    <a:noFill/>
                  </pic:spPr>
                </pic:pic>
              </a:graphicData>
            </a:graphic>
          </wp:inline>
        </w:drawing>
      </w:r>
    </w:p>
    <w:p w14:paraId="64AABDB9" w14:textId="77777777" w:rsidR="002F04D4" w:rsidRDefault="002F04D4" w:rsidP="002F04D4">
      <w:pPr>
        <w:spacing w:before="240"/>
        <w:jc w:val="both"/>
        <w:rPr>
          <w:rFonts w:ascii="Century Gothic" w:hAnsi="Century Gothic"/>
          <w:sz w:val="24"/>
          <w:szCs w:val="24"/>
        </w:rPr>
      </w:pPr>
      <w:r w:rsidRPr="004368D9">
        <w:rPr>
          <w:rFonts w:cstheme="minorHAnsi"/>
        </w:rPr>
        <w:t>Fuente:</w:t>
      </w:r>
      <w:r>
        <w:rPr>
          <w:rFonts w:cstheme="minorHAnsi"/>
        </w:rPr>
        <w:t xml:space="preserve"> Elaborado por TECSO con base a la </w:t>
      </w:r>
      <w:r>
        <w:t>Guía para la Elaboración de la Matriz de Indicadores para Resultados, 2013.</w:t>
      </w:r>
    </w:p>
    <w:p w14:paraId="053D60FE" w14:textId="77777777" w:rsidR="00511300" w:rsidRDefault="00B71D10" w:rsidP="00BB4C32">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 xml:space="preserve">Así, </w:t>
      </w:r>
      <w:r w:rsidR="00511300">
        <w:rPr>
          <w:rFonts w:ascii="Century Gothic" w:hAnsi="Century Gothic"/>
          <w:sz w:val="24"/>
          <w:szCs w:val="24"/>
        </w:rPr>
        <w:t xml:space="preserve">este apartado se </w:t>
      </w:r>
      <w:r w:rsidR="002608C0">
        <w:rPr>
          <w:rFonts w:ascii="Century Gothic" w:hAnsi="Century Gothic"/>
          <w:sz w:val="24"/>
          <w:szCs w:val="24"/>
        </w:rPr>
        <w:t>centrara en</w:t>
      </w:r>
      <w:r w:rsidR="00511300">
        <w:rPr>
          <w:rFonts w:ascii="Century Gothic" w:hAnsi="Century Gothic"/>
          <w:sz w:val="24"/>
          <w:szCs w:val="24"/>
        </w:rPr>
        <w:t xml:space="preserve"> el análisis de la MIR del programa </w:t>
      </w:r>
      <w:r w:rsidR="00226BE5">
        <w:rPr>
          <w:rFonts w:ascii="Century Gothic" w:hAnsi="Century Gothic"/>
          <w:sz w:val="24"/>
          <w:szCs w:val="24"/>
        </w:rPr>
        <w:t>presupuestario “</w:t>
      </w:r>
      <w:r w:rsidR="00226BE5" w:rsidRPr="00226BE5">
        <w:rPr>
          <w:rFonts w:ascii="Century Gothic" w:hAnsi="Century Gothic"/>
          <w:sz w:val="24"/>
          <w:szCs w:val="24"/>
        </w:rPr>
        <w:t>Infraestructura no Habitacional</w:t>
      </w:r>
      <w:r w:rsidR="00226BE5">
        <w:rPr>
          <w:rFonts w:ascii="Century Gothic" w:hAnsi="Century Gothic"/>
          <w:sz w:val="24"/>
          <w:szCs w:val="24"/>
        </w:rPr>
        <w:t>”, la cual está compuesta por Fin, Propósito, dos Componentes y 9 Actividades, (dos para el primer componente y siete para el otro).</w:t>
      </w:r>
    </w:p>
    <w:p w14:paraId="1EBEA147" w14:textId="77777777" w:rsidR="00057479" w:rsidRDefault="00057479" w:rsidP="00057479">
      <w:pPr>
        <w:tabs>
          <w:tab w:val="left" w:pos="142"/>
        </w:tabs>
        <w:spacing w:after="240"/>
        <w:ind w:right="51"/>
        <w:jc w:val="both"/>
        <w:rPr>
          <w:rFonts w:ascii="Century Gothic" w:eastAsiaTheme="majorEastAsia" w:hAnsi="Century Gothic" w:cstheme="majorBidi"/>
          <w:sz w:val="24"/>
          <w:szCs w:val="24"/>
        </w:rPr>
      </w:pPr>
      <w:r>
        <w:rPr>
          <w:rFonts w:ascii="Century Gothic" w:eastAsiaTheme="majorEastAsia" w:hAnsi="Century Gothic" w:cstheme="majorBidi"/>
          <w:sz w:val="24"/>
          <w:szCs w:val="24"/>
        </w:rPr>
        <w:t>Para poder iniciar con el análisis de la relación causal, primero se realizará el análisis de los supuestos para conocer la pertinencia de estos.</w:t>
      </w:r>
    </w:p>
    <w:p w14:paraId="123DF2B1" w14:textId="77777777" w:rsidR="00711A92" w:rsidRDefault="00711A92" w:rsidP="00057479">
      <w:pPr>
        <w:tabs>
          <w:tab w:val="left" w:pos="142"/>
        </w:tabs>
        <w:spacing w:after="240"/>
        <w:ind w:right="51"/>
        <w:jc w:val="both"/>
        <w:rPr>
          <w:rFonts w:ascii="Century Gothic" w:eastAsiaTheme="majorEastAsia" w:hAnsi="Century Gothic" w:cstheme="majorBidi"/>
          <w:sz w:val="24"/>
          <w:szCs w:val="24"/>
        </w:rPr>
      </w:pPr>
    </w:p>
    <w:p w14:paraId="6D94383B" w14:textId="77777777" w:rsidR="00967606" w:rsidRDefault="00967606" w:rsidP="00967606">
      <w:pPr>
        <w:pStyle w:val="Ttulo3"/>
        <w:spacing w:before="0" w:after="240"/>
        <w:rPr>
          <w:rFonts w:ascii="Century Gothic" w:hAnsi="Century Gothic"/>
          <w:color w:val="0E4E7A"/>
          <w:sz w:val="24"/>
        </w:rPr>
      </w:pPr>
      <w:bookmarkStart w:id="21" w:name="_Toc511859772"/>
      <w:r>
        <w:rPr>
          <w:rFonts w:ascii="Century Gothic" w:hAnsi="Century Gothic"/>
          <w:color w:val="0E4E7A"/>
          <w:sz w:val="24"/>
        </w:rPr>
        <w:t>Análisis de los supuestos</w:t>
      </w:r>
      <w:bookmarkEnd w:id="21"/>
    </w:p>
    <w:p w14:paraId="6A3E17A8" w14:textId="77777777" w:rsidR="00967606" w:rsidRDefault="009F3849" w:rsidP="00057479">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 xml:space="preserve">Es importante que al desarrollar un programa presupuestario se consideren todos aquellos riesgos que comprometan su logro, estos deben expresarse </w:t>
      </w:r>
      <w:r>
        <w:rPr>
          <w:rFonts w:ascii="Century Gothic" w:hAnsi="Century Gothic"/>
          <w:sz w:val="24"/>
          <w:szCs w:val="24"/>
        </w:rPr>
        <w:lastRenderedPageBreak/>
        <w:t xml:space="preserve">como supuestos para cada uno de los niveles de la </w:t>
      </w:r>
      <w:r w:rsidR="003156AA">
        <w:rPr>
          <w:rFonts w:ascii="Century Gothic" w:hAnsi="Century Gothic"/>
          <w:sz w:val="24"/>
          <w:szCs w:val="24"/>
        </w:rPr>
        <w:t>MIR, tal como se establece en la guía para el diseño de la MIR:</w:t>
      </w:r>
    </w:p>
    <w:p w14:paraId="6B1E7B58" w14:textId="77777777" w:rsidR="00967606" w:rsidRDefault="00057479" w:rsidP="009F3849">
      <w:pPr>
        <w:overflowPunct w:val="0"/>
        <w:autoSpaceDE w:val="0"/>
        <w:autoSpaceDN w:val="0"/>
        <w:adjustRightInd w:val="0"/>
        <w:spacing w:after="240"/>
        <w:ind w:left="284" w:right="333"/>
        <w:jc w:val="both"/>
        <w:textAlignment w:val="baseline"/>
        <w:rPr>
          <w:rFonts w:ascii="Century Gothic" w:hAnsi="Century Gothic"/>
          <w:sz w:val="24"/>
          <w:szCs w:val="24"/>
        </w:rPr>
      </w:pPr>
      <w:r w:rsidRPr="00057479">
        <w:rPr>
          <w:rFonts w:ascii="Century Gothic" w:hAnsi="Century Gothic"/>
          <w:sz w:val="24"/>
          <w:szCs w:val="24"/>
        </w:rPr>
        <w:t>Cada supuesto corresponde a un riesgo que enfrenta el programa y que está más allá del control directo de la gerencia del programa. Sólo se consideran los riesgos que tengan una probabilidad razonable de ocurrencia y que representan situaciones contingentes a solventar</w:t>
      </w:r>
      <w:r w:rsidR="009F3849">
        <w:rPr>
          <w:rFonts w:ascii="Century Gothic" w:hAnsi="Century Gothic"/>
          <w:sz w:val="24"/>
          <w:szCs w:val="24"/>
        </w:rPr>
        <w:t xml:space="preserve">. </w:t>
      </w:r>
      <w:r w:rsidR="009F3849" w:rsidRPr="00FC3293">
        <w:rPr>
          <w:rFonts w:ascii="Century Gothic" w:eastAsiaTheme="majorEastAsia" w:hAnsi="Century Gothic" w:cstheme="majorBidi"/>
          <w:sz w:val="24"/>
          <w:szCs w:val="24"/>
        </w:rPr>
        <w:t>(CONEVAL, SHCP, SFP).</w:t>
      </w:r>
    </w:p>
    <w:p w14:paraId="0B6ECDB7" w14:textId="77777777" w:rsidR="00A724B8" w:rsidRDefault="00A724B8" w:rsidP="00057479">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Así se identificó que en la MIR del Programa “</w:t>
      </w:r>
      <w:r w:rsidRPr="00226BE5">
        <w:rPr>
          <w:rFonts w:ascii="Century Gothic" w:hAnsi="Century Gothic"/>
          <w:sz w:val="24"/>
          <w:szCs w:val="24"/>
        </w:rPr>
        <w:t>Infraestructura no Habitacional</w:t>
      </w:r>
      <w:r>
        <w:rPr>
          <w:rFonts w:ascii="Century Gothic" w:hAnsi="Century Gothic"/>
          <w:sz w:val="24"/>
          <w:szCs w:val="24"/>
        </w:rPr>
        <w:t>”, se presenta el mismo supuesto en cada uno de los niveles:</w:t>
      </w:r>
      <w:r w:rsidR="00F47148">
        <w:rPr>
          <w:rFonts w:ascii="Century Gothic" w:hAnsi="Century Gothic"/>
          <w:sz w:val="24"/>
          <w:szCs w:val="24"/>
        </w:rPr>
        <w:t xml:space="preserve"> </w:t>
      </w:r>
    </w:p>
    <w:p w14:paraId="34D6AAF1" w14:textId="77777777" w:rsidR="00A724B8" w:rsidRDefault="00A724B8" w:rsidP="00A724B8">
      <w:pPr>
        <w:overflowPunct w:val="0"/>
        <w:autoSpaceDE w:val="0"/>
        <w:autoSpaceDN w:val="0"/>
        <w:adjustRightInd w:val="0"/>
        <w:spacing w:after="240"/>
        <w:ind w:left="284" w:right="333"/>
        <w:jc w:val="both"/>
        <w:textAlignment w:val="baseline"/>
        <w:rPr>
          <w:rFonts w:ascii="Century Gothic" w:hAnsi="Century Gothic"/>
          <w:sz w:val="24"/>
          <w:szCs w:val="24"/>
        </w:rPr>
      </w:pPr>
      <w:r>
        <w:rPr>
          <w:rFonts w:ascii="Century Gothic" w:hAnsi="Century Gothic"/>
          <w:sz w:val="24"/>
          <w:szCs w:val="24"/>
        </w:rPr>
        <w:t>“</w:t>
      </w:r>
      <w:r w:rsidRPr="00A724B8">
        <w:rPr>
          <w:rFonts w:ascii="Century Gothic" w:hAnsi="Century Gothic"/>
          <w:b/>
          <w:sz w:val="24"/>
          <w:szCs w:val="24"/>
        </w:rPr>
        <w:t>Contar con las autorizaciones o acuerdos correspondientes</w:t>
      </w:r>
      <w:r>
        <w:rPr>
          <w:rFonts w:ascii="Century Gothic" w:hAnsi="Century Gothic"/>
          <w:sz w:val="24"/>
          <w:szCs w:val="24"/>
        </w:rPr>
        <w:t>”.</w:t>
      </w:r>
    </w:p>
    <w:p w14:paraId="2A68A1A4" w14:textId="77777777" w:rsidR="00A724B8" w:rsidRDefault="00A724B8" w:rsidP="00057479">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 xml:space="preserve">Al analizarlo se observa </w:t>
      </w:r>
      <w:r w:rsidR="00AC0A59">
        <w:rPr>
          <w:rFonts w:ascii="Century Gothic" w:hAnsi="Century Gothic"/>
          <w:sz w:val="24"/>
          <w:szCs w:val="24"/>
        </w:rPr>
        <w:t xml:space="preserve">que este supuesto es válido </w:t>
      </w:r>
      <w:r w:rsidR="00FC552D">
        <w:rPr>
          <w:rFonts w:ascii="Century Gothic" w:hAnsi="Century Gothic"/>
          <w:sz w:val="24"/>
          <w:szCs w:val="24"/>
        </w:rPr>
        <w:t>a</w:t>
      </w:r>
      <w:r w:rsidR="00AC0A59">
        <w:rPr>
          <w:rFonts w:ascii="Century Gothic" w:hAnsi="Century Gothic"/>
          <w:sz w:val="24"/>
          <w:szCs w:val="24"/>
        </w:rPr>
        <w:t xml:space="preserve"> nivel actividad</w:t>
      </w:r>
      <w:r w:rsidR="00782D13">
        <w:rPr>
          <w:rFonts w:ascii="Century Gothic" w:hAnsi="Century Gothic"/>
          <w:sz w:val="24"/>
          <w:szCs w:val="24"/>
        </w:rPr>
        <w:t xml:space="preserve">, pues para el desarrollo de obras específicas si se puede requerir algún tipo de autorizaciones. Sin embargo en niveles superiores como componentes, propósito y fin </w:t>
      </w:r>
      <w:r>
        <w:rPr>
          <w:rFonts w:ascii="Century Gothic" w:hAnsi="Century Gothic"/>
          <w:sz w:val="24"/>
          <w:szCs w:val="24"/>
        </w:rPr>
        <w:t xml:space="preserve">este no representa un riesgo, dado que es responsabilidad de las dependencias o instituciones lograr las autorizaciones o acuerdos. Por lo que surge la recomendación de que estos supuestos se restructuren </w:t>
      </w:r>
      <w:r>
        <w:rPr>
          <w:rFonts w:ascii="Century Gothic" w:eastAsiaTheme="majorEastAsia" w:hAnsi="Century Gothic" w:cstheme="majorBidi"/>
          <w:sz w:val="24"/>
          <w:szCs w:val="24"/>
        </w:rPr>
        <w:t>conforme a lo establecido en la Guía para la construcción de la MIR, emitida por la SHCP, SFP y CONEVAL.</w:t>
      </w:r>
    </w:p>
    <w:p w14:paraId="0B0DCC00" w14:textId="77777777" w:rsidR="00967606" w:rsidRDefault="00A724B8" w:rsidP="00057479">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 xml:space="preserve">En la siguiente figura se presenta como debe ser el desarrollo y el análisis de los supuestos identificados en la MIR, </w:t>
      </w:r>
      <w:r w:rsidR="003642E6">
        <w:rPr>
          <w:rFonts w:ascii="Century Gothic" w:hAnsi="Century Gothic"/>
          <w:sz w:val="24"/>
          <w:szCs w:val="24"/>
        </w:rPr>
        <w:t>para que estos sean pertinentes:</w:t>
      </w:r>
    </w:p>
    <w:p w14:paraId="2B57D10D" w14:textId="77777777" w:rsidR="00711A92" w:rsidRDefault="00711A92" w:rsidP="00057479">
      <w:pPr>
        <w:overflowPunct w:val="0"/>
        <w:autoSpaceDE w:val="0"/>
        <w:autoSpaceDN w:val="0"/>
        <w:adjustRightInd w:val="0"/>
        <w:spacing w:after="240"/>
        <w:jc w:val="both"/>
        <w:textAlignment w:val="baseline"/>
        <w:rPr>
          <w:rFonts w:ascii="Century Gothic" w:hAnsi="Century Gothic"/>
          <w:sz w:val="24"/>
          <w:szCs w:val="24"/>
        </w:rPr>
      </w:pPr>
    </w:p>
    <w:p w14:paraId="62FBAA46" w14:textId="77777777" w:rsidR="00711A92" w:rsidRDefault="00711A92" w:rsidP="00057479">
      <w:pPr>
        <w:overflowPunct w:val="0"/>
        <w:autoSpaceDE w:val="0"/>
        <w:autoSpaceDN w:val="0"/>
        <w:adjustRightInd w:val="0"/>
        <w:spacing w:after="240"/>
        <w:jc w:val="both"/>
        <w:textAlignment w:val="baseline"/>
        <w:rPr>
          <w:rFonts w:ascii="Century Gothic" w:hAnsi="Century Gothic"/>
          <w:sz w:val="24"/>
          <w:szCs w:val="24"/>
        </w:rPr>
      </w:pPr>
    </w:p>
    <w:p w14:paraId="6BC0355D" w14:textId="77777777" w:rsidR="00711A92" w:rsidRDefault="00711A92" w:rsidP="00057479">
      <w:pPr>
        <w:overflowPunct w:val="0"/>
        <w:autoSpaceDE w:val="0"/>
        <w:autoSpaceDN w:val="0"/>
        <w:adjustRightInd w:val="0"/>
        <w:spacing w:after="240"/>
        <w:jc w:val="both"/>
        <w:textAlignment w:val="baseline"/>
        <w:rPr>
          <w:rFonts w:ascii="Century Gothic" w:hAnsi="Century Gothic"/>
          <w:sz w:val="24"/>
          <w:szCs w:val="24"/>
        </w:rPr>
      </w:pPr>
    </w:p>
    <w:p w14:paraId="47CC2D3E" w14:textId="77777777" w:rsidR="00711A92" w:rsidRDefault="00711A92" w:rsidP="00057479">
      <w:pPr>
        <w:overflowPunct w:val="0"/>
        <w:autoSpaceDE w:val="0"/>
        <w:autoSpaceDN w:val="0"/>
        <w:adjustRightInd w:val="0"/>
        <w:spacing w:after="240"/>
        <w:jc w:val="both"/>
        <w:textAlignment w:val="baseline"/>
        <w:rPr>
          <w:rFonts w:ascii="Century Gothic" w:hAnsi="Century Gothic"/>
          <w:sz w:val="24"/>
          <w:szCs w:val="24"/>
        </w:rPr>
      </w:pPr>
    </w:p>
    <w:p w14:paraId="7EF0721F" w14:textId="77777777" w:rsidR="00711A92" w:rsidRDefault="00711A92" w:rsidP="00057479">
      <w:pPr>
        <w:overflowPunct w:val="0"/>
        <w:autoSpaceDE w:val="0"/>
        <w:autoSpaceDN w:val="0"/>
        <w:adjustRightInd w:val="0"/>
        <w:spacing w:after="240"/>
        <w:jc w:val="both"/>
        <w:textAlignment w:val="baseline"/>
        <w:rPr>
          <w:rFonts w:ascii="Century Gothic" w:hAnsi="Century Gothic"/>
          <w:sz w:val="24"/>
          <w:szCs w:val="24"/>
        </w:rPr>
      </w:pPr>
    </w:p>
    <w:p w14:paraId="6956FDDB" w14:textId="77777777" w:rsidR="00711A92" w:rsidRDefault="00711A92" w:rsidP="00057479">
      <w:pPr>
        <w:overflowPunct w:val="0"/>
        <w:autoSpaceDE w:val="0"/>
        <w:autoSpaceDN w:val="0"/>
        <w:adjustRightInd w:val="0"/>
        <w:spacing w:after="240"/>
        <w:jc w:val="both"/>
        <w:textAlignment w:val="baseline"/>
        <w:rPr>
          <w:rFonts w:ascii="Century Gothic" w:hAnsi="Century Gothic"/>
          <w:sz w:val="24"/>
          <w:szCs w:val="24"/>
        </w:rPr>
      </w:pPr>
    </w:p>
    <w:p w14:paraId="4955984B" w14:textId="77777777" w:rsidR="003642E6" w:rsidRPr="00E53EBD" w:rsidRDefault="003E3B3D" w:rsidP="004368D9">
      <w:pPr>
        <w:overflowPunct w:val="0"/>
        <w:autoSpaceDE w:val="0"/>
        <w:autoSpaceDN w:val="0"/>
        <w:adjustRightInd w:val="0"/>
        <w:spacing w:after="120"/>
        <w:jc w:val="center"/>
        <w:textAlignment w:val="baseline"/>
        <w:rPr>
          <w:rFonts w:ascii="Century Gothic" w:hAnsi="Century Gothic"/>
          <w:b/>
          <w:sz w:val="24"/>
          <w:szCs w:val="24"/>
        </w:rPr>
      </w:pPr>
      <w:r>
        <w:rPr>
          <w:rFonts w:ascii="Century Gothic" w:hAnsi="Century Gothic"/>
          <w:b/>
          <w:sz w:val="24"/>
          <w:szCs w:val="24"/>
        </w:rPr>
        <w:t>Figura 2.4</w:t>
      </w:r>
      <w:r w:rsidR="00E53EBD" w:rsidRPr="00E53EBD">
        <w:rPr>
          <w:rFonts w:ascii="Century Gothic" w:hAnsi="Century Gothic"/>
          <w:b/>
          <w:sz w:val="24"/>
          <w:szCs w:val="24"/>
        </w:rPr>
        <w:t>. Análisis para incorporar un riesgo como supuesto a la MIR</w:t>
      </w:r>
    </w:p>
    <w:p w14:paraId="73C05800" w14:textId="77777777" w:rsidR="003642E6" w:rsidRDefault="006469CD" w:rsidP="00DA1007">
      <w:pPr>
        <w:overflowPunct w:val="0"/>
        <w:autoSpaceDE w:val="0"/>
        <w:autoSpaceDN w:val="0"/>
        <w:adjustRightInd w:val="0"/>
        <w:spacing w:after="120"/>
        <w:jc w:val="center"/>
        <w:textAlignment w:val="baseline"/>
        <w:rPr>
          <w:rFonts w:ascii="Century Gothic" w:hAnsi="Century Gothic"/>
          <w:sz w:val="24"/>
          <w:szCs w:val="24"/>
        </w:rPr>
      </w:pPr>
      <w:r>
        <w:rPr>
          <w:rFonts w:ascii="Century Gothic" w:hAnsi="Century Gothic"/>
          <w:noProof/>
          <w:sz w:val="24"/>
          <w:szCs w:val="24"/>
          <w:lang w:eastAsia="es-MX"/>
        </w:rPr>
        <w:lastRenderedPageBreak/>
        <w:drawing>
          <wp:inline distT="0" distB="0" distL="0" distR="0" wp14:anchorId="59A322D3" wp14:editId="627BD6C3">
            <wp:extent cx="5924550" cy="3581400"/>
            <wp:effectExtent l="0" t="0" r="0" b="0"/>
            <wp:docPr id="3157" name="Imagen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7336" cy="3583084"/>
                    </a:xfrm>
                    <a:prstGeom prst="rect">
                      <a:avLst/>
                    </a:prstGeom>
                    <a:noFill/>
                  </pic:spPr>
                </pic:pic>
              </a:graphicData>
            </a:graphic>
          </wp:inline>
        </w:drawing>
      </w:r>
    </w:p>
    <w:p w14:paraId="34FCE146" w14:textId="77777777" w:rsidR="004368D9" w:rsidRDefault="004368D9" w:rsidP="004368D9">
      <w:pPr>
        <w:spacing w:before="240"/>
        <w:jc w:val="both"/>
        <w:rPr>
          <w:rFonts w:ascii="Century Gothic" w:hAnsi="Century Gothic"/>
          <w:sz w:val="24"/>
          <w:szCs w:val="24"/>
        </w:rPr>
      </w:pPr>
      <w:r w:rsidRPr="004368D9">
        <w:rPr>
          <w:rFonts w:cstheme="minorHAnsi"/>
        </w:rPr>
        <w:t>Fuente:</w:t>
      </w:r>
      <w:r>
        <w:rPr>
          <w:rFonts w:cstheme="minorHAnsi"/>
        </w:rPr>
        <w:t xml:space="preserve"> Elaborado por TECSO con base a la Guía para el diseño de la Matriz de Indicadores para Resultados, s.a.</w:t>
      </w:r>
    </w:p>
    <w:p w14:paraId="645B1C36" w14:textId="77777777" w:rsidR="00967606" w:rsidRDefault="003719B2" w:rsidP="003719B2">
      <w:pPr>
        <w:jc w:val="both"/>
        <w:rPr>
          <w:rFonts w:ascii="Century Gothic" w:hAnsi="Century Gothic"/>
          <w:sz w:val="24"/>
          <w:szCs w:val="24"/>
        </w:rPr>
      </w:pPr>
      <w:r>
        <w:rPr>
          <w:rFonts w:ascii="Century Gothic" w:hAnsi="Century Gothic"/>
          <w:sz w:val="24"/>
          <w:szCs w:val="24"/>
        </w:rPr>
        <w:t>El contar con supuestos pertinentes en cada uno de los niveles de la MIR, puede definir el logro del programa, ya que como se menciona en la guía “d</w:t>
      </w:r>
      <w:r w:rsidRPr="003719B2">
        <w:rPr>
          <w:rFonts w:ascii="Century Gothic" w:hAnsi="Century Gothic"/>
          <w:sz w:val="24"/>
          <w:szCs w:val="24"/>
        </w:rPr>
        <w:t>ependiendo del impacto del riesgo, el programa puede demorarse, incrementar su costo,</w:t>
      </w:r>
      <w:r>
        <w:rPr>
          <w:rFonts w:ascii="Century Gothic" w:hAnsi="Century Gothic"/>
          <w:sz w:val="24"/>
          <w:szCs w:val="24"/>
        </w:rPr>
        <w:t xml:space="preserve"> </w:t>
      </w:r>
      <w:r w:rsidRPr="003719B2">
        <w:rPr>
          <w:rFonts w:ascii="Century Gothic" w:hAnsi="Century Gothic"/>
          <w:sz w:val="24"/>
          <w:szCs w:val="24"/>
        </w:rPr>
        <w:t>cumplir parcialmente sus objetivos, o puede fracasar del todo</w:t>
      </w:r>
      <w:r>
        <w:rPr>
          <w:rFonts w:ascii="Century Gothic" w:hAnsi="Century Gothic"/>
          <w:sz w:val="24"/>
          <w:szCs w:val="24"/>
        </w:rPr>
        <w:t>”. (</w:t>
      </w:r>
      <w:r w:rsidRPr="00FC3293">
        <w:rPr>
          <w:rFonts w:ascii="Century Gothic" w:eastAsiaTheme="majorEastAsia" w:hAnsi="Century Gothic" w:cstheme="majorBidi"/>
          <w:sz w:val="24"/>
          <w:szCs w:val="24"/>
        </w:rPr>
        <w:t>CONEVAL, SHCP, SFP</w:t>
      </w:r>
      <w:r>
        <w:rPr>
          <w:rFonts w:ascii="Century Gothic" w:eastAsiaTheme="majorEastAsia" w:hAnsi="Century Gothic" w:cstheme="majorBidi"/>
          <w:sz w:val="24"/>
          <w:szCs w:val="24"/>
        </w:rPr>
        <w:t>).</w:t>
      </w:r>
    </w:p>
    <w:p w14:paraId="16561F08" w14:textId="77777777" w:rsidR="0052122C" w:rsidRDefault="0052122C" w:rsidP="0052122C">
      <w:pPr>
        <w:tabs>
          <w:tab w:val="left" w:pos="142"/>
        </w:tabs>
        <w:spacing w:after="240"/>
        <w:ind w:right="51"/>
        <w:jc w:val="both"/>
        <w:rPr>
          <w:rFonts w:ascii="Century Gothic" w:eastAsiaTheme="majorEastAsia" w:hAnsi="Century Gothic" w:cstheme="majorBidi"/>
          <w:sz w:val="24"/>
          <w:szCs w:val="24"/>
        </w:rPr>
      </w:pPr>
      <w:r>
        <w:rPr>
          <w:rFonts w:ascii="Century Gothic" w:eastAsiaTheme="majorEastAsia" w:hAnsi="Century Gothic" w:cstheme="majorBidi"/>
          <w:sz w:val="24"/>
          <w:szCs w:val="24"/>
        </w:rPr>
        <w:t xml:space="preserve">Ahora bien, ya que se identificó la pertinencia de los supuestos y los elementos mínimos que deben cubrir, se analizará la relación causal entre todos los niveles de la MIR, </w:t>
      </w:r>
      <w:r w:rsidR="00AD2A79">
        <w:rPr>
          <w:rFonts w:ascii="Century Gothic" w:eastAsiaTheme="majorEastAsia" w:hAnsi="Century Gothic" w:cstheme="majorBidi"/>
          <w:sz w:val="24"/>
          <w:szCs w:val="24"/>
        </w:rPr>
        <w:t>tal como se presenta a continuación</w:t>
      </w:r>
      <w:r>
        <w:rPr>
          <w:rFonts w:ascii="Century Gothic" w:eastAsiaTheme="majorEastAsia" w:hAnsi="Century Gothic" w:cstheme="majorBidi"/>
          <w:sz w:val="24"/>
          <w:szCs w:val="24"/>
        </w:rPr>
        <w:t>.</w:t>
      </w:r>
    </w:p>
    <w:p w14:paraId="00F14077" w14:textId="77777777" w:rsidR="00967606" w:rsidRPr="00967606" w:rsidRDefault="003719B2" w:rsidP="00967606">
      <w:pPr>
        <w:pStyle w:val="Ttulo3"/>
        <w:spacing w:before="0" w:after="240"/>
        <w:rPr>
          <w:rFonts w:ascii="Century Gothic" w:hAnsi="Century Gothic"/>
          <w:color w:val="0E4E7A"/>
          <w:sz w:val="24"/>
        </w:rPr>
      </w:pPr>
      <w:bookmarkStart w:id="22" w:name="_Toc511859773"/>
      <w:r>
        <w:rPr>
          <w:rFonts w:ascii="Century Gothic" w:hAnsi="Century Gothic"/>
          <w:color w:val="0E4E7A"/>
          <w:sz w:val="24"/>
        </w:rPr>
        <w:t>Análisis d</w:t>
      </w:r>
      <w:r w:rsidR="00967606" w:rsidRPr="00967606">
        <w:rPr>
          <w:rFonts w:ascii="Century Gothic" w:hAnsi="Century Gothic"/>
          <w:color w:val="0E4E7A"/>
          <w:sz w:val="24"/>
        </w:rPr>
        <w:t>e la lógica vertical</w:t>
      </w:r>
      <w:bookmarkEnd w:id="22"/>
    </w:p>
    <w:p w14:paraId="4242BE71" w14:textId="77777777" w:rsidR="00967606" w:rsidRDefault="00967606" w:rsidP="00967606">
      <w:pPr>
        <w:tabs>
          <w:tab w:val="left" w:pos="142"/>
        </w:tabs>
        <w:spacing w:after="240"/>
        <w:ind w:right="51"/>
        <w:jc w:val="both"/>
        <w:rPr>
          <w:rFonts w:ascii="Century Gothic" w:hAnsi="Century Gothic"/>
          <w:sz w:val="24"/>
          <w:szCs w:val="24"/>
        </w:rPr>
      </w:pPr>
      <w:r w:rsidRPr="00FC3293">
        <w:rPr>
          <w:rFonts w:ascii="Century Gothic" w:eastAsiaTheme="majorEastAsia" w:hAnsi="Century Gothic" w:cstheme="majorBidi"/>
          <w:sz w:val="24"/>
          <w:szCs w:val="24"/>
        </w:rPr>
        <w:t xml:space="preserve">El análisis de la </w:t>
      </w:r>
      <w:r w:rsidRPr="00FC3293">
        <w:rPr>
          <w:rFonts w:ascii="Century Gothic" w:eastAsiaTheme="majorEastAsia" w:hAnsi="Century Gothic" w:cstheme="majorBidi"/>
          <w:b/>
          <w:sz w:val="24"/>
          <w:szCs w:val="24"/>
        </w:rPr>
        <w:t>lógica vertical</w:t>
      </w:r>
      <w:r w:rsidRPr="00FC3293">
        <w:rPr>
          <w:rFonts w:ascii="Century Gothic" w:eastAsiaTheme="majorEastAsia" w:hAnsi="Century Gothic" w:cstheme="majorBidi"/>
          <w:sz w:val="24"/>
          <w:szCs w:val="24"/>
        </w:rPr>
        <w:t xml:space="preserve"> de la MIR permite verificar la relación causa-efecto directa que existe entre los diferentes niveles de la matriz. (CONEVAL, SHCP, SFP).</w:t>
      </w:r>
    </w:p>
    <w:p w14:paraId="1590CB26" w14:textId="77777777" w:rsidR="002808CC" w:rsidRDefault="002808CC" w:rsidP="002808CC">
      <w:pPr>
        <w:spacing w:after="240"/>
        <w:jc w:val="both"/>
        <w:rPr>
          <w:rFonts w:ascii="Century Gothic" w:hAnsi="Century Gothic"/>
          <w:sz w:val="24"/>
          <w:szCs w:val="24"/>
        </w:rPr>
      </w:pPr>
      <w:r>
        <w:rPr>
          <w:rFonts w:ascii="Century Gothic" w:hAnsi="Century Gothic"/>
          <w:sz w:val="24"/>
          <w:szCs w:val="24"/>
        </w:rPr>
        <w:t xml:space="preserve">De esta manera, la lectura del análisis deberá reflejar si con la suma de las actividades, más el supuesto, se logrará producir el componente; si más el supuesto alcanzará el propósito del programa; y finalmente, si éste </w:t>
      </w:r>
      <w:r>
        <w:rPr>
          <w:rFonts w:ascii="Century Gothic" w:hAnsi="Century Gothic"/>
          <w:sz w:val="24"/>
          <w:szCs w:val="24"/>
        </w:rPr>
        <w:lastRenderedPageBreak/>
        <w:t>contribuirá al logro del fin. Por lo tanto, si se contribuye al logro del fin y los supuestos son adecuados se “garantizará la sustentabilidad de los beneficios del programa” (CONEVAL, 2011).</w:t>
      </w:r>
    </w:p>
    <w:p w14:paraId="6ECE246E" w14:textId="77777777" w:rsidR="00681427" w:rsidRDefault="00681427" w:rsidP="002808CC">
      <w:pPr>
        <w:spacing w:after="240"/>
        <w:jc w:val="both"/>
        <w:rPr>
          <w:rFonts w:ascii="Century Gothic" w:hAnsi="Century Gothic"/>
          <w:sz w:val="24"/>
          <w:szCs w:val="24"/>
        </w:rPr>
      </w:pPr>
      <w:r>
        <w:rPr>
          <w:rFonts w:ascii="Century Gothic" w:hAnsi="Century Gothic"/>
          <w:sz w:val="24"/>
          <w:szCs w:val="24"/>
        </w:rPr>
        <w:t>A continuación se ilustra los conceptos básicos a considerar dentro del análisis vertical de la MIR, establecidos por CONEVAL:</w:t>
      </w:r>
    </w:p>
    <w:p w14:paraId="75586F91" w14:textId="77777777" w:rsidR="00681427" w:rsidRPr="0039082A" w:rsidRDefault="003E3B3D" w:rsidP="0039082A">
      <w:pPr>
        <w:spacing w:after="240"/>
        <w:jc w:val="center"/>
        <w:rPr>
          <w:rFonts w:ascii="Century Gothic" w:hAnsi="Century Gothic"/>
          <w:b/>
          <w:sz w:val="24"/>
          <w:szCs w:val="24"/>
        </w:rPr>
      </w:pPr>
      <w:r>
        <w:rPr>
          <w:rFonts w:ascii="Century Gothic" w:hAnsi="Century Gothic"/>
          <w:b/>
          <w:sz w:val="24"/>
          <w:szCs w:val="24"/>
        </w:rPr>
        <w:t>Figura 2.5</w:t>
      </w:r>
      <w:r w:rsidR="0039082A" w:rsidRPr="0039082A">
        <w:rPr>
          <w:rFonts w:ascii="Century Gothic" w:hAnsi="Century Gothic"/>
          <w:b/>
          <w:sz w:val="24"/>
          <w:szCs w:val="24"/>
        </w:rPr>
        <w:t>.</w:t>
      </w:r>
      <w:r w:rsidR="0039082A">
        <w:rPr>
          <w:rFonts w:ascii="Century Gothic" w:hAnsi="Century Gothic"/>
          <w:b/>
          <w:sz w:val="24"/>
          <w:szCs w:val="24"/>
        </w:rPr>
        <w:t xml:space="preserve"> Identificación de la relación causal</w:t>
      </w:r>
    </w:p>
    <w:p w14:paraId="5CBD052F" w14:textId="77777777" w:rsidR="0039082A" w:rsidRDefault="0039082A" w:rsidP="0039082A">
      <w:pPr>
        <w:spacing w:after="120"/>
        <w:jc w:val="center"/>
        <w:rPr>
          <w:rFonts w:ascii="Century Gothic" w:hAnsi="Century Gothic"/>
          <w:sz w:val="24"/>
          <w:szCs w:val="24"/>
        </w:rPr>
      </w:pPr>
      <w:r>
        <w:rPr>
          <w:rFonts w:ascii="Century Gothic" w:hAnsi="Century Gothic"/>
          <w:noProof/>
          <w:sz w:val="24"/>
          <w:szCs w:val="24"/>
          <w:lang w:eastAsia="es-MX"/>
        </w:rPr>
        <w:drawing>
          <wp:inline distT="0" distB="0" distL="0" distR="0" wp14:anchorId="43EAD613" wp14:editId="23236B93">
            <wp:extent cx="4606577" cy="3019425"/>
            <wp:effectExtent l="0" t="0" r="3810" b="0"/>
            <wp:docPr id="3203" name="Imagen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9421" cy="3021289"/>
                    </a:xfrm>
                    <a:prstGeom prst="rect">
                      <a:avLst/>
                    </a:prstGeom>
                    <a:noFill/>
                  </pic:spPr>
                </pic:pic>
              </a:graphicData>
            </a:graphic>
          </wp:inline>
        </w:drawing>
      </w:r>
    </w:p>
    <w:p w14:paraId="5A7CD17C" w14:textId="77777777" w:rsidR="0039082A" w:rsidRDefault="0039082A" w:rsidP="0039082A">
      <w:pPr>
        <w:spacing w:before="240"/>
        <w:jc w:val="both"/>
        <w:rPr>
          <w:rFonts w:ascii="Century Gothic" w:hAnsi="Century Gothic"/>
          <w:sz w:val="24"/>
          <w:szCs w:val="24"/>
        </w:rPr>
      </w:pPr>
      <w:r w:rsidRPr="004368D9">
        <w:rPr>
          <w:rFonts w:cstheme="minorHAnsi"/>
        </w:rPr>
        <w:t>Fuente:</w:t>
      </w:r>
      <w:r>
        <w:rPr>
          <w:rFonts w:cstheme="minorHAnsi"/>
        </w:rPr>
        <w:t xml:space="preserve"> Elaborado por TECSO con base a la </w:t>
      </w:r>
      <w:r>
        <w:t>Guía para la Elaboración de la Matriz de Indicadores para Resultados, 2013.</w:t>
      </w:r>
    </w:p>
    <w:p w14:paraId="017D7418" w14:textId="77777777" w:rsidR="0039082A" w:rsidRDefault="001F6024" w:rsidP="00B71D10">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Bajo estos criterios a continuación se presenta el análisis dela relación causal entre los niveles de la MIR para el programa “Infraestructura no Habitacional”.</w:t>
      </w:r>
    </w:p>
    <w:p w14:paraId="44DB5B5D" w14:textId="77777777" w:rsidR="00B71D10" w:rsidRDefault="003142EC" w:rsidP="00B71D10">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 xml:space="preserve">Para el caso de la relación </w:t>
      </w:r>
      <w:r w:rsidR="001F6024">
        <w:rPr>
          <w:rFonts w:ascii="Century Gothic" w:hAnsi="Century Gothic"/>
          <w:sz w:val="24"/>
          <w:szCs w:val="24"/>
        </w:rPr>
        <w:t xml:space="preserve">causal </w:t>
      </w:r>
      <w:r>
        <w:rPr>
          <w:rFonts w:ascii="Century Gothic" w:hAnsi="Century Gothic"/>
          <w:sz w:val="24"/>
          <w:szCs w:val="24"/>
        </w:rPr>
        <w:t>Actividad – Componente, se identifica si las actividades son suficientes y las necesarias para el logro del componente:</w:t>
      </w:r>
    </w:p>
    <w:p w14:paraId="2E4CE3CB" w14:textId="77777777" w:rsidR="0039082A" w:rsidRDefault="0039082A" w:rsidP="00B71D10">
      <w:pPr>
        <w:overflowPunct w:val="0"/>
        <w:autoSpaceDE w:val="0"/>
        <w:autoSpaceDN w:val="0"/>
        <w:adjustRightInd w:val="0"/>
        <w:spacing w:after="240"/>
        <w:jc w:val="both"/>
        <w:textAlignment w:val="baseline"/>
        <w:rPr>
          <w:rFonts w:ascii="Century Gothic" w:hAnsi="Century Gothic"/>
          <w:sz w:val="24"/>
          <w:szCs w:val="24"/>
        </w:rPr>
      </w:pPr>
    </w:p>
    <w:p w14:paraId="56CB9BFE" w14:textId="77777777" w:rsidR="0039082A" w:rsidRDefault="0039082A" w:rsidP="00B71D10">
      <w:pPr>
        <w:overflowPunct w:val="0"/>
        <w:autoSpaceDE w:val="0"/>
        <w:autoSpaceDN w:val="0"/>
        <w:adjustRightInd w:val="0"/>
        <w:spacing w:after="240"/>
        <w:jc w:val="both"/>
        <w:textAlignment w:val="baseline"/>
        <w:rPr>
          <w:rFonts w:ascii="Century Gothic" w:hAnsi="Century Gothic"/>
          <w:sz w:val="24"/>
          <w:szCs w:val="24"/>
        </w:rPr>
      </w:pPr>
    </w:p>
    <w:p w14:paraId="5C2C306B" w14:textId="77777777" w:rsidR="0039082A" w:rsidRDefault="0039082A" w:rsidP="00B71D10">
      <w:pPr>
        <w:overflowPunct w:val="0"/>
        <w:autoSpaceDE w:val="0"/>
        <w:autoSpaceDN w:val="0"/>
        <w:adjustRightInd w:val="0"/>
        <w:spacing w:after="240"/>
        <w:jc w:val="both"/>
        <w:textAlignment w:val="baseline"/>
        <w:rPr>
          <w:rFonts w:ascii="Century Gothic" w:hAnsi="Century Gothic"/>
          <w:sz w:val="24"/>
          <w:szCs w:val="24"/>
        </w:rPr>
      </w:pPr>
    </w:p>
    <w:p w14:paraId="264A6E36" w14:textId="77777777" w:rsidR="003142EC" w:rsidRPr="00BE6042" w:rsidRDefault="003142EC" w:rsidP="004368D9">
      <w:pPr>
        <w:overflowPunct w:val="0"/>
        <w:autoSpaceDE w:val="0"/>
        <w:autoSpaceDN w:val="0"/>
        <w:adjustRightInd w:val="0"/>
        <w:spacing w:after="120"/>
        <w:jc w:val="center"/>
        <w:textAlignment w:val="baseline"/>
        <w:rPr>
          <w:rFonts w:ascii="Century Gothic" w:hAnsi="Century Gothic"/>
          <w:b/>
          <w:szCs w:val="24"/>
        </w:rPr>
      </w:pPr>
      <w:r w:rsidRPr="00BE6042">
        <w:rPr>
          <w:rFonts w:ascii="Century Gothic" w:hAnsi="Century Gothic"/>
          <w:b/>
          <w:szCs w:val="24"/>
        </w:rPr>
        <w:lastRenderedPageBreak/>
        <w:t xml:space="preserve">Figura </w:t>
      </w:r>
      <w:r w:rsidR="003E3B3D">
        <w:rPr>
          <w:rFonts w:ascii="Century Gothic" w:hAnsi="Century Gothic"/>
          <w:b/>
          <w:szCs w:val="24"/>
        </w:rPr>
        <w:t>2.6</w:t>
      </w:r>
      <w:r w:rsidRPr="00BE6042">
        <w:rPr>
          <w:rFonts w:ascii="Century Gothic" w:hAnsi="Century Gothic"/>
          <w:b/>
          <w:szCs w:val="24"/>
        </w:rPr>
        <w:t xml:space="preserve">. </w:t>
      </w:r>
      <w:r w:rsidR="00BE6042" w:rsidRPr="00BE6042">
        <w:rPr>
          <w:rFonts w:ascii="Century Gothic" w:hAnsi="Century Gothic"/>
          <w:b/>
          <w:szCs w:val="24"/>
        </w:rPr>
        <w:t>Relación causal entre las Actividades y el Componente</w:t>
      </w:r>
      <w:r w:rsidR="00BE6042">
        <w:rPr>
          <w:rFonts w:ascii="Century Gothic" w:hAnsi="Century Gothic"/>
          <w:b/>
          <w:szCs w:val="24"/>
        </w:rPr>
        <w:t>s</w:t>
      </w:r>
    </w:p>
    <w:p w14:paraId="1072D254" w14:textId="77777777" w:rsidR="00B71D10" w:rsidRDefault="00C13466" w:rsidP="004368D9">
      <w:pPr>
        <w:overflowPunct w:val="0"/>
        <w:autoSpaceDE w:val="0"/>
        <w:autoSpaceDN w:val="0"/>
        <w:adjustRightInd w:val="0"/>
        <w:spacing w:after="120"/>
        <w:jc w:val="center"/>
        <w:textAlignment w:val="baseline"/>
        <w:rPr>
          <w:rFonts w:ascii="Century Gothic" w:hAnsi="Century Gothic"/>
          <w:sz w:val="24"/>
          <w:szCs w:val="24"/>
        </w:rPr>
      </w:pPr>
      <w:r>
        <w:rPr>
          <w:rFonts w:ascii="Century Gothic" w:hAnsi="Century Gothic"/>
          <w:noProof/>
          <w:sz w:val="24"/>
          <w:szCs w:val="24"/>
          <w:lang w:eastAsia="es-MX"/>
        </w:rPr>
        <w:drawing>
          <wp:inline distT="0" distB="0" distL="0" distR="0" wp14:anchorId="20E2A39F" wp14:editId="31ABCD99">
            <wp:extent cx="5162550" cy="4000500"/>
            <wp:effectExtent l="0" t="0" r="0" b="0"/>
            <wp:docPr id="3168" name="Imagen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6298" cy="4011153"/>
                    </a:xfrm>
                    <a:prstGeom prst="rect">
                      <a:avLst/>
                    </a:prstGeom>
                    <a:noFill/>
                  </pic:spPr>
                </pic:pic>
              </a:graphicData>
            </a:graphic>
          </wp:inline>
        </w:drawing>
      </w:r>
    </w:p>
    <w:p w14:paraId="1FFBA9A6" w14:textId="77777777" w:rsidR="002808CC" w:rsidRDefault="00BE6042" w:rsidP="00B71D10">
      <w:pPr>
        <w:overflowPunct w:val="0"/>
        <w:autoSpaceDE w:val="0"/>
        <w:autoSpaceDN w:val="0"/>
        <w:adjustRightInd w:val="0"/>
        <w:spacing w:after="240"/>
        <w:jc w:val="both"/>
        <w:textAlignment w:val="baseline"/>
        <w:rPr>
          <w:rFonts w:ascii="Century Gothic" w:hAnsi="Century Gothic"/>
          <w:sz w:val="24"/>
          <w:szCs w:val="24"/>
        </w:rPr>
      </w:pPr>
      <w:r w:rsidRPr="00BE6042">
        <w:rPr>
          <w:rFonts w:ascii="Century Gothic" w:eastAsiaTheme="majorEastAsia" w:hAnsi="Century Gothic" w:cstheme="majorBidi"/>
          <w:sz w:val="16"/>
          <w:szCs w:val="16"/>
        </w:rPr>
        <w:t>Fuente: elaborado por TECSO</w:t>
      </w:r>
      <w:r w:rsidRPr="00FC3293">
        <w:rPr>
          <w:rFonts w:ascii="Century Gothic" w:eastAsiaTheme="majorEastAsia" w:hAnsi="Century Gothic" w:cstheme="majorBidi"/>
          <w:sz w:val="16"/>
          <w:szCs w:val="16"/>
        </w:rPr>
        <w:t xml:space="preserve"> con base en información de la MIR del programa</w:t>
      </w:r>
      <w:r>
        <w:rPr>
          <w:rFonts w:ascii="Century Gothic" w:eastAsiaTheme="majorEastAsia" w:hAnsi="Century Gothic" w:cstheme="majorBidi"/>
          <w:sz w:val="16"/>
          <w:szCs w:val="16"/>
        </w:rPr>
        <w:t xml:space="preserve"> Infraestructura no Habitacional.</w:t>
      </w:r>
    </w:p>
    <w:p w14:paraId="14A80393" w14:textId="77777777" w:rsidR="002808CC" w:rsidRDefault="00C42E3A" w:rsidP="00A50112">
      <w:pPr>
        <w:overflowPunct w:val="0"/>
        <w:autoSpaceDE w:val="0"/>
        <w:autoSpaceDN w:val="0"/>
        <w:adjustRightInd w:val="0"/>
        <w:spacing w:after="240"/>
        <w:jc w:val="both"/>
        <w:textAlignment w:val="baseline"/>
        <w:rPr>
          <w:rFonts w:ascii="Century Gothic" w:eastAsiaTheme="majorEastAsia" w:hAnsi="Century Gothic" w:cstheme="majorBidi"/>
          <w:sz w:val="24"/>
          <w:szCs w:val="24"/>
        </w:rPr>
      </w:pPr>
      <w:r>
        <w:rPr>
          <w:rFonts w:ascii="Century Gothic" w:hAnsi="Century Gothic"/>
          <w:sz w:val="24"/>
          <w:szCs w:val="24"/>
        </w:rPr>
        <w:t xml:space="preserve">El análisis se debe centrar en </w:t>
      </w:r>
      <w:r w:rsidRPr="00A9004A">
        <w:rPr>
          <w:rFonts w:ascii="Century Gothic" w:hAnsi="Century Gothic"/>
          <w:b/>
          <w:sz w:val="24"/>
          <w:szCs w:val="24"/>
        </w:rPr>
        <w:t>si se completan las a</w:t>
      </w:r>
      <w:r w:rsidR="00A50112" w:rsidRPr="00A9004A">
        <w:rPr>
          <w:rFonts w:ascii="Century Gothic" w:hAnsi="Century Gothic"/>
          <w:b/>
          <w:sz w:val="24"/>
          <w:szCs w:val="24"/>
        </w:rPr>
        <w:t>ctividades</w:t>
      </w:r>
      <w:r w:rsidR="00A50112" w:rsidRPr="00A50112">
        <w:rPr>
          <w:rFonts w:ascii="Century Gothic" w:hAnsi="Century Gothic"/>
          <w:sz w:val="24"/>
          <w:szCs w:val="24"/>
        </w:rPr>
        <w:t xml:space="preserve"> programadas y</w:t>
      </w:r>
      <w:r w:rsidR="00A50112">
        <w:rPr>
          <w:rFonts w:ascii="Century Gothic" w:hAnsi="Century Gothic"/>
          <w:sz w:val="24"/>
          <w:szCs w:val="24"/>
        </w:rPr>
        <w:t xml:space="preserve"> </w:t>
      </w:r>
      <w:r w:rsidR="00A50112" w:rsidRPr="00A50112">
        <w:rPr>
          <w:rFonts w:ascii="Century Gothic" w:hAnsi="Century Gothic"/>
          <w:sz w:val="24"/>
          <w:szCs w:val="24"/>
        </w:rPr>
        <w:t xml:space="preserve">se cumplen los </w:t>
      </w:r>
      <w:r>
        <w:rPr>
          <w:rFonts w:ascii="Century Gothic" w:hAnsi="Century Gothic"/>
          <w:sz w:val="24"/>
          <w:szCs w:val="24"/>
        </w:rPr>
        <w:t>s</w:t>
      </w:r>
      <w:r w:rsidR="00A50112" w:rsidRPr="00A50112">
        <w:rPr>
          <w:rFonts w:ascii="Century Gothic" w:hAnsi="Century Gothic"/>
          <w:sz w:val="24"/>
          <w:szCs w:val="24"/>
        </w:rPr>
        <w:t xml:space="preserve">upuestos asociados a éstas, </w:t>
      </w:r>
      <w:r w:rsidR="00A50112" w:rsidRPr="00A9004A">
        <w:rPr>
          <w:rFonts w:ascii="Century Gothic" w:hAnsi="Century Gothic"/>
          <w:b/>
          <w:sz w:val="24"/>
          <w:szCs w:val="24"/>
        </w:rPr>
        <w:t>se lograrán producir los Componentes</w:t>
      </w:r>
      <w:r w:rsidR="00A50112" w:rsidRPr="00A50112">
        <w:rPr>
          <w:rFonts w:ascii="Century Gothic" w:hAnsi="Century Gothic"/>
          <w:sz w:val="24"/>
          <w:szCs w:val="24"/>
        </w:rPr>
        <w:t>.</w:t>
      </w:r>
      <w:r>
        <w:rPr>
          <w:rFonts w:ascii="Century Gothic" w:hAnsi="Century Gothic"/>
          <w:sz w:val="24"/>
          <w:szCs w:val="24"/>
        </w:rPr>
        <w:t xml:space="preserve"> </w:t>
      </w:r>
      <w:r w:rsidRPr="00FC3293">
        <w:rPr>
          <w:rFonts w:ascii="Century Gothic" w:eastAsiaTheme="majorEastAsia" w:hAnsi="Century Gothic" w:cstheme="majorBidi"/>
          <w:sz w:val="24"/>
          <w:szCs w:val="24"/>
        </w:rPr>
        <w:t>(CONEVAL, SHCP, SFP).</w:t>
      </w:r>
    </w:p>
    <w:p w14:paraId="0C9DCFB5" w14:textId="77777777" w:rsidR="00C37904" w:rsidRDefault="00C42E3A" w:rsidP="00B71D10">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 xml:space="preserve">Bajo este entendido se observar que las actividades propuestas para cada uno de los componentes </w:t>
      </w:r>
      <w:r w:rsidR="004368D9">
        <w:rPr>
          <w:rFonts w:ascii="Century Gothic" w:hAnsi="Century Gothic"/>
          <w:sz w:val="24"/>
          <w:szCs w:val="24"/>
        </w:rPr>
        <w:t>no representan las acciones que se deben llevar a cabo para producir el bien o servicio a entregar, es decir los componentes, ya que estas hace referencia a cada una de las fuentes del recurso con los cuales se van a financiar las obras a realizar.</w:t>
      </w:r>
    </w:p>
    <w:p w14:paraId="1D361A2A" w14:textId="77777777" w:rsidR="00A51BC1" w:rsidRDefault="00A51BC1" w:rsidP="00B71D10">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Por lo tanto no se observa una relación causal entre actividad – componente, es decir, no hay claridad en que con el desarrollo de las actividades se logre otorgar el bien o servicio final.</w:t>
      </w:r>
    </w:p>
    <w:p w14:paraId="3F9674B5" w14:textId="77777777" w:rsidR="005A45B9" w:rsidRDefault="005A45B9" w:rsidP="00B71D10">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 xml:space="preserve">Es importante tener claridad que el fondo no comprende como tal una actividad sino que estos son la fuente u origen del recurso por medio del </w:t>
      </w:r>
      <w:r>
        <w:rPr>
          <w:rFonts w:ascii="Century Gothic" w:hAnsi="Century Gothic"/>
          <w:sz w:val="24"/>
          <w:szCs w:val="24"/>
        </w:rPr>
        <w:lastRenderedPageBreak/>
        <w:t>cual se van a financiar los diferentes programas presupuestarios que se desarrollen para atender determinada problemática.</w:t>
      </w:r>
    </w:p>
    <w:p w14:paraId="0A08071E" w14:textId="77777777" w:rsidR="004368D9" w:rsidRDefault="004368D9" w:rsidP="004368D9">
      <w:pPr>
        <w:spacing w:after="240"/>
        <w:jc w:val="both"/>
        <w:rPr>
          <w:rFonts w:ascii="Century Gothic" w:hAnsi="Century Gothic"/>
          <w:sz w:val="24"/>
          <w:szCs w:val="24"/>
        </w:rPr>
      </w:pPr>
      <w:r>
        <w:rPr>
          <w:rFonts w:ascii="Century Gothic" w:hAnsi="Century Gothic"/>
          <w:sz w:val="24"/>
          <w:szCs w:val="24"/>
        </w:rPr>
        <w:t>Ante ello se recomienda establecer las actividades sustantivas suficientes para generar el/los componentes (productos y/o servicios) tomando en cuenta la sintaxis sugerida en la guía para el diseño de la MIR. (CONEVAL, SHCP, SFP, s.a.)</w:t>
      </w:r>
    </w:p>
    <w:p w14:paraId="7105C8B0" w14:textId="77777777" w:rsidR="004368D9" w:rsidRPr="00AC1134" w:rsidRDefault="008E0DCD" w:rsidP="008E0DCD">
      <w:pPr>
        <w:spacing w:after="0" w:line="480" w:lineRule="auto"/>
        <w:jc w:val="center"/>
        <w:rPr>
          <w:rFonts w:cstheme="minorHAnsi"/>
          <w:b/>
        </w:rPr>
      </w:pPr>
      <w:r>
        <w:rPr>
          <w:noProof/>
          <w:lang w:eastAsia="es-MX"/>
        </w:rPr>
        <mc:AlternateContent>
          <mc:Choice Requires="wps">
            <w:drawing>
              <wp:anchor distT="0" distB="0" distL="114300" distR="114300" simplePos="0" relativeHeight="251707392" behindDoc="0" locked="0" layoutInCell="1" allowOverlap="1" wp14:anchorId="26FB4152" wp14:editId="1005BF5C">
                <wp:simplePos x="0" y="0"/>
                <wp:positionH relativeFrom="column">
                  <wp:posOffset>3606165</wp:posOffset>
                </wp:positionH>
                <wp:positionV relativeFrom="paragraph">
                  <wp:posOffset>231775</wp:posOffset>
                </wp:positionV>
                <wp:extent cx="1504950" cy="762000"/>
                <wp:effectExtent l="0" t="0" r="19050" b="19050"/>
                <wp:wrapNone/>
                <wp:docPr id="91" name="Rectángulo redondeado 4"/>
                <wp:cNvGraphicFramePr/>
                <a:graphic xmlns:a="http://schemas.openxmlformats.org/drawingml/2006/main">
                  <a:graphicData uri="http://schemas.microsoft.com/office/word/2010/wordprocessingShape">
                    <wps:wsp>
                      <wps:cNvSpPr/>
                      <wps:spPr>
                        <a:xfrm>
                          <a:off x="0" y="0"/>
                          <a:ext cx="1504950" cy="762000"/>
                        </a:xfrm>
                        <a:prstGeom prst="roundRect">
                          <a:avLst/>
                        </a:prstGeom>
                        <a:solidFill>
                          <a:srgbClr val="9999CC">
                            <a:lumMod val="20000"/>
                            <a:lumOff val="80000"/>
                          </a:srgbClr>
                        </a:solidFill>
                        <a:ln w="25400" cap="flat" cmpd="sng" algn="ctr">
                          <a:solidFill>
                            <a:srgbClr val="00007D">
                              <a:lumMod val="20000"/>
                              <a:lumOff val="80000"/>
                            </a:srgbClr>
                          </a:solidFill>
                          <a:prstDash val="solid"/>
                        </a:ln>
                        <a:effectLst/>
                      </wps:spPr>
                      <wps:txbx>
                        <w:txbxContent>
                          <w:p w14:paraId="0054425E" w14:textId="77777777" w:rsidR="001673F4" w:rsidRPr="00A9004A" w:rsidRDefault="001673F4" w:rsidP="004368D9">
                            <w:pPr>
                              <w:pStyle w:val="NormalWeb"/>
                              <w:spacing w:before="0" w:beforeAutospacing="0" w:after="0" w:afterAutospacing="0"/>
                              <w:jc w:val="center"/>
                              <w:rPr>
                                <w:sz w:val="22"/>
                                <w:szCs w:val="22"/>
                              </w:rPr>
                            </w:pPr>
                            <w:r w:rsidRPr="00A9004A">
                              <w:rPr>
                                <w:rFonts w:ascii="Century Gothic" w:hAnsi="Century Gothic" w:cstheme="minorBidi"/>
                                <w:b/>
                                <w:bCs/>
                                <w:color w:val="000000" w:themeColor="text1"/>
                                <w:kern w:val="24"/>
                                <w:sz w:val="22"/>
                                <w:szCs w:val="22"/>
                              </w:rPr>
                              <w:t>Complemento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B4152" id="Rectángulo redondeado 4" o:spid="_x0000_s1027" style="position:absolute;left:0;text-align:left;margin-left:283.95pt;margin-top:18.25pt;width:118.5pt;height:6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" fillcolor="#ebebf5" strokecolor="#b2b2ff" strokeweight="2pt">
                <v:textbox>
                  <w:txbxContent>
                    <w:p w14:paraId="0054425E" w14:textId="77777777" w:rsidR="001673F4" w:rsidRPr="00A9004A" w:rsidRDefault="001673F4" w:rsidP="004368D9">
                      <w:pPr>
                        <w:pStyle w:val="NormalWeb"/>
                        <w:spacing w:before="0" w:beforeAutospacing="0" w:after="0" w:afterAutospacing="0"/>
                        <w:jc w:val="center"/>
                        <w:rPr>
                          <w:sz w:val="22"/>
                          <w:szCs w:val="22"/>
                        </w:rPr>
                      </w:pPr>
                      <w:r w:rsidRPr="00A9004A">
                        <w:rPr>
                          <w:rFonts w:ascii="Century Gothic" w:hAnsi="Century Gothic" w:cstheme="minorBidi"/>
                          <w:b/>
                          <w:bCs/>
                          <w:color w:val="000000" w:themeColor="text1"/>
                          <w:kern w:val="24"/>
                          <w:sz w:val="22"/>
                          <w:szCs w:val="22"/>
                        </w:rPr>
                        <w:t>Complemento</w:t>
                      </w:r>
                    </w:p>
                  </w:txbxContent>
                </v:textbox>
              </v:roundrect>
            </w:pict>
          </mc:Fallback>
        </mc:AlternateContent>
      </w:r>
      <w:r>
        <w:rPr>
          <w:noProof/>
          <w:lang w:eastAsia="es-MX"/>
        </w:rPr>
        <mc:AlternateContent>
          <mc:Choice Requires="wps">
            <w:drawing>
              <wp:anchor distT="0" distB="0" distL="114300" distR="114300" simplePos="0" relativeHeight="251706368" behindDoc="0" locked="0" layoutInCell="1" allowOverlap="1" wp14:anchorId="478AD45C" wp14:editId="3401A025">
                <wp:simplePos x="0" y="0"/>
                <wp:positionH relativeFrom="column">
                  <wp:posOffset>1729740</wp:posOffset>
                </wp:positionH>
                <wp:positionV relativeFrom="paragraph">
                  <wp:posOffset>231775</wp:posOffset>
                </wp:positionV>
                <wp:extent cx="1504950" cy="762000"/>
                <wp:effectExtent l="0" t="0" r="19050" b="19050"/>
                <wp:wrapNone/>
                <wp:docPr id="93" name="Rectángulo redondeado 3"/>
                <wp:cNvGraphicFramePr/>
                <a:graphic xmlns:a="http://schemas.openxmlformats.org/drawingml/2006/main">
                  <a:graphicData uri="http://schemas.microsoft.com/office/word/2010/wordprocessingShape">
                    <wps:wsp>
                      <wps:cNvSpPr/>
                      <wps:spPr>
                        <a:xfrm>
                          <a:off x="0" y="0"/>
                          <a:ext cx="1504950" cy="762000"/>
                        </a:xfrm>
                        <a:prstGeom prst="roundRect">
                          <a:avLst/>
                        </a:prstGeom>
                        <a:solidFill>
                          <a:srgbClr val="9999CC">
                            <a:lumMod val="20000"/>
                            <a:lumOff val="80000"/>
                          </a:srgbClr>
                        </a:solidFill>
                        <a:ln w="25400" cap="flat" cmpd="sng" algn="ctr">
                          <a:solidFill>
                            <a:srgbClr val="00007D">
                              <a:lumMod val="20000"/>
                              <a:lumOff val="80000"/>
                            </a:srgbClr>
                          </a:solidFill>
                          <a:prstDash val="solid"/>
                        </a:ln>
                        <a:effectLst/>
                      </wps:spPr>
                      <wps:txbx>
                        <w:txbxContent>
                          <w:p w14:paraId="24F62783" w14:textId="77777777" w:rsidR="001673F4" w:rsidRPr="00A9004A" w:rsidRDefault="001673F4" w:rsidP="004368D9">
                            <w:pPr>
                              <w:pStyle w:val="NormalWeb"/>
                              <w:spacing w:before="0" w:beforeAutospacing="0" w:after="0" w:afterAutospacing="0"/>
                              <w:jc w:val="center"/>
                              <w:rPr>
                                <w:sz w:val="22"/>
                                <w:szCs w:val="22"/>
                              </w:rPr>
                            </w:pPr>
                            <w:r w:rsidRPr="00A9004A">
                              <w:rPr>
                                <w:rFonts w:ascii="Century Gothic" w:hAnsi="Century Gothic" w:cstheme="minorBidi"/>
                                <w:b/>
                                <w:bCs/>
                                <w:color w:val="000000" w:themeColor="text1"/>
                                <w:kern w:val="24"/>
                                <w:sz w:val="22"/>
                                <w:szCs w:val="22"/>
                              </w:rPr>
                              <w:t>Sustantivo derivado de un verbo</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AD45C" id="Rectángulo redondeado 3" o:spid="_x0000_s1028" style="position:absolute;left:0;text-align:left;margin-left:136.2pt;margin-top:18.25pt;width:118.5pt;height:6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" fillcolor="#ebebf5" strokecolor="#b2b2ff" strokeweight="2pt">
                <v:textbox>
                  <w:txbxContent>
                    <w:p w14:paraId="24F62783" w14:textId="77777777" w:rsidR="001673F4" w:rsidRPr="00A9004A" w:rsidRDefault="001673F4" w:rsidP="004368D9">
                      <w:pPr>
                        <w:pStyle w:val="NormalWeb"/>
                        <w:spacing w:before="0" w:beforeAutospacing="0" w:after="0" w:afterAutospacing="0"/>
                        <w:jc w:val="center"/>
                        <w:rPr>
                          <w:sz w:val="22"/>
                          <w:szCs w:val="22"/>
                        </w:rPr>
                      </w:pPr>
                      <w:r w:rsidRPr="00A9004A">
                        <w:rPr>
                          <w:rFonts w:ascii="Century Gothic" w:hAnsi="Century Gothic" w:cstheme="minorBidi"/>
                          <w:b/>
                          <w:bCs/>
                          <w:color w:val="000000" w:themeColor="text1"/>
                          <w:kern w:val="24"/>
                          <w:sz w:val="22"/>
                          <w:szCs w:val="22"/>
                        </w:rPr>
                        <w:t>Sustantivo derivado de un verbo</w:t>
                      </w:r>
                    </w:p>
                  </w:txbxContent>
                </v:textbox>
              </v:roundrect>
            </w:pict>
          </mc:Fallback>
        </mc:AlternateContent>
      </w:r>
      <w:r>
        <w:rPr>
          <w:noProof/>
          <w:lang w:eastAsia="es-MX"/>
        </w:rPr>
        <mc:AlternateContent>
          <mc:Choice Requires="wps">
            <w:drawing>
              <wp:anchor distT="0" distB="0" distL="114300" distR="114300" simplePos="0" relativeHeight="251708416" behindDoc="0" locked="0" layoutInCell="1" allowOverlap="1" wp14:anchorId="3D69734C" wp14:editId="11790BDF">
                <wp:simplePos x="0" y="0"/>
                <wp:positionH relativeFrom="column">
                  <wp:posOffset>3234690</wp:posOffset>
                </wp:positionH>
                <wp:positionV relativeFrom="paragraph">
                  <wp:posOffset>235585</wp:posOffset>
                </wp:positionV>
                <wp:extent cx="371475" cy="762000"/>
                <wp:effectExtent l="0" t="0" r="28575" b="19050"/>
                <wp:wrapNone/>
                <wp:docPr id="92" name="Rectángulo redondeado 6"/>
                <wp:cNvGraphicFramePr/>
                <a:graphic xmlns:a="http://schemas.openxmlformats.org/drawingml/2006/main">
                  <a:graphicData uri="http://schemas.microsoft.com/office/word/2010/wordprocessingShape">
                    <wps:wsp>
                      <wps:cNvSpPr/>
                      <wps:spPr>
                        <a:xfrm>
                          <a:off x="0" y="0"/>
                          <a:ext cx="371475" cy="762000"/>
                        </a:xfrm>
                        <a:prstGeom prst="roundRect">
                          <a:avLst/>
                        </a:prstGeom>
                        <a:solidFill>
                          <a:srgbClr val="9999CC">
                            <a:lumMod val="20000"/>
                            <a:lumOff val="80000"/>
                          </a:srgbClr>
                        </a:solidFill>
                        <a:ln w="25400" cap="flat" cmpd="sng" algn="ctr">
                          <a:solidFill>
                            <a:srgbClr val="00007D">
                              <a:lumMod val="20000"/>
                              <a:lumOff val="80000"/>
                            </a:srgbClr>
                          </a:solidFill>
                          <a:prstDash val="solid"/>
                        </a:ln>
                        <a:effectLst/>
                      </wps:spPr>
                      <wps:txbx>
                        <w:txbxContent>
                          <w:p w14:paraId="1F7E0FAE" w14:textId="77777777" w:rsidR="001673F4" w:rsidRPr="00AC1134" w:rsidRDefault="001673F4" w:rsidP="004368D9">
                            <w:pPr>
                              <w:pStyle w:val="NormalWeb"/>
                              <w:spacing w:before="0" w:beforeAutospacing="0" w:after="0" w:afterAutospacing="0"/>
                              <w:jc w:val="center"/>
                              <w:rPr>
                                <w:sz w:val="36"/>
                                <w:szCs w:val="16"/>
                              </w:rPr>
                            </w:pPr>
                            <w:r w:rsidRPr="00AC1134">
                              <w:rPr>
                                <w:rFonts w:ascii="Century Gothic" w:hAnsi="Century Gothic" w:cstheme="minorBidi"/>
                                <w:b/>
                                <w:bCs/>
                                <w:color w:val="000000" w:themeColor="text1"/>
                                <w:kern w:val="24"/>
                                <w:sz w:val="3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9734C" id="Rectángulo redondeado 6" o:spid="_x0000_s1029" style="position:absolute;left:0;text-align:left;margin-left:254.7pt;margin-top:18.55pt;width:29.25pt;height:6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" fillcolor="#ebebf5" strokecolor="#b2b2ff" strokeweight="2pt">
                <v:textbox>
                  <w:txbxContent>
                    <w:p w14:paraId="1F7E0FAE" w14:textId="77777777" w:rsidR="001673F4" w:rsidRPr="00AC1134" w:rsidRDefault="001673F4" w:rsidP="004368D9">
                      <w:pPr>
                        <w:pStyle w:val="NormalWeb"/>
                        <w:spacing w:before="0" w:beforeAutospacing="0" w:after="0" w:afterAutospacing="0"/>
                        <w:jc w:val="center"/>
                        <w:rPr>
                          <w:sz w:val="36"/>
                          <w:szCs w:val="16"/>
                        </w:rPr>
                      </w:pPr>
                      <w:r w:rsidRPr="00AC1134">
                        <w:rPr>
                          <w:rFonts w:ascii="Century Gothic" w:hAnsi="Century Gothic" w:cstheme="minorBidi"/>
                          <w:b/>
                          <w:bCs/>
                          <w:color w:val="000000" w:themeColor="text1"/>
                          <w:kern w:val="24"/>
                          <w:sz w:val="36"/>
                          <w:szCs w:val="16"/>
                        </w:rPr>
                        <w:t>+</w:t>
                      </w:r>
                    </w:p>
                  </w:txbxContent>
                </v:textbox>
              </v:roundrect>
            </w:pict>
          </mc:Fallback>
        </mc:AlternateContent>
      </w:r>
      <w:r>
        <w:rPr>
          <w:noProof/>
          <w:lang w:eastAsia="es-MX"/>
        </w:rPr>
        <mc:AlternateContent>
          <mc:Choice Requires="wps">
            <w:drawing>
              <wp:anchor distT="0" distB="0" distL="114300" distR="114300" simplePos="0" relativeHeight="251705344" behindDoc="0" locked="0" layoutInCell="1" allowOverlap="1" wp14:anchorId="6BC914A5" wp14:editId="1C29E558">
                <wp:simplePos x="0" y="0"/>
                <wp:positionH relativeFrom="column">
                  <wp:posOffset>358140</wp:posOffset>
                </wp:positionH>
                <wp:positionV relativeFrom="paragraph">
                  <wp:posOffset>235585</wp:posOffset>
                </wp:positionV>
                <wp:extent cx="1371600" cy="762000"/>
                <wp:effectExtent l="0" t="0" r="19050" b="19050"/>
                <wp:wrapNone/>
                <wp:docPr id="90" name="Rectángulo redondeado 2"/>
                <wp:cNvGraphicFramePr/>
                <a:graphic xmlns:a="http://schemas.openxmlformats.org/drawingml/2006/main">
                  <a:graphicData uri="http://schemas.microsoft.com/office/word/2010/wordprocessingShape">
                    <wps:wsp>
                      <wps:cNvSpPr/>
                      <wps:spPr>
                        <a:xfrm>
                          <a:off x="0" y="0"/>
                          <a:ext cx="1371600" cy="762000"/>
                        </a:xfrm>
                        <a:prstGeom prst="roundRect">
                          <a:avLst/>
                        </a:prstGeom>
                        <a:solidFill>
                          <a:srgbClr val="0E4E7A"/>
                        </a:solidFill>
                        <a:ln w="25400" cap="flat" cmpd="sng" algn="ctr">
                          <a:solidFill>
                            <a:srgbClr val="00007D">
                              <a:lumMod val="75000"/>
                            </a:srgbClr>
                          </a:solidFill>
                          <a:prstDash val="solid"/>
                        </a:ln>
                        <a:effectLst/>
                      </wps:spPr>
                      <wps:txbx>
                        <w:txbxContent>
                          <w:p w14:paraId="3959DC52" w14:textId="77777777" w:rsidR="001673F4" w:rsidRPr="00A9004A" w:rsidRDefault="001673F4" w:rsidP="004368D9">
                            <w:pPr>
                              <w:pStyle w:val="NormalWeb"/>
                              <w:spacing w:before="0" w:beforeAutospacing="0" w:after="0" w:afterAutospacing="0"/>
                              <w:jc w:val="center"/>
                              <w:rPr>
                                <w:sz w:val="22"/>
                                <w:szCs w:val="22"/>
                              </w:rPr>
                            </w:pPr>
                            <w:r w:rsidRPr="00A9004A">
                              <w:rPr>
                                <w:rFonts w:ascii="Century Gothic" w:hAnsi="Century Gothic" w:cstheme="minorBidi"/>
                                <w:b/>
                                <w:bCs/>
                                <w:color w:val="FFFFFF" w:themeColor="background1"/>
                                <w:kern w:val="24"/>
                                <w:sz w:val="22"/>
                                <w:szCs w:val="22"/>
                              </w:rPr>
                              <w:t>ACTIVIDADES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914A5" id="Rectángulo redondeado 2" o:spid="_x0000_s1030" style="position:absolute;left:0;text-align:left;margin-left:28.2pt;margin-top:18.55pt;width:108pt;height:6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" fillcolor="#0e4e7a" strokecolor="#00005e" strokeweight="2pt">
                <v:textbox>
                  <w:txbxContent>
                    <w:p w14:paraId="3959DC52" w14:textId="77777777" w:rsidR="001673F4" w:rsidRPr="00A9004A" w:rsidRDefault="001673F4" w:rsidP="004368D9">
                      <w:pPr>
                        <w:pStyle w:val="NormalWeb"/>
                        <w:spacing w:before="0" w:beforeAutospacing="0" w:after="0" w:afterAutospacing="0"/>
                        <w:jc w:val="center"/>
                        <w:rPr>
                          <w:sz w:val="22"/>
                          <w:szCs w:val="22"/>
                        </w:rPr>
                      </w:pPr>
                      <w:r w:rsidRPr="00A9004A">
                        <w:rPr>
                          <w:rFonts w:ascii="Century Gothic" w:hAnsi="Century Gothic" w:cstheme="minorBidi"/>
                          <w:b/>
                          <w:bCs/>
                          <w:color w:val="FFFFFF" w:themeColor="background1"/>
                          <w:kern w:val="24"/>
                          <w:sz w:val="22"/>
                          <w:szCs w:val="22"/>
                        </w:rPr>
                        <w:t>ACTIVIDADES</w:t>
                      </w:r>
                    </w:p>
                  </w:txbxContent>
                </v:textbox>
              </v:roundrect>
            </w:pict>
          </mc:Fallback>
        </mc:AlternateContent>
      </w:r>
      <w:r w:rsidR="003E3B3D">
        <w:rPr>
          <w:rFonts w:cstheme="minorHAnsi"/>
          <w:b/>
        </w:rPr>
        <w:t>Figura 2.7</w:t>
      </w:r>
      <w:r w:rsidR="004368D9">
        <w:rPr>
          <w:rFonts w:cstheme="minorHAnsi"/>
          <w:b/>
        </w:rPr>
        <w:t xml:space="preserve"> Sintaxis recomendado para las Actividades</w:t>
      </w:r>
    </w:p>
    <w:p w14:paraId="05F0EA06" w14:textId="77777777" w:rsidR="004368D9" w:rsidRDefault="004368D9" w:rsidP="008E0DCD">
      <w:pPr>
        <w:spacing w:after="0"/>
        <w:jc w:val="both"/>
        <w:rPr>
          <w:rFonts w:ascii="Century Gothic" w:hAnsi="Century Gothic"/>
          <w:sz w:val="24"/>
          <w:szCs w:val="24"/>
        </w:rPr>
      </w:pPr>
    </w:p>
    <w:p w14:paraId="064E92D1" w14:textId="77777777" w:rsidR="008E0DCD" w:rsidRDefault="008E0DCD" w:rsidP="008E0DCD">
      <w:pPr>
        <w:spacing w:after="0"/>
        <w:jc w:val="both"/>
        <w:rPr>
          <w:rFonts w:ascii="Century Gothic" w:hAnsi="Century Gothic"/>
          <w:sz w:val="24"/>
          <w:szCs w:val="24"/>
        </w:rPr>
      </w:pPr>
    </w:p>
    <w:p w14:paraId="0F631CF8" w14:textId="77777777" w:rsidR="008E0DCD" w:rsidRPr="008E0DCD" w:rsidRDefault="008E0DCD" w:rsidP="008E0DCD">
      <w:pPr>
        <w:spacing w:after="0"/>
        <w:jc w:val="both"/>
        <w:rPr>
          <w:rFonts w:ascii="Century Gothic" w:hAnsi="Century Gothic"/>
          <w:sz w:val="18"/>
          <w:szCs w:val="24"/>
        </w:rPr>
      </w:pPr>
    </w:p>
    <w:p w14:paraId="685AFCAE" w14:textId="77777777" w:rsidR="004368D9" w:rsidRDefault="004368D9" w:rsidP="008E0DCD">
      <w:pPr>
        <w:spacing w:after="0"/>
        <w:jc w:val="both"/>
        <w:rPr>
          <w:rFonts w:cstheme="minorHAnsi"/>
        </w:rPr>
      </w:pPr>
    </w:p>
    <w:p w14:paraId="059C8DF5" w14:textId="77777777" w:rsidR="004368D9" w:rsidRDefault="004368D9" w:rsidP="008E0DCD">
      <w:pPr>
        <w:spacing w:after="240"/>
        <w:jc w:val="both"/>
        <w:rPr>
          <w:rFonts w:ascii="Century Gothic" w:hAnsi="Century Gothic"/>
          <w:sz w:val="24"/>
          <w:szCs w:val="24"/>
        </w:rPr>
      </w:pPr>
      <w:r w:rsidRPr="004368D9">
        <w:rPr>
          <w:rFonts w:cstheme="minorHAnsi"/>
        </w:rPr>
        <w:t>Fuente:</w:t>
      </w:r>
      <w:r>
        <w:rPr>
          <w:rFonts w:cstheme="minorHAnsi"/>
        </w:rPr>
        <w:t xml:space="preserve"> Elaborado por TECSO con base a la Guía para el diseño de la Matriz de Indicadores para Resultados, s.a.</w:t>
      </w:r>
    </w:p>
    <w:p w14:paraId="61FEB550" w14:textId="77777777" w:rsidR="00AD2A79" w:rsidRDefault="00AD2A79" w:rsidP="00AD2A79">
      <w:pPr>
        <w:spacing w:after="240"/>
        <w:jc w:val="both"/>
        <w:rPr>
          <w:rFonts w:ascii="Century Gothic" w:eastAsiaTheme="majorEastAsia" w:hAnsi="Century Gothic" w:cstheme="majorBidi"/>
          <w:sz w:val="24"/>
          <w:szCs w:val="24"/>
        </w:rPr>
      </w:pPr>
      <w:r w:rsidRPr="00FC3293">
        <w:rPr>
          <w:rFonts w:ascii="Century Gothic" w:eastAsiaTheme="majorEastAsia" w:hAnsi="Century Gothic" w:cstheme="majorBidi"/>
          <w:sz w:val="24"/>
          <w:szCs w:val="24"/>
        </w:rPr>
        <w:t xml:space="preserve">En la siguiente figura se muestra la relación </w:t>
      </w:r>
      <w:r w:rsidR="00DE6DAC">
        <w:rPr>
          <w:rFonts w:ascii="Century Gothic" w:eastAsiaTheme="majorEastAsia" w:hAnsi="Century Gothic" w:cstheme="majorBidi"/>
          <w:sz w:val="24"/>
          <w:szCs w:val="24"/>
        </w:rPr>
        <w:t xml:space="preserve">causal </w:t>
      </w:r>
      <w:r w:rsidRPr="00FC3293">
        <w:rPr>
          <w:rFonts w:ascii="Century Gothic" w:eastAsiaTheme="majorEastAsia" w:hAnsi="Century Gothic" w:cstheme="majorBidi"/>
          <w:sz w:val="24"/>
          <w:szCs w:val="24"/>
        </w:rPr>
        <w:t>entre</w:t>
      </w:r>
      <w:r>
        <w:rPr>
          <w:rFonts w:ascii="Century Gothic" w:eastAsiaTheme="majorEastAsia" w:hAnsi="Century Gothic" w:cstheme="majorBidi"/>
          <w:sz w:val="24"/>
          <w:szCs w:val="24"/>
        </w:rPr>
        <w:t xml:space="preserve"> los</w:t>
      </w:r>
      <w:r w:rsidRPr="00FC3293">
        <w:rPr>
          <w:rFonts w:ascii="Century Gothic" w:eastAsiaTheme="majorEastAsia" w:hAnsi="Century Gothic" w:cstheme="majorBidi"/>
          <w:sz w:val="24"/>
          <w:szCs w:val="24"/>
        </w:rPr>
        <w:t xml:space="preserve"> componente</w:t>
      </w:r>
      <w:r>
        <w:rPr>
          <w:rFonts w:ascii="Century Gothic" w:eastAsiaTheme="majorEastAsia" w:hAnsi="Century Gothic" w:cstheme="majorBidi"/>
          <w:sz w:val="24"/>
          <w:szCs w:val="24"/>
        </w:rPr>
        <w:t>s, propósito y fin</w:t>
      </w:r>
      <w:r w:rsidRPr="00FC3293">
        <w:rPr>
          <w:rFonts w:ascii="Century Gothic" w:eastAsiaTheme="majorEastAsia" w:hAnsi="Century Gothic" w:cstheme="majorBidi"/>
          <w:sz w:val="24"/>
          <w:szCs w:val="24"/>
        </w:rPr>
        <w:t>:</w:t>
      </w:r>
    </w:p>
    <w:p w14:paraId="037E9894" w14:textId="77777777" w:rsidR="00C37904" w:rsidRPr="00BE6042" w:rsidRDefault="003E3B3D" w:rsidP="008E0DCD">
      <w:pPr>
        <w:overflowPunct w:val="0"/>
        <w:autoSpaceDE w:val="0"/>
        <w:autoSpaceDN w:val="0"/>
        <w:adjustRightInd w:val="0"/>
        <w:spacing w:after="120"/>
        <w:jc w:val="center"/>
        <w:textAlignment w:val="baseline"/>
        <w:rPr>
          <w:rFonts w:ascii="Century Gothic" w:hAnsi="Century Gothic"/>
          <w:b/>
          <w:szCs w:val="24"/>
        </w:rPr>
      </w:pPr>
      <w:r>
        <w:rPr>
          <w:rFonts w:ascii="Century Gothic" w:hAnsi="Century Gothic"/>
          <w:b/>
          <w:szCs w:val="24"/>
        </w:rPr>
        <w:t>Figura 2.8</w:t>
      </w:r>
      <w:r w:rsidR="00C37904" w:rsidRPr="00BE6042">
        <w:rPr>
          <w:rFonts w:ascii="Century Gothic" w:hAnsi="Century Gothic"/>
          <w:b/>
          <w:szCs w:val="24"/>
        </w:rPr>
        <w:t>. Relación causal entre Componente</w:t>
      </w:r>
      <w:r w:rsidR="00C37904">
        <w:rPr>
          <w:rFonts w:ascii="Century Gothic" w:hAnsi="Century Gothic"/>
          <w:b/>
          <w:szCs w:val="24"/>
        </w:rPr>
        <w:t>s</w:t>
      </w:r>
      <w:r w:rsidR="00A50112">
        <w:rPr>
          <w:rFonts w:ascii="Century Gothic" w:hAnsi="Century Gothic"/>
          <w:b/>
          <w:szCs w:val="24"/>
        </w:rPr>
        <w:t xml:space="preserve"> -</w:t>
      </w:r>
      <w:r w:rsidR="00C37904">
        <w:rPr>
          <w:rFonts w:ascii="Century Gothic" w:hAnsi="Century Gothic"/>
          <w:b/>
          <w:szCs w:val="24"/>
        </w:rPr>
        <w:t xml:space="preserve"> Propósito</w:t>
      </w:r>
      <w:r w:rsidR="00A50112">
        <w:rPr>
          <w:rFonts w:ascii="Century Gothic" w:hAnsi="Century Gothic"/>
          <w:b/>
          <w:szCs w:val="24"/>
        </w:rPr>
        <w:t xml:space="preserve"> -Fin</w:t>
      </w:r>
    </w:p>
    <w:p w14:paraId="2AB0296D" w14:textId="77777777" w:rsidR="00C37904" w:rsidRDefault="00606497" w:rsidP="008E0DCD">
      <w:pPr>
        <w:overflowPunct w:val="0"/>
        <w:autoSpaceDE w:val="0"/>
        <w:autoSpaceDN w:val="0"/>
        <w:adjustRightInd w:val="0"/>
        <w:spacing w:after="120"/>
        <w:jc w:val="center"/>
        <w:textAlignment w:val="baseline"/>
        <w:rPr>
          <w:rFonts w:ascii="Century Gothic" w:hAnsi="Century Gothic"/>
          <w:sz w:val="24"/>
          <w:szCs w:val="24"/>
        </w:rPr>
      </w:pPr>
      <w:r>
        <w:rPr>
          <w:rFonts w:ascii="Century Gothic" w:hAnsi="Century Gothic"/>
          <w:noProof/>
          <w:sz w:val="24"/>
          <w:szCs w:val="24"/>
          <w:lang w:eastAsia="es-MX"/>
        </w:rPr>
        <w:drawing>
          <wp:inline distT="0" distB="0" distL="0" distR="0" wp14:anchorId="0E502DEC" wp14:editId="34FE7F1E">
            <wp:extent cx="5559909" cy="3819525"/>
            <wp:effectExtent l="0" t="0" r="3175" b="0"/>
            <wp:docPr id="3224" name="Imagen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0752" cy="3820104"/>
                    </a:xfrm>
                    <a:prstGeom prst="rect">
                      <a:avLst/>
                    </a:prstGeom>
                    <a:noFill/>
                  </pic:spPr>
                </pic:pic>
              </a:graphicData>
            </a:graphic>
          </wp:inline>
        </w:drawing>
      </w:r>
    </w:p>
    <w:p w14:paraId="43321543" w14:textId="77777777" w:rsidR="00C37904" w:rsidRDefault="00C37904" w:rsidP="00C37904">
      <w:pPr>
        <w:overflowPunct w:val="0"/>
        <w:autoSpaceDE w:val="0"/>
        <w:autoSpaceDN w:val="0"/>
        <w:adjustRightInd w:val="0"/>
        <w:spacing w:after="240"/>
        <w:jc w:val="both"/>
        <w:textAlignment w:val="baseline"/>
        <w:rPr>
          <w:rFonts w:ascii="Century Gothic" w:hAnsi="Century Gothic"/>
          <w:sz w:val="24"/>
          <w:szCs w:val="24"/>
        </w:rPr>
      </w:pPr>
      <w:r w:rsidRPr="00BE6042">
        <w:rPr>
          <w:rFonts w:ascii="Century Gothic" w:eastAsiaTheme="majorEastAsia" w:hAnsi="Century Gothic" w:cstheme="majorBidi"/>
          <w:sz w:val="16"/>
          <w:szCs w:val="16"/>
        </w:rPr>
        <w:t>Fuente: elaborado por TECSO</w:t>
      </w:r>
      <w:r w:rsidRPr="00FC3293">
        <w:rPr>
          <w:rFonts w:ascii="Century Gothic" w:eastAsiaTheme="majorEastAsia" w:hAnsi="Century Gothic" w:cstheme="majorBidi"/>
          <w:sz w:val="16"/>
          <w:szCs w:val="16"/>
        </w:rPr>
        <w:t xml:space="preserve"> con base en información de la MIR del programa</w:t>
      </w:r>
      <w:r>
        <w:rPr>
          <w:rFonts w:ascii="Century Gothic" w:eastAsiaTheme="majorEastAsia" w:hAnsi="Century Gothic" w:cstheme="majorBidi"/>
          <w:sz w:val="16"/>
          <w:szCs w:val="16"/>
        </w:rPr>
        <w:t xml:space="preserve"> Infraestructura no Habitacional.</w:t>
      </w:r>
    </w:p>
    <w:p w14:paraId="73667CEF" w14:textId="77777777" w:rsidR="0010553A" w:rsidRDefault="0010553A" w:rsidP="0010553A">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lastRenderedPageBreak/>
        <w:t>En primer lugar se observa que los componentes no están redactados como el producto o servicio en particular que se va a entregar a la comunidad, pues al establecerse como “Obra pública directa” y Obra pública con</w:t>
      </w:r>
      <w:r w:rsidR="00092F75">
        <w:rPr>
          <w:rFonts w:ascii="Century Gothic" w:hAnsi="Century Gothic"/>
          <w:sz w:val="24"/>
          <w:szCs w:val="24"/>
        </w:rPr>
        <w:t>venida” estos son muy generales, por lo cual es importante que se identifique cuál es la finalidad del programa y en específico que tipo de infraestructura es la que se va a otorgar por medio de este, esto atendiendo lo que establece CONEVAL:</w:t>
      </w:r>
    </w:p>
    <w:p w14:paraId="3DD3D59C" w14:textId="77777777" w:rsidR="00092F75" w:rsidRPr="00092F75" w:rsidRDefault="00092F75" w:rsidP="00092F75">
      <w:pPr>
        <w:overflowPunct w:val="0"/>
        <w:autoSpaceDE w:val="0"/>
        <w:autoSpaceDN w:val="0"/>
        <w:adjustRightInd w:val="0"/>
        <w:spacing w:after="240"/>
        <w:ind w:left="284" w:right="333"/>
        <w:jc w:val="both"/>
        <w:textAlignment w:val="baseline"/>
        <w:rPr>
          <w:rFonts w:ascii="Century Gothic" w:hAnsi="Century Gothic"/>
          <w:sz w:val="24"/>
          <w:szCs w:val="24"/>
        </w:rPr>
      </w:pPr>
      <w:r w:rsidRPr="00092F75">
        <w:rPr>
          <w:rFonts w:ascii="Century Gothic" w:hAnsi="Century Gothic"/>
          <w:sz w:val="24"/>
          <w:szCs w:val="24"/>
        </w:rPr>
        <w:t xml:space="preserve">Para poder seleccionar los bienes y servicios que se van a entregar, es importante tener en cuenta </w:t>
      </w:r>
      <w:r w:rsidRPr="00092F75">
        <w:rPr>
          <w:rFonts w:ascii="Century Gothic" w:hAnsi="Century Gothic"/>
          <w:b/>
          <w:sz w:val="24"/>
          <w:szCs w:val="24"/>
        </w:rPr>
        <w:t>el marco institucional del programa</w:t>
      </w:r>
      <w:r w:rsidRPr="00092F75">
        <w:rPr>
          <w:rFonts w:ascii="Century Gothic" w:hAnsi="Century Gothic"/>
          <w:sz w:val="24"/>
          <w:szCs w:val="24"/>
        </w:rPr>
        <w:t>, ya que los medios identificados dentro de las atribuciones del programa se convertirán en los componentes de la MIR.</w:t>
      </w:r>
      <w:r>
        <w:rPr>
          <w:rFonts w:ascii="Century Gothic" w:hAnsi="Century Gothic"/>
          <w:sz w:val="24"/>
          <w:szCs w:val="24"/>
        </w:rPr>
        <w:t xml:space="preserve"> (CONEVAL, 2013).</w:t>
      </w:r>
    </w:p>
    <w:p w14:paraId="02B69406" w14:textId="77777777" w:rsidR="00092F75" w:rsidRDefault="00092F75" w:rsidP="0010553A">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 xml:space="preserve">Con esta aclaración, </w:t>
      </w:r>
      <w:r w:rsidR="00606497">
        <w:rPr>
          <w:rFonts w:ascii="Century Gothic" w:hAnsi="Century Gothic"/>
          <w:sz w:val="24"/>
          <w:szCs w:val="24"/>
        </w:rPr>
        <w:t xml:space="preserve">no </w:t>
      </w:r>
      <w:r>
        <w:rPr>
          <w:rFonts w:ascii="Century Gothic" w:hAnsi="Century Gothic"/>
          <w:sz w:val="24"/>
          <w:szCs w:val="24"/>
        </w:rPr>
        <w:t xml:space="preserve">se identifica una relación de causalidad entre componente – propósito, </w:t>
      </w:r>
      <w:r w:rsidR="00606497">
        <w:rPr>
          <w:rFonts w:ascii="Century Gothic" w:hAnsi="Century Gothic"/>
          <w:sz w:val="24"/>
          <w:szCs w:val="24"/>
        </w:rPr>
        <w:t xml:space="preserve">sino que esta es tautológica, es decir </w:t>
      </w:r>
      <w:r>
        <w:rPr>
          <w:rFonts w:ascii="Century Gothic" w:hAnsi="Century Gothic"/>
          <w:sz w:val="24"/>
          <w:szCs w:val="24"/>
        </w:rPr>
        <w:t xml:space="preserve">al otorgar obra pública a la sociedad </w:t>
      </w:r>
      <w:r w:rsidR="00606497">
        <w:rPr>
          <w:rFonts w:ascii="Century Gothic" w:hAnsi="Century Gothic"/>
          <w:sz w:val="24"/>
          <w:szCs w:val="24"/>
        </w:rPr>
        <w:t xml:space="preserve">se </w:t>
      </w:r>
      <w:r>
        <w:rPr>
          <w:rFonts w:ascii="Century Gothic" w:hAnsi="Century Gothic"/>
          <w:sz w:val="24"/>
          <w:szCs w:val="24"/>
        </w:rPr>
        <w:t xml:space="preserve">genera que </w:t>
      </w:r>
      <w:r w:rsidR="00606497">
        <w:rPr>
          <w:rFonts w:ascii="Century Gothic" w:hAnsi="Century Gothic"/>
          <w:sz w:val="24"/>
          <w:szCs w:val="24"/>
        </w:rPr>
        <w:t>la población cuente con infraestructura, esto es repetitivo.</w:t>
      </w:r>
    </w:p>
    <w:p w14:paraId="31594F32" w14:textId="77777777" w:rsidR="00C37904" w:rsidRDefault="00606497" w:rsidP="00B71D10">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 xml:space="preserve">Por otra </w:t>
      </w:r>
      <w:r w:rsidR="00E92BB0">
        <w:rPr>
          <w:rFonts w:ascii="Century Gothic" w:hAnsi="Century Gothic"/>
          <w:sz w:val="24"/>
          <w:szCs w:val="24"/>
        </w:rPr>
        <w:t>parte</w:t>
      </w:r>
      <w:r>
        <w:rPr>
          <w:rFonts w:ascii="Century Gothic" w:hAnsi="Century Gothic"/>
          <w:sz w:val="24"/>
          <w:szCs w:val="24"/>
        </w:rPr>
        <w:t xml:space="preserve">, la relación causal entre propósito – fin </w:t>
      </w:r>
      <w:r w:rsidR="00AB4217">
        <w:rPr>
          <w:rFonts w:ascii="Century Gothic" w:hAnsi="Century Gothic"/>
          <w:sz w:val="24"/>
          <w:szCs w:val="24"/>
        </w:rPr>
        <w:t xml:space="preserve">de igual forma es tautológica, </w:t>
      </w:r>
      <w:r w:rsidR="003C54AB">
        <w:rPr>
          <w:rFonts w:ascii="Century Gothic" w:hAnsi="Century Gothic"/>
          <w:sz w:val="24"/>
          <w:szCs w:val="24"/>
        </w:rPr>
        <w:t>pues al analizarla seria: “si la población cuenta con mayor y mejor infraestructura contribuye en el desarrollo de la infraestructura estatal, para que la sociedad cuente con edificaciones”.</w:t>
      </w:r>
    </w:p>
    <w:p w14:paraId="4A4000AA" w14:textId="77777777" w:rsidR="003C54AB" w:rsidRDefault="005D2021" w:rsidP="005D2021">
      <w:pPr>
        <w:spacing w:after="240"/>
        <w:jc w:val="both"/>
        <w:rPr>
          <w:rFonts w:ascii="Century Gothic" w:hAnsi="Century Gothic"/>
          <w:sz w:val="24"/>
          <w:szCs w:val="24"/>
        </w:rPr>
      </w:pPr>
      <w:r>
        <w:rPr>
          <w:rFonts w:ascii="Century Gothic" w:hAnsi="Century Gothic"/>
          <w:sz w:val="24"/>
          <w:szCs w:val="24"/>
        </w:rPr>
        <w:t>Bajo este análisis se recomienda reestructurar los componentes y que estos sean los necesarios para el logro del propósito y del fin, tomando en cuenta la sintaxis sugerida en la guía para el diseño de la MIR:</w:t>
      </w:r>
    </w:p>
    <w:p w14:paraId="14665FE3" w14:textId="77777777" w:rsidR="005D2021" w:rsidRPr="005D2021" w:rsidRDefault="005D2021" w:rsidP="005D2021">
      <w:pPr>
        <w:spacing w:after="0" w:line="240" w:lineRule="auto"/>
        <w:jc w:val="center"/>
        <w:rPr>
          <w:rFonts w:cstheme="minorHAnsi"/>
          <w:b/>
        </w:rPr>
      </w:pPr>
      <w:r>
        <w:rPr>
          <w:rFonts w:cstheme="minorHAnsi"/>
          <w:b/>
        </w:rPr>
        <w:t>Figura</w:t>
      </w:r>
      <w:r w:rsidR="00A62562">
        <w:rPr>
          <w:rFonts w:cstheme="minorHAnsi"/>
          <w:b/>
        </w:rPr>
        <w:t xml:space="preserve"> 2.9</w:t>
      </w:r>
      <w:r w:rsidRPr="005D2021">
        <w:rPr>
          <w:rFonts w:cstheme="minorHAnsi"/>
          <w:b/>
        </w:rPr>
        <w:t xml:space="preserve"> Sintaxis recomendada para la elaboración de la MIR</w:t>
      </w:r>
    </w:p>
    <w:p w14:paraId="3679510C" w14:textId="77777777" w:rsidR="005D2021" w:rsidRPr="005D2021" w:rsidRDefault="005D2021" w:rsidP="005D2021">
      <w:pPr>
        <w:spacing w:after="0" w:line="240" w:lineRule="auto"/>
        <w:jc w:val="center"/>
        <w:rPr>
          <w:rFonts w:cstheme="minorHAnsi"/>
          <w:b/>
          <w:sz w:val="12"/>
        </w:rPr>
      </w:pPr>
    </w:p>
    <w:p w14:paraId="6726FB12" w14:textId="77777777" w:rsidR="005D2021" w:rsidRPr="005D2021" w:rsidRDefault="005D2021" w:rsidP="005D2021">
      <w:pPr>
        <w:spacing w:after="0" w:line="240" w:lineRule="auto"/>
        <w:jc w:val="center"/>
        <w:rPr>
          <w:rFonts w:cstheme="minorHAnsi"/>
          <w:b/>
        </w:rPr>
      </w:pPr>
      <w:r w:rsidRPr="005D2021">
        <w:rPr>
          <w:rFonts w:cstheme="minorHAnsi"/>
          <w:b/>
          <w:noProof/>
          <w:lang w:eastAsia="es-MX"/>
        </w:rPr>
        <mc:AlternateContent>
          <mc:Choice Requires="wps">
            <w:drawing>
              <wp:anchor distT="0" distB="0" distL="114300" distR="114300" simplePos="0" relativeHeight="251724800" behindDoc="0" locked="0" layoutInCell="1" allowOverlap="1" wp14:anchorId="225F6736" wp14:editId="410736C4">
                <wp:simplePos x="0" y="0"/>
                <wp:positionH relativeFrom="column">
                  <wp:posOffset>-51435</wp:posOffset>
                </wp:positionH>
                <wp:positionV relativeFrom="paragraph">
                  <wp:posOffset>0</wp:posOffset>
                </wp:positionV>
                <wp:extent cx="1238250" cy="447675"/>
                <wp:effectExtent l="0" t="0" r="19050" b="28575"/>
                <wp:wrapNone/>
                <wp:docPr id="2" name="Rectángulo redondeado 8"/>
                <wp:cNvGraphicFramePr/>
                <a:graphic xmlns:a="http://schemas.openxmlformats.org/drawingml/2006/main">
                  <a:graphicData uri="http://schemas.microsoft.com/office/word/2010/wordprocessingShape">
                    <wps:wsp>
                      <wps:cNvSpPr/>
                      <wps:spPr>
                        <a:xfrm>
                          <a:off x="0" y="0"/>
                          <a:ext cx="1238250" cy="447675"/>
                        </a:xfrm>
                        <a:prstGeom prst="roundRect">
                          <a:avLst/>
                        </a:prstGeom>
                        <a:solidFill>
                          <a:srgbClr val="0E4E7A"/>
                        </a:solidFill>
                        <a:ln w="25400" cap="flat" cmpd="sng" algn="ctr">
                          <a:solidFill>
                            <a:srgbClr val="4F81BD"/>
                          </a:solidFill>
                          <a:prstDash val="solid"/>
                        </a:ln>
                        <a:effectLst/>
                      </wps:spPr>
                      <wps:txbx>
                        <w:txbxContent>
                          <w:p w14:paraId="30A64E58" w14:textId="77777777" w:rsidR="001673F4" w:rsidRPr="005D2021" w:rsidRDefault="001673F4" w:rsidP="005D2021">
                            <w:pPr>
                              <w:pStyle w:val="NormalWeb"/>
                              <w:spacing w:before="0" w:beforeAutospacing="0" w:after="0" w:afterAutospacing="0"/>
                              <w:jc w:val="center"/>
                              <w:rPr>
                                <w:sz w:val="22"/>
                                <w:szCs w:val="22"/>
                              </w:rPr>
                            </w:pPr>
                            <w:r w:rsidRPr="005D2021">
                              <w:rPr>
                                <w:rFonts w:ascii="Century Gothic" w:hAnsi="Century Gothic" w:cstheme="minorBidi"/>
                                <w:b/>
                                <w:bCs/>
                                <w:color w:val="FFFFFF" w:themeColor="background1"/>
                                <w:kern w:val="24"/>
                                <w:sz w:val="22"/>
                                <w:szCs w:val="22"/>
                              </w:rPr>
                              <w:t>FIN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F6736" id="Rectángulo redondeado 8" o:spid="_x0000_s1031" style="position:absolute;left:0;text-align:left;margin-left:-4.05pt;margin-top:0;width:97.5pt;height:3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" fillcolor="#0e4e7a" strokecolor="#4f81bd" strokeweight="2pt">
                <v:textbox>
                  <w:txbxContent>
                    <w:p w14:paraId="30A64E58" w14:textId="77777777" w:rsidR="001673F4" w:rsidRPr="005D2021" w:rsidRDefault="001673F4" w:rsidP="005D2021">
                      <w:pPr>
                        <w:pStyle w:val="NormalWeb"/>
                        <w:spacing w:before="0" w:beforeAutospacing="0" w:after="0" w:afterAutospacing="0"/>
                        <w:jc w:val="center"/>
                        <w:rPr>
                          <w:sz w:val="22"/>
                          <w:szCs w:val="22"/>
                        </w:rPr>
                      </w:pPr>
                      <w:r w:rsidRPr="005D2021">
                        <w:rPr>
                          <w:rFonts w:ascii="Century Gothic" w:hAnsi="Century Gothic" w:cstheme="minorBidi"/>
                          <w:b/>
                          <w:bCs/>
                          <w:color w:val="FFFFFF" w:themeColor="background1"/>
                          <w:kern w:val="24"/>
                          <w:sz w:val="22"/>
                          <w:szCs w:val="22"/>
                        </w:rPr>
                        <w:t>FIN</w:t>
                      </w:r>
                    </w:p>
                  </w:txbxContent>
                </v:textbox>
              </v:roundrect>
            </w:pict>
          </mc:Fallback>
        </mc:AlternateContent>
      </w:r>
      <w:r w:rsidRPr="005D2021">
        <w:rPr>
          <w:rFonts w:cstheme="minorHAnsi"/>
          <w:b/>
          <w:noProof/>
          <w:lang w:eastAsia="es-MX"/>
        </w:rPr>
        <mc:AlternateContent>
          <mc:Choice Requires="wps">
            <w:drawing>
              <wp:anchor distT="0" distB="0" distL="114300" distR="114300" simplePos="0" relativeHeight="251725824" behindDoc="0" locked="0" layoutInCell="1" allowOverlap="1" wp14:anchorId="4CCCE73A" wp14:editId="6BCF76BB">
                <wp:simplePos x="0" y="0"/>
                <wp:positionH relativeFrom="column">
                  <wp:posOffset>1186815</wp:posOffset>
                </wp:positionH>
                <wp:positionV relativeFrom="paragraph">
                  <wp:posOffset>-1270</wp:posOffset>
                </wp:positionV>
                <wp:extent cx="1333500" cy="447675"/>
                <wp:effectExtent l="0" t="0" r="19050" b="28575"/>
                <wp:wrapNone/>
                <wp:docPr id="3230" name="Rectángulo redondeado 25"/>
                <wp:cNvGraphicFramePr/>
                <a:graphic xmlns:a="http://schemas.openxmlformats.org/drawingml/2006/main">
                  <a:graphicData uri="http://schemas.microsoft.com/office/word/2010/wordprocessingShape">
                    <wps:wsp>
                      <wps:cNvSpPr/>
                      <wps:spPr>
                        <a:xfrm>
                          <a:off x="0" y="0"/>
                          <a:ext cx="1333500" cy="447675"/>
                        </a:xfrm>
                        <a:prstGeom prst="roundRect">
                          <a:avLst/>
                        </a:prstGeom>
                        <a:solidFill>
                          <a:srgbClr val="9999CC">
                            <a:lumMod val="20000"/>
                            <a:lumOff val="80000"/>
                          </a:srgbClr>
                        </a:solidFill>
                        <a:ln w="25400" cap="flat" cmpd="sng" algn="ctr">
                          <a:solidFill>
                            <a:srgbClr val="00007D">
                              <a:lumMod val="20000"/>
                              <a:lumOff val="80000"/>
                            </a:srgbClr>
                          </a:solidFill>
                          <a:prstDash val="solid"/>
                        </a:ln>
                        <a:effectLst/>
                      </wps:spPr>
                      <wps:txbx>
                        <w:txbxContent>
                          <w:p w14:paraId="7AEA1358" w14:textId="77777777" w:rsidR="001673F4" w:rsidRPr="00AC1134" w:rsidRDefault="001673F4" w:rsidP="005D2021">
                            <w:pPr>
                              <w:pStyle w:val="NormalWeb"/>
                              <w:spacing w:before="0" w:beforeAutospacing="0" w:after="0" w:afterAutospacing="0"/>
                              <w:jc w:val="center"/>
                              <w:rPr>
                                <w:sz w:val="18"/>
                                <w:szCs w:val="16"/>
                              </w:rPr>
                            </w:pPr>
                            <w:r>
                              <w:rPr>
                                <w:rFonts w:ascii="Century Gothic" w:hAnsi="Century Gothic" w:cstheme="minorBidi"/>
                                <w:b/>
                                <w:bCs/>
                                <w:color w:val="000000" w:themeColor="text1"/>
                                <w:kern w:val="24"/>
                                <w:sz w:val="18"/>
                                <w:szCs w:val="16"/>
                              </w:rPr>
                              <w:t>El qué</w:t>
                            </w:r>
                            <w:r w:rsidRPr="00AC1134">
                              <w:rPr>
                                <w:rFonts w:ascii="Century Gothic" w:hAnsi="Century Gothic" w:cstheme="minorBidi"/>
                                <w:b/>
                                <w:bCs/>
                                <w:color w:val="000000" w:themeColor="text1"/>
                                <w:kern w:val="24"/>
                                <w:sz w:val="18"/>
                                <w:szCs w:val="16"/>
                              </w:rPr>
                              <w:t xml:space="preserve">: </w:t>
                            </w:r>
                            <w:r>
                              <w:rPr>
                                <w:rFonts w:ascii="Century Gothic" w:hAnsi="Century Gothic" w:cstheme="minorBidi"/>
                                <w:bCs/>
                                <w:color w:val="000000" w:themeColor="text1"/>
                                <w:kern w:val="24"/>
                                <w:sz w:val="18"/>
                                <w:szCs w:val="16"/>
                              </w:rPr>
                              <w:t>Contribuir a un objetivo superior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CE73A" id="Rectángulo redondeado 25" o:spid="_x0000_s1032" style="position:absolute;left:0;text-align:left;margin-left:93.45pt;margin-top:-.1pt;width:105pt;height:3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" fillcolor="#ebebf5" strokecolor="#b2b2ff" strokeweight="2pt">
                <v:textbox>
                  <w:txbxContent>
                    <w:p w14:paraId="7AEA1358" w14:textId="77777777" w:rsidR="001673F4" w:rsidRPr="00AC1134" w:rsidRDefault="001673F4" w:rsidP="005D2021">
                      <w:pPr>
                        <w:pStyle w:val="NormalWeb"/>
                        <w:spacing w:before="0" w:beforeAutospacing="0" w:after="0" w:afterAutospacing="0"/>
                        <w:jc w:val="center"/>
                        <w:rPr>
                          <w:sz w:val="18"/>
                          <w:szCs w:val="16"/>
                        </w:rPr>
                      </w:pPr>
                      <w:r>
                        <w:rPr>
                          <w:rFonts w:ascii="Century Gothic" w:hAnsi="Century Gothic" w:cstheme="minorBidi"/>
                          <w:b/>
                          <w:bCs/>
                          <w:color w:val="000000" w:themeColor="text1"/>
                          <w:kern w:val="24"/>
                          <w:sz w:val="18"/>
                          <w:szCs w:val="16"/>
                        </w:rPr>
                        <w:t>El qué</w:t>
                      </w:r>
                      <w:r w:rsidRPr="00AC1134">
                        <w:rPr>
                          <w:rFonts w:ascii="Century Gothic" w:hAnsi="Century Gothic" w:cstheme="minorBidi"/>
                          <w:b/>
                          <w:bCs/>
                          <w:color w:val="000000" w:themeColor="text1"/>
                          <w:kern w:val="24"/>
                          <w:sz w:val="18"/>
                          <w:szCs w:val="16"/>
                        </w:rPr>
                        <w:t xml:space="preserve">: </w:t>
                      </w:r>
                      <w:r>
                        <w:rPr>
                          <w:rFonts w:ascii="Century Gothic" w:hAnsi="Century Gothic" w:cstheme="minorBidi"/>
                          <w:bCs/>
                          <w:color w:val="000000" w:themeColor="text1"/>
                          <w:kern w:val="24"/>
                          <w:sz w:val="18"/>
                          <w:szCs w:val="16"/>
                        </w:rPr>
                        <w:t>Contribuir a un objetivo superior</w:t>
                      </w:r>
                    </w:p>
                  </w:txbxContent>
                </v:textbox>
              </v:roundrect>
            </w:pict>
          </mc:Fallback>
        </mc:AlternateContent>
      </w:r>
      <w:r w:rsidRPr="005D2021">
        <w:rPr>
          <w:rFonts w:cstheme="minorHAnsi"/>
          <w:b/>
          <w:noProof/>
          <w:lang w:eastAsia="es-MX"/>
        </w:rPr>
        <mc:AlternateContent>
          <mc:Choice Requires="wps">
            <w:drawing>
              <wp:anchor distT="0" distB="0" distL="114300" distR="114300" simplePos="0" relativeHeight="251726848" behindDoc="0" locked="0" layoutInCell="1" allowOverlap="1" wp14:anchorId="110ADBE6" wp14:editId="68A2B2AF">
                <wp:simplePos x="0" y="0"/>
                <wp:positionH relativeFrom="column">
                  <wp:posOffset>2520315</wp:posOffset>
                </wp:positionH>
                <wp:positionV relativeFrom="paragraph">
                  <wp:posOffset>-1270</wp:posOffset>
                </wp:positionV>
                <wp:extent cx="304800" cy="447675"/>
                <wp:effectExtent l="0" t="0" r="19050" b="28575"/>
                <wp:wrapNone/>
                <wp:docPr id="3231" name="Rectángulo redondeado 24"/>
                <wp:cNvGraphicFramePr/>
                <a:graphic xmlns:a="http://schemas.openxmlformats.org/drawingml/2006/main">
                  <a:graphicData uri="http://schemas.microsoft.com/office/word/2010/wordprocessingShape">
                    <wps:wsp>
                      <wps:cNvSpPr/>
                      <wps:spPr>
                        <a:xfrm>
                          <a:off x="0" y="0"/>
                          <a:ext cx="304800" cy="447675"/>
                        </a:xfrm>
                        <a:prstGeom prst="roundRect">
                          <a:avLst/>
                        </a:prstGeom>
                        <a:solidFill>
                          <a:srgbClr val="9999CC">
                            <a:lumMod val="20000"/>
                            <a:lumOff val="80000"/>
                          </a:srgbClr>
                        </a:solidFill>
                        <a:ln w="25400" cap="flat" cmpd="sng" algn="ctr">
                          <a:solidFill>
                            <a:srgbClr val="00007D">
                              <a:lumMod val="20000"/>
                              <a:lumOff val="80000"/>
                            </a:srgbClr>
                          </a:solidFill>
                          <a:prstDash val="solid"/>
                        </a:ln>
                        <a:effectLst/>
                      </wps:spPr>
                      <wps:txbx>
                        <w:txbxContent>
                          <w:p w14:paraId="5666FAA5" w14:textId="77777777" w:rsidR="001673F4" w:rsidRPr="00AC1134" w:rsidRDefault="001673F4" w:rsidP="005D2021">
                            <w:pPr>
                              <w:pStyle w:val="NormalWeb"/>
                              <w:spacing w:before="0" w:beforeAutospacing="0" w:after="0" w:afterAutospacing="0"/>
                              <w:jc w:val="center"/>
                              <w:rPr>
                                <w:sz w:val="36"/>
                                <w:szCs w:val="16"/>
                              </w:rPr>
                            </w:pPr>
                            <w:r w:rsidRPr="00AC1134">
                              <w:rPr>
                                <w:rFonts w:ascii="Century Gothic" w:hAnsi="Century Gothic" w:cstheme="minorBidi"/>
                                <w:b/>
                                <w:bCs/>
                                <w:color w:val="000000" w:themeColor="text1"/>
                                <w:kern w:val="24"/>
                                <w:sz w:val="3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ADBE6" id="Rectángulo redondeado 24" o:spid="_x0000_s1033" style="position:absolute;left:0;text-align:left;margin-left:198.45pt;margin-top:-.1pt;width:24pt;height:3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" fillcolor="#ebebf5" strokecolor="#b2b2ff" strokeweight="2pt">
                <v:textbox>
                  <w:txbxContent>
                    <w:p w14:paraId="5666FAA5" w14:textId="77777777" w:rsidR="001673F4" w:rsidRPr="00AC1134" w:rsidRDefault="001673F4" w:rsidP="005D2021">
                      <w:pPr>
                        <w:pStyle w:val="NormalWeb"/>
                        <w:spacing w:before="0" w:beforeAutospacing="0" w:after="0" w:afterAutospacing="0"/>
                        <w:jc w:val="center"/>
                        <w:rPr>
                          <w:sz w:val="36"/>
                          <w:szCs w:val="16"/>
                        </w:rPr>
                      </w:pPr>
                      <w:r w:rsidRPr="00AC1134">
                        <w:rPr>
                          <w:rFonts w:ascii="Century Gothic" w:hAnsi="Century Gothic" w:cstheme="minorBidi"/>
                          <w:b/>
                          <w:bCs/>
                          <w:color w:val="000000" w:themeColor="text1"/>
                          <w:kern w:val="24"/>
                          <w:sz w:val="36"/>
                          <w:szCs w:val="16"/>
                        </w:rPr>
                        <w:t>+</w:t>
                      </w:r>
                    </w:p>
                  </w:txbxContent>
                </v:textbox>
              </v:roundrect>
            </w:pict>
          </mc:Fallback>
        </mc:AlternateContent>
      </w:r>
      <w:r w:rsidRPr="005D2021">
        <w:rPr>
          <w:rFonts w:cstheme="minorHAnsi"/>
          <w:b/>
          <w:noProof/>
          <w:lang w:eastAsia="es-MX"/>
        </w:rPr>
        <mc:AlternateContent>
          <mc:Choice Requires="wps">
            <w:drawing>
              <wp:anchor distT="0" distB="0" distL="114300" distR="114300" simplePos="0" relativeHeight="251727872" behindDoc="0" locked="0" layoutInCell="1" allowOverlap="1" wp14:anchorId="44ADE341" wp14:editId="5DF3FBDE">
                <wp:simplePos x="0" y="0"/>
                <wp:positionH relativeFrom="column">
                  <wp:posOffset>2825115</wp:posOffset>
                </wp:positionH>
                <wp:positionV relativeFrom="paragraph">
                  <wp:posOffset>-1270</wp:posOffset>
                </wp:positionV>
                <wp:extent cx="1333500" cy="447675"/>
                <wp:effectExtent l="0" t="0" r="19050" b="28575"/>
                <wp:wrapNone/>
                <wp:docPr id="3232" name="Rectángulo redondeado 3136"/>
                <wp:cNvGraphicFramePr/>
                <a:graphic xmlns:a="http://schemas.openxmlformats.org/drawingml/2006/main">
                  <a:graphicData uri="http://schemas.microsoft.com/office/word/2010/wordprocessingShape">
                    <wps:wsp>
                      <wps:cNvSpPr/>
                      <wps:spPr>
                        <a:xfrm>
                          <a:off x="0" y="0"/>
                          <a:ext cx="1333500" cy="447675"/>
                        </a:xfrm>
                        <a:prstGeom prst="roundRect">
                          <a:avLst/>
                        </a:prstGeom>
                        <a:solidFill>
                          <a:srgbClr val="9999CC">
                            <a:lumMod val="20000"/>
                            <a:lumOff val="80000"/>
                          </a:srgbClr>
                        </a:solidFill>
                        <a:ln w="25400" cap="flat" cmpd="sng" algn="ctr">
                          <a:solidFill>
                            <a:srgbClr val="00007D">
                              <a:lumMod val="20000"/>
                              <a:lumOff val="80000"/>
                            </a:srgbClr>
                          </a:solidFill>
                          <a:prstDash val="solid"/>
                        </a:ln>
                        <a:effectLst/>
                      </wps:spPr>
                      <wps:txbx>
                        <w:txbxContent>
                          <w:p w14:paraId="6DDBF4A1" w14:textId="77777777" w:rsidR="001673F4" w:rsidRPr="00AC1134" w:rsidRDefault="001673F4" w:rsidP="005D2021">
                            <w:pPr>
                              <w:pStyle w:val="NormalWeb"/>
                              <w:spacing w:before="0" w:beforeAutospacing="0" w:after="0" w:afterAutospacing="0"/>
                              <w:jc w:val="center"/>
                              <w:rPr>
                                <w:sz w:val="18"/>
                                <w:szCs w:val="16"/>
                              </w:rPr>
                            </w:pPr>
                            <w:r>
                              <w:rPr>
                                <w:rFonts w:ascii="Century Gothic" w:hAnsi="Century Gothic" w:cstheme="minorBidi"/>
                                <w:b/>
                                <w:bCs/>
                                <w:color w:val="000000" w:themeColor="text1"/>
                                <w:kern w:val="24"/>
                                <w:sz w:val="18"/>
                                <w:szCs w:val="16"/>
                              </w:rPr>
                              <w:t xml:space="preserve">Mediante / a través de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DE341" id="Rectángulo redondeado 3136" o:spid="_x0000_s1034" style="position:absolute;left:0;text-align:left;margin-left:222.45pt;margin-top:-.1pt;width:105pt;height:3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" fillcolor="#ebebf5" strokecolor="#b2b2ff" strokeweight="2pt">
                <v:textbox>
                  <w:txbxContent>
                    <w:p w14:paraId="6DDBF4A1" w14:textId="77777777" w:rsidR="001673F4" w:rsidRPr="00AC1134" w:rsidRDefault="001673F4" w:rsidP="005D2021">
                      <w:pPr>
                        <w:pStyle w:val="NormalWeb"/>
                        <w:spacing w:before="0" w:beforeAutospacing="0" w:after="0" w:afterAutospacing="0"/>
                        <w:jc w:val="center"/>
                        <w:rPr>
                          <w:sz w:val="18"/>
                          <w:szCs w:val="16"/>
                        </w:rPr>
                      </w:pPr>
                      <w:r>
                        <w:rPr>
                          <w:rFonts w:ascii="Century Gothic" w:hAnsi="Century Gothic" w:cstheme="minorBidi"/>
                          <w:b/>
                          <w:bCs/>
                          <w:color w:val="000000" w:themeColor="text1"/>
                          <w:kern w:val="24"/>
                          <w:sz w:val="18"/>
                          <w:szCs w:val="16"/>
                        </w:rPr>
                        <w:t xml:space="preserve">Mediante / a través de </w:t>
                      </w:r>
                    </w:p>
                  </w:txbxContent>
                </v:textbox>
              </v:roundrect>
            </w:pict>
          </mc:Fallback>
        </mc:AlternateContent>
      </w:r>
      <w:r w:rsidRPr="005D2021">
        <w:rPr>
          <w:rFonts w:cstheme="minorHAnsi"/>
          <w:b/>
          <w:noProof/>
          <w:lang w:eastAsia="es-MX"/>
        </w:rPr>
        <mc:AlternateContent>
          <mc:Choice Requires="wps">
            <w:drawing>
              <wp:anchor distT="0" distB="0" distL="114300" distR="114300" simplePos="0" relativeHeight="251728896" behindDoc="0" locked="0" layoutInCell="1" allowOverlap="1" wp14:anchorId="741269E2" wp14:editId="0174F512">
                <wp:simplePos x="0" y="0"/>
                <wp:positionH relativeFrom="column">
                  <wp:posOffset>4158615</wp:posOffset>
                </wp:positionH>
                <wp:positionV relativeFrom="paragraph">
                  <wp:posOffset>-1270</wp:posOffset>
                </wp:positionV>
                <wp:extent cx="304800" cy="447675"/>
                <wp:effectExtent l="0" t="0" r="19050" b="28575"/>
                <wp:wrapNone/>
                <wp:docPr id="9" name="Rectángulo redondeado 3137"/>
                <wp:cNvGraphicFramePr/>
                <a:graphic xmlns:a="http://schemas.openxmlformats.org/drawingml/2006/main">
                  <a:graphicData uri="http://schemas.microsoft.com/office/word/2010/wordprocessingShape">
                    <wps:wsp>
                      <wps:cNvSpPr/>
                      <wps:spPr>
                        <a:xfrm>
                          <a:off x="0" y="0"/>
                          <a:ext cx="304800" cy="447675"/>
                        </a:xfrm>
                        <a:prstGeom prst="roundRect">
                          <a:avLst/>
                        </a:prstGeom>
                        <a:solidFill>
                          <a:srgbClr val="9999CC">
                            <a:lumMod val="20000"/>
                            <a:lumOff val="80000"/>
                          </a:srgbClr>
                        </a:solidFill>
                        <a:ln w="25400" cap="flat" cmpd="sng" algn="ctr">
                          <a:solidFill>
                            <a:srgbClr val="00007D">
                              <a:lumMod val="20000"/>
                              <a:lumOff val="80000"/>
                            </a:srgbClr>
                          </a:solidFill>
                          <a:prstDash val="solid"/>
                        </a:ln>
                        <a:effectLst/>
                      </wps:spPr>
                      <wps:txbx>
                        <w:txbxContent>
                          <w:p w14:paraId="270D3C29" w14:textId="77777777" w:rsidR="001673F4" w:rsidRPr="00AC1134" w:rsidRDefault="001673F4" w:rsidP="005D2021">
                            <w:pPr>
                              <w:pStyle w:val="NormalWeb"/>
                              <w:spacing w:before="0" w:beforeAutospacing="0" w:after="0" w:afterAutospacing="0"/>
                              <w:jc w:val="center"/>
                              <w:rPr>
                                <w:sz w:val="36"/>
                                <w:szCs w:val="16"/>
                              </w:rPr>
                            </w:pPr>
                            <w:r w:rsidRPr="00AC1134">
                              <w:rPr>
                                <w:rFonts w:ascii="Century Gothic" w:hAnsi="Century Gothic" w:cstheme="minorBidi"/>
                                <w:b/>
                                <w:bCs/>
                                <w:color w:val="000000" w:themeColor="text1"/>
                                <w:kern w:val="24"/>
                                <w:sz w:val="3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269E2" id="Rectángulo redondeado 3137" o:spid="_x0000_s1035" style="position:absolute;left:0;text-align:left;margin-left:327.45pt;margin-top:-.1pt;width:24pt;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" fillcolor="#ebebf5" strokecolor="#b2b2ff" strokeweight="2pt">
                <v:textbox>
                  <w:txbxContent>
                    <w:p w14:paraId="270D3C29" w14:textId="77777777" w:rsidR="001673F4" w:rsidRPr="00AC1134" w:rsidRDefault="001673F4" w:rsidP="005D2021">
                      <w:pPr>
                        <w:pStyle w:val="NormalWeb"/>
                        <w:spacing w:before="0" w:beforeAutospacing="0" w:after="0" w:afterAutospacing="0"/>
                        <w:jc w:val="center"/>
                        <w:rPr>
                          <w:sz w:val="36"/>
                          <w:szCs w:val="16"/>
                        </w:rPr>
                      </w:pPr>
                      <w:r w:rsidRPr="00AC1134">
                        <w:rPr>
                          <w:rFonts w:ascii="Century Gothic" w:hAnsi="Century Gothic" w:cstheme="minorBidi"/>
                          <w:b/>
                          <w:bCs/>
                          <w:color w:val="000000" w:themeColor="text1"/>
                          <w:kern w:val="24"/>
                          <w:sz w:val="36"/>
                          <w:szCs w:val="16"/>
                        </w:rPr>
                        <w:t>+</w:t>
                      </w:r>
                    </w:p>
                  </w:txbxContent>
                </v:textbox>
              </v:roundrect>
            </w:pict>
          </mc:Fallback>
        </mc:AlternateContent>
      </w:r>
      <w:r w:rsidRPr="005D2021">
        <w:rPr>
          <w:rFonts w:cstheme="minorHAnsi"/>
          <w:b/>
          <w:noProof/>
          <w:lang w:eastAsia="es-MX"/>
        </w:rPr>
        <mc:AlternateContent>
          <mc:Choice Requires="wps">
            <w:drawing>
              <wp:anchor distT="0" distB="0" distL="114300" distR="114300" simplePos="0" relativeHeight="251729920" behindDoc="0" locked="0" layoutInCell="1" allowOverlap="1" wp14:anchorId="7EEA71A7" wp14:editId="031703C4">
                <wp:simplePos x="0" y="0"/>
                <wp:positionH relativeFrom="column">
                  <wp:posOffset>4463415</wp:posOffset>
                </wp:positionH>
                <wp:positionV relativeFrom="paragraph">
                  <wp:posOffset>-1270</wp:posOffset>
                </wp:positionV>
                <wp:extent cx="1333500" cy="447675"/>
                <wp:effectExtent l="0" t="0" r="19050" b="28575"/>
                <wp:wrapNone/>
                <wp:docPr id="32" name="Rectángulo redondeado 3138"/>
                <wp:cNvGraphicFramePr/>
                <a:graphic xmlns:a="http://schemas.openxmlformats.org/drawingml/2006/main">
                  <a:graphicData uri="http://schemas.microsoft.com/office/word/2010/wordprocessingShape">
                    <wps:wsp>
                      <wps:cNvSpPr/>
                      <wps:spPr>
                        <a:xfrm>
                          <a:off x="0" y="0"/>
                          <a:ext cx="1333500" cy="447675"/>
                        </a:xfrm>
                        <a:prstGeom prst="roundRect">
                          <a:avLst/>
                        </a:prstGeom>
                        <a:solidFill>
                          <a:srgbClr val="9999CC">
                            <a:lumMod val="20000"/>
                            <a:lumOff val="80000"/>
                          </a:srgbClr>
                        </a:solidFill>
                        <a:ln w="25400" cap="flat" cmpd="sng" algn="ctr">
                          <a:solidFill>
                            <a:srgbClr val="00007D">
                              <a:lumMod val="20000"/>
                              <a:lumOff val="80000"/>
                            </a:srgbClr>
                          </a:solidFill>
                          <a:prstDash val="solid"/>
                        </a:ln>
                        <a:effectLst/>
                      </wps:spPr>
                      <wps:txbx>
                        <w:txbxContent>
                          <w:p w14:paraId="70743984" w14:textId="77777777" w:rsidR="001673F4" w:rsidRPr="00E314DD" w:rsidRDefault="001673F4" w:rsidP="005D2021">
                            <w:pPr>
                              <w:pStyle w:val="NormalWeb"/>
                              <w:spacing w:before="0" w:beforeAutospacing="0" w:after="0" w:afterAutospacing="0"/>
                              <w:jc w:val="center"/>
                              <w:rPr>
                                <w:sz w:val="18"/>
                                <w:szCs w:val="16"/>
                              </w:rPr>
                            </w:pPr>
                            <w:r w:rsidRPr="00E835E8">
                              <w:rPr>
                                <w:rFonts w:ascii="Century Gothic" w:hAnsi="Century Gothic" w:cstheme="minorBidi"/>
                                <w:b/>
                                <w:bCs/>
                                <w:color w:val="000000" w:themeColor="text1"/>
                                <w:kern w:val="24"/>
                                <w:sz w:val="17"/>
                                <w:szCs w:val="17"/>
                              </w:rPr>
                              <w:t xml:space="preserve">El cómo: </w:t>
                            </w:r>
                            <w:r w:rsidRPr="00E835E8">
                              <w:rPr>
                                <w:rFonts w:ascii="Century Gothic" w:hAnsi="Century Gothic" w:cstheme="minorBidi"/>
                                <w:bCs/>
                                <w:color w:val="000000" w:themeColor="text1"/>
                                <w:kern w:val="24"/>
                                <w:sz w:val="17"/>
                                <w:szCs w:val="17"/>
                              </w:rPr>
                              <w:t>La solución del</w:t>
                            </w:r>
                            <w:r>
                              <w:rPr>
                                <w:rFonts w:ascii="Century Gothic" w:hAnsi="Century Gothic" w:cstheme="minorBidi"/>
                                <w:bCs/>
                                <w:color w:val="000000" w:themeColor="text1"/>
                                <w:kern w:val="24"/>
                                <w:sz w:val="18"/>
                                <w:szCs w:val="16"/>
                              </w:rPr>
                              <w:t xml:space="preserve"> problema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A71A7" id="Rectángulo redondeado 3138" o:spid="_x0000_s1036" style="position:absolute;left:0;text-align:left;margin-left:351.45pt;margin-top:-.1pt;width:105pt;height:35.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" fillcolor="#ebebf5" strokecolor="#b2b2ff" strokeweight="2pt">
                <v:textbox>
                  <w:txbxContent>
                    <w:p w14:paraId="70743984" w14:textId="77777777" w:rsidR="001673F4" w:rsidRPr="00E314DD" w:rsidRDefault="001673F4" w:rsidP="005D2021">
                      <w:pPr>
                        <w:pStyle w:val="NormalWeb"/>
                        <w:spacing w:before="0" w:beforeAutospacing="0" w:after="0" w:afterAutospacing="0"/>
                        <w:jc w:val="center"/>
                        <w:rPr>
                          <w:sz w:val="18"/>
                          <w:szCs w:val="16"/>
                        </w:rPr>
                      </w:pPr>
                      <w:r w:rsidRPr="00E835E8">
                        <w:rPr>
                          <w:rFonts w:ascii="Century Gothic" w:hAnsi="Century Gothic" w:cstheme="minorBidi"/>
                          <w:b/>
                          <w:bCs/>
                          <w:color w:val="000000" w:themeColor="text1"/>
                          <w:kern w:val="24"/>
                          <w:sz w:val="17"/>
                          <w:szCs w:val="17"/>
                        </w:rPr>
                        <w:t xml:space="preserve">El cómo: </w:t>
                      </w:r>
                      <w:r w:rsidRPr="00E835E8">
                        <w:rPr>
                          <w:rFonts w:ascii="Century Gothic" w:hAnsi="Century Gothic" w:cstheme="minorBidi"/>
                          <w:bCs/>
                          <w:color w:val="000000" w:themeColor="text1"/>
                          <w:kern w:val="24"/>
                          <w:sz w:val="17"/>
                          <w:szCs w:val="17"/>
                        </w:rPr>
                        <w:t>La solución del</w:t>
                      </w:r>
                      <w:r>
                        <w:rPr>
                          <w:rFonts w:ascii="Century Gothic" w:hAnsi="Century Gothic" w:cstheme="minorBidi"/>
                          <w:bCs/>
                          <w:color w:val="000000" w:themeColor="text1"/>
                          <w:kern w:val="24"/>
                          <w:sz w:val="18"/>
                          <w:szCs w:val="16"/>
                        </w:rPr>
                        <w:t xml:space="preserve"> problema</w:t>
                      </w:r>
                    </w:p>
                  </w:txbxContent>
                </v:textbox>
              </v:roundrect>
            </w:pict>
          </mc:Fallback>
        </mc:AlternateContent>
      </w:r>
    </w:p>
    <w:p w14:paraId="5D7AC6D7" w14:textId="77777777" w:rsidR="005D2021" w:rsidRPr="005D2021" w:rsidRDefault="005D2021" w:rsidP="005D2021">
      <w:pPr>
        <w:spacing w:after="0" w:line="240" w:lineRule="auto"/>
        <w:jc w:val="center"/>
        <w:rPr>
          <w:rFonts w:cstheme="minorHAnsi"/>
          <w:b/>
        </w:rPr>
      </w:pPr>
    </w:p>
    <w:p w14:paraId="4A2B161F" w14:textId="77777777" w:rsidR="005D2021" w:rsidRPr="005D2021" w:rsidRDefault="005D2021" w:rsidP="005D2021">
      <w:pPr>
        <w:spacing w:after="0" w:line="240" w:lineRule="auto"/>
        <w:jc w:val="center"/>
        <w:rPr>
          <w:rFonts w:cstheme="minorHAnsi"/>
          <w:b/>
        </w:rPr>
      </w:pPr>
      <w:r w:rsidRPr="005D2021">
        <w:rPr>
          <w:rFonts w:cstheme="minorHAnsi"/>
          <w:b/>
          <w:noProof/>
          <w:lang w:eastAsia="es-MX"/>
        </w:rPr>
        <mc:AlternateContent>
          <mc:Choice Requires="wps">
            <w:drawing>
              <wp:anchor distT="0" distB="0" distL="114300" distR="114300" simplePos="0" relativeHeight="251718656" behindDoc="0" locked="0" layoutInCell="1" allowOverlap="1" wp14:anchorId="24F82B08" wp14:editId="5F97878E">
                <wp:simplePos x="0" y="0"/>
                <wp:positionH relativeFrom="column">
                  <wp:posOffset>-51435</wp:posOffset>
                </wp:positionH>
                <wp:positionV relativeFrom="paragraph">
                  <wp:posOffset>135255</wp:posOffset>
                </wp:positionV>
                <wp:extent cx="1238250" cy="447675"/>
                <wp:effectExtent l="0" t="0" r="19050" b="28575"/>
                <wp:wrapNone/>
                <wp:docPr id="3233" name="Rectángulo redondeado 8"/>
                <wp:cNvGraphicFramePr/>
                <a:graphic xmlns:a="http://schemas.openxmlformats.org/drawingml/2006/main">
                  <a:graphicData uri="http://schemas.microsoft.com/office/word/2010/wordprocessingShape">
                    <wps:wsp>
                      <wps:cNvSpPr/>
                      <wps:spPr>
                        <a:xfrm>
                          <a:off x="0" y="0"/>
                          <a:ext cx="1238250" cy="447675"/>
                        </a:xfrm>
                        <a:prstGeom prst="roundRect">
                          <a:avLst/>
                        </a:prstGeom>
                        <a:solidFill>
                          <a:srgbClr val="0E4E7A"/>
                        </a:solidFill>
                        <a:ln w="25400" cap="flat" cmpd="sng" algn="ctr">
                          <a:solidFill>
                            <a:srgbClr val="4F81BD"/>
                          </a:solidFill>
                          <a:prstDash val="solid"/>
                        </a:ln>
                        <a:effectLst/>
                      </wps:spPr>
                      <wps:txbx>
                        <w:txbxContent>
                          <w:p w14:paraId="72CDA70A" w14:textId="77777777" w:rsidR="001673F4" w:rsidRPr="005D2021" w:rsidRDefault="001673F4" w:rsidP="005D2021">
                            <w:pPr>
                              <w:pStyle w:val="NormalWeb"/>
                              <w:spacing w:before="0" w:beforeAutospacing="0" w:after="0" w:afterAutospacing="0"/>
                              <w:jc w:val="center"/>
                              <w:rPr>
                                <w:sz w:val="22"/>
                                <w:szCs w:val="22"/>
                              </w:rPr>
                            </w:pPr>
                            <w:r w:rsidRPr="005D2021">
                              <w:rPr>
                                <w:rFonts w:ascii="Century Gothic" w:hAnsi="Century Gothic" w:cstheme="minorBidi"/>
                                <w:b/>
                                <w:bCs/>
                                <w:color w:val="FFFFFF" w:themeColor="background1"/>
                                <w:kern w:val="24"/>
                                <w:sz w:val="22"/>
                                <w:szCs w:val="22"/>
                              </w:rPr>
                              <w:t>PROPÓSITO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82B08" id="_x0000_s1037" style="position:absolute;left:0;text-align:left;margin-left:-4.05pt;margin-top:10.65pt;width:97.5pt;height:3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" fillcolor="#0e4e7a" strokecolor="#4f81bd" strokeweight="2pt">
                <v:textbox>
                  <w:txbxContent>
                    <w:p w14:paraId="72CDA70A" w14:textId="77777777" w:rsidR="001673F4" w:rsidRPr="005D2021" w:rsidRDefault="001673F4" w:rsidP="005D2021">
                      <w:pPr>
                        <w:pStyle w:val="NormalWeb"/>
                        <w:spacing w:before="0" w:beforeAutospacing="0" w:after="0" w:afterAutospacing="0"/>
                        <w:jc w:val="center"/>
                        <w:rPr>
                          <w:sz w:val="22"/>
                          <w:szCs w:val="22"/>
                        </w:rPr>
                      </w:pPr>
                      <w:r w:rsidRPr="005D2021">
                        <w:rPr>
                          <w:rFonts w:ascii="Century Gothic" w:hAnsi="Century Gothic" w:cstheme="minorBidi"/>
                          <w:b/>
                          <w:bCs/>
                          <w:color w:val="FFFFFF" w:themeColor="background1"/>
                          <w:kern w:val="24"/>
                          <w:sz w:val="22"/>
                          <w:szCs w:val="22"/>
                        </w:rPr>
                        <w:t>PROPÓSITO</w:t>
                      </w:r>
                    </w:p>
                  </w:txbxContent>
                </v:textbox>
              </v:roundrect>
            </w:pict>
          </mc:Fallback>
        </mc:AlternateContent>
      </w:r>
      <w:r w:rsidRPr="005D2021">
        <w:rPr>
          <w:rFonts w:cstheme="minorHAnsi"/>
          <w:b/>
          <w:noProof/>
          <w:lang w:eastAsia="es-MX"/>
        </w:rPr>
        <mc:AlternateContent>
          <mc:Choice Requires="wps">
            <w:drawing>
              <wp:anchor distT="0" distB="0" distL="114300" distR="114300" simplePos="0" relativeHeight="251719680" behindDoc="0" locked="0" layoutInCell="1" allowOverlap="1" wp14:anchorId="53384586" wp14:editId="30D017F2">
                <wp:simplePos x="0" y="0"/>
                <wp:positionH relativeFrom="column">
                  <wp:posOffset>1186815</wp:posOffset>
                </wp:positionH>
                <wp:positionV relativeFrom="paragraph">
                  <wp:posOffset>133985</wp:posOffset>
                </wp:positionV>
                <wp:extent cx="1333500" cy="447675"/>
                <wp:effectExtent l="0" t="0" r="19050" b="28575"/>
                <wp:wrapNone/>
                <wp:docPr id="25" name="Rectángulo redondeado 25"/>
                <wp:cNvGraphicFramePr/>
                <a:graphic xmlns:a="http://schemas.openxmlformats.org/drawingml/2006/main">
                  <a:graphicData uri="http://schemas.microsoft.com/office/word/2010/wordprocessingShape">
                    <wps:wsp>
                      <wps:cNvSpPr/>
                      <wps:spPr>
                        <a:xfrm>
                          <a:off x="0" y="0"/>
                          <a:ext cx="1333500" cy="447675"/>
                        </a:xfrm>
                        <a:prstGeom prst="roundRect">
                          <a:avLst/>
                        </a:prstGeom>
                        <a:solidFill>
                          <a:srgbClr val="9999CC">
                            <a:lumMod val="20000"/>
                            <a:lumOff val="80000"/>
                          </a:srgbClr>
                        </a:solidFill>
                        <a:ln w="25400" cap="flat" cmpd="sng" algn="ctr">
                          <a:solidFill>
                            <a:srgbClr val="00007D">
                              <a:lumMod val="20000"/>
                              <a:lumOff val="80000"/>
                            </a:srgbClr>
                          </a:solidFill>
                          <a:prstDash val="solid"/>
                        </a:ln>
                        <a:effectLst/>
                      </wps:spPr>
                      <wps:txbx>
                        <w:txbxContent>
                          <w:p w14:paraId="241467D6" w14:textId="77777777" w:rsidR="001673F4" w:rsidRPr="00AC1134" w:rsidRDefault="001673F4" w:rsidP="005D2021">
                            <w:pPr>
                              <w:pStyle w:val="NormalWeb"/>
                              <w:spacing w:before="0" w:beforeAutospacing="0" w:after="0" w:afterAutospacing="0"/>
                              <w:jc w:val="center"/>
                              <w:rPr>
                                <w:sz w:val="18"/>
                                <w:szCs w:val="16"/>
                              </w:rPr>
                            </w:pPr>
                            <w:r w:rsidRPr="00AC1134">
                              <w:rPr>
                                <w:rFonts w:ascii="Century Gothic" w:hAnsi="Century Gothic" w:cstheme="minorBidi"/>
                                <w:b/>
                                <w:bCs/>
                                <w:color w:val="000000" w:themeColor="text1"/>
                                <w:kern w:val="24"/>
                                <w:sz w:val="18"/>
                                <w:szCs w:val="16"/>
                              </w:rPr>
                              <w:t xml:space="preserve">Sujeto: </w:t>
                            </w:r>
                            <w:r w:rsidRPr="00AC1134">
                              <w:rPr>
                                <w:rFonts w:ascii="Century Gothic" w:hAnsi="Century Gothic" w:cstheme="minorBidi"/>
                                <w:bCs/>
                                <w:color w:val="000000" w:themeColor="text1"/>
                                <w:kern w:val="24"/>
                                <w:sz w:val="18"/>
                                <w:szCs w:val="16"/>
                              </w:rPr>
                              <w:t>Población o área de enfoque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84586" id="_x0000_s1038" style="position:absolute;left:0;text-align:left;margin-left:93.45pt;margin-top:10.55pt;width:105pt;height:3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" fillcolor="#ebebf5" strokecolor="#b2b2ff" strokeweight="2pt">
                <v:textbox>
                  <w:txbxContent>
                    <w:p w14:paraId="241467D6" w14:textId="77777777" w:rsidR="001673F4" w:rsidRPr="00AC1134" w:rsidRDefault="001673F4" w:rsidP="005D2021">
                      <w:pPr>
                        <w:pStyle w:val="NormalWeb"/>
                        <w:spacing w:before="0" w:beforeAutospacing="0" w:after="0" w:afterAutospacing="0"/>
                        <w:jc w:val="center"/>
                        <w:rPr>
                          <w:sz w:val="18"/>
                          <w:szCs w:val="16"/>
                        </w:rPr>
                      </w:pPr>
                      <w:r w:rsidRPr="00AC1134">
                        <w:rPr>
                          <w:rFonts w:ascii="Century Gothic" w:hAnsi="Century Gothic" w:cstheme="minorBidi"/>
                          <w:b/>
                          <w:bCs/>
                          <w:color w:val="000000" w:themeColor="text1"/>
                          <w:kern w:val="24"/>
                          <w:sz w:val="18"/>
                          <w:szCs w:val="16"/>
                        </w:rPr>
                        <w:t xml:space="preserve">Sujeto: </w:t>
                      </w:r>
                      <w:r w:rsidRPr="00AC1134">
                        <w:rPr>
                          <w:rFonts w:ascii="Century Gothic" w:hAnsi="Century Gothic" w:cstheme="minorBidi"/>
                          <w:bCs/>
                          <w:color w:val="000000" w:themeColor="text1"/>
                          <w:kern w:val="24"/>
                          <w:sz w:val="18"/>
                          <w:szCs w:val="16"/>
                        </w:rPr>
                        <w:t>Población o área de enfoque</w:t>
                      </w:r>
                    </w:p>
                  </w:txbxContent>
                </v:textbox>
              </v:roundrect>
            </w:pict>
          </mc:Fallback>
        </mc:AlternateContent>
      </w:r>
      <w:r w:rsidRPr="005D2021">
        <w:rPr>
          <w:rFonts w:cstheme="minorHAnsi"/>
          <w:b/>
          <w:noProof/>
          <w:lang w:eastAsia="es-MX"/>
        </w:rPr>
        <mc:AlternateContent>
          <mc:Choice Requires="wps">
            <w:drawing>
              <wp:anchor distT="0" distB="0" distL="114300" distR="114300" simplePos="0" relativeHeight="251720704" behindDoc="0" locked="0" layoutInCell="1" allowOverlap="1" wp14:anchorId="3A3378D4" wp14:editId="63AF35A7">
                <wp:simplePos x="0" y="0"/>
                <wp:positionH relativeFrom="column">
                  <wp:posOffset>2520315</wp:posOffset>
                </wp:positionH>
                <wp:positionV relativeFrom="paragraph">
                  <wp:posOffset>133985</wp:posOffset>
                </wp:positionV>
                <wp:extent cx="304800" cy="447675"/>
                <wp:effectExtent l="0" t="0" r="19050" b="28575"/>
                <wp:wrapNone/>
                <wp:docPr id="24" name="Rectángulo redondeado 24"/>
                <wp:cNvGraphicFramePr/>
                <a:graphic xmlns:a="http://schemas.openxmlformats.org/drawingml/2006/main">
                  <a:graphicData uri="http://schemas.microsoft.com/office/word/2010/wordprocessingShape">
                    <wps:wsp>
                      <wps:cNvSpPr/>
                      <wps:spPr>
                        <a:xfrm>
                          <a:off x="0" y="0"/>
                          <a:ext cx="304800" cy="447675"/>
                        </a:xfrm>
                        <a:prstGeom prst="roundRect">
                          <a:avLst/>
                        </a:prstGeom>
                        <a:solidFill>
                          <a:srgbClr val="9999CC">
                            <a:lumMod val="20000"/>
                            <a:lumOff val="80000"/>
                          </a:srgbClr>
                        </a:solidFill>
                        <a:ln w="25400" cap="flat" cmpd="sng" algn="ctr">
                          <a:solidFill>
                            <a:srgbClr val="00007D">
                              <a:lumMod val="20000"/>
                              <a:lumOff val="80000"/>
                            </a:srgbClr>
                          </a:solidFill>
                          <a:prstDash val="solid"/>
                        </a:ln>
                        <a:effectLst/>
                      </wps:spPr>
                      <wps:txbx>
                        <w:txbxContent>
                          <w:p w14:paraId="615B0FD4" w14:textId="77777777" w:rsidR="001673F4" w:rsidRPr="00AC1134" w:rsidRDefault="001673F4" w:rsidP="005D2021">
                            <w:pPr>
                              <w:pStyle w:val="NormalWeb"/>
                              <w:spacing w:before="0" w:beforeAutospacing="0" w:after="0" w:afterAutospacing="0"/>
                              <w:jc w:val="center"/>
                              <w:rPr>
                                <w:sz w:val="36"/>
                                <w:szCs w:val="16"/>
                              </w:rPr>
                            </w:pPr>
                            <w:r w:rsidRPr="00AC1134">
                              <w:rPr>
                                <w:rFonts w:ascii="Century Gothic" w:hAnsi="Century Gothic" w:cstheme="minorBidi"/>
                                <w:b/>
                                <w:bCs/>
                                <w:color w:val="000000" w:themeColor="text1"/>
                                <w:kern w:val="24"/>
                                <w:sz w:val="3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378D4" id="_x0000_s1039" style="position:absolute;left:0;text-align:left;margin-left:198.45pt;margin-top:10.55pt;width:24pt;height:3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" fillcolor="#ebebf5" strokecolor="#b2b2ff" strokeweight="2pt">
                <v:textbox>
                  <w:txbxContent>
                    <w:p w14:paraId="615B0FD4" w14:textId="77777777" w:rsidR="001673F4" w:rsidRPr="00AC1134" w:rsidRDefault="001673F4" w:rsidP="005D2021">
                      <w:pPr>
                        <w:pStyle w:val="NormalWeb"/>
                        <w:spacing w:before="0" w:beforeAutospacing="0" w:after="0" w:afterAutospacing="0"/>
                        <w:jc w:val="center"/>
                        <w:rPr>
                          <w:sz w:val="36"/>
                          <w:szCs w:val="16"/>
                        </w:rPr>
                      </w:pPr>
                      <w:r w:rsidRPr="00AC1134">
                        <w:rPr>
                          <w:rFonts w:ascii="Century Gothic" w:hAnsi="Century Gothic" w:cstheme="minorBidi"/>
                          <w:b/>
                          <w:bCs/>
                          <w:color w:val="000000" w:themeColor="text1"/>
                          <w:kern w:val="24"/>
                          <w:sz w:val="36"/>
                          <w:szCs w:val="16"/>
                        </w:rPr>
                        <w:t>+</w:t>
                      </w:r>
                    </w:p>
                  </w:txbxContent>
                </v:textbox>
              </v:roundrect>
            </w:pict>
          </mc:Fallback>
        </mc:AlternateContent>
      </w:r>
      <w:r w:rsidRPr="005D2021">
        <w:rPr>
          <w:rFonts w:cstheme="minorHAnsi"/>
          <w:b/>
          <w:noProof/>
          <w:lang w:eastAsia="es-MX"/>
        </w:rPr>
        <mc:AlternateContent>
          <mc:Choice Requires="wps">
            <w:drawing>
              <wp:anchor distT="0" distB="0" distL="114300" distR="114300" simplePos="0" relativeHeight="251721728" behindDoc="0" locked="0" layoutInCell="1" allowOverlap="1" wp14:anchorId="53AA434C" wp14:editId="45E4AF93">
                <wp:simplePos x="0" y="0"/>
                <wp:positionH relativeFrom="column">
                  <wp:posOffset>2825115</wp:posOffset>
                </wp:positionH>
                <wp:positionV relativeFrom="paragraph">
                  <wp:posOffset>133985</wp:posOffset>
                </wp:positionV>
                <wp:extent cx="1333500" cy="447675"/>
                <wp:effectExtent l="0" t="0" r="19050" b="28575"/>
                <wp:wrapNone/>
                <wp:docPr id="3136" name="Rectángulo redondeado 3136"/>
                <wp:cNvGraphicFramePr/>
                <a:graphic xmlns:a="http://schemas.openxmlformats.org/drawingml/2006/main">
                  <a:graphicData uri="http://schemas.microsoft.com/office/word/2010/wordprocessingShape">
                    <wps:wsp>
                      <wps:cNvSpPr/>
                      <wps:spPr>
                        <a:xfrm>
                          <a:off x="0" y="0"/>
                          <a:ext cx="1333500" cy="447675"/>
                        </a:xfrm>
                        <a:prstGeom prst="roundRect">
                          <a:avLst/>
                        </a:prstGeom>
                        <a:solidFill>
                          <a:srgbClr val="9999CC">
                            <a:lumMod val="20000"/>
                            <a:lumOff val="80000"/>
                          </a:srgbClr>
                        </a:solidFill>
                        <a:ln w="25400" cap="flat" cmpd="sng" algn="ctr">
                          <a:solidFill>
                            <a:srgbClr val="00007D">
                              <a:lumMod val="20000"/>
                              <a:lumOff val="80000"/>
                            </a:srgbClr>
                          </a:solidFill>
                          <a:prstDash val="solid"/>
                        </a:ln>
                        <a:effectLst/>
                      </wps:spPr>
                      <wps:txbx>
                        <w:txbxContent>
                          <w:p w14:paraId="754931A6" w14:textId="77777777" w:rsidR="001673F4" w:rsidRPr="00AC1134" w:rsidRDefault="001673F4" w:rsidP="005D2021">
                            <w:pPr>
                              <w:pStyle w:val="NormalWeb"/>
                              <w:spacing w:before="0" w:beforeAutospacing="0" w:after="0" w:afterAutospacing="0"/>
                              <w:jc w:val="center"/>
                              <w:rPr>
                                <w:sz w:val="18"/>
                                <w:szCs w:val="16"/>
                              </w:rPr>
                            </w:pPr>
                            <w:r>
                              <w:rPr>
                                <w:rFonts w:ascii="Century Gothic" w:hAnsi="Century Gothic" w:cstheme="minorBidi"/>
                                <w:b/>
                                <w:bCs/>
                                <w:color w:val="000000" w:themeColor="text1"/>
                                <w:kern w:val="24"/>
                                <w:sz w:val="18"/>
                                <w:szCs w:val="16"/>
                              </w:rPr>
                              <w:t>Verbo en presente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A434C" id="_x0000_s1040" style="position:absolute;left:0;text-align:left;margin-left:222.45pt;margin-top:10.55pt;width:105pt;height:3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" fillcolor="#ebebf5" strokecolor="#b2b2ff" strokeweight="2pt">
                <v:textbox>
                  <w:txbxContent>
                    <w:p w14:paraId="754931A6" w14:textId="77777777" w:rsidR="001673F4" w:rsidRPr="00AC1134" w:rsidRDefault="001673F4" w:rsidP="005D2021">
                      <w:pPr>
                        <w:pStyle w:val="NormalWeb"/>
                        <w:spacing w:before="0" w:beforeAutospacing="0" w:after="0" w:afterAutospacing="0"/>
                        <w:jc w:val="center"/>
                        <w:rPr>
                          <w:sz w:val="18"/>
                          <w:szCs w:val="16"/>
                        </w:rPr>
                      </w:pPr>
                      <w:r>
                        <w:rPr>
                          <w:rFonts w:ascii="Century Gothic" w:hAnsi="Century Gothic" w:cstheme="minorBidi"/>
                          <w:b/>
                          <w:bCs/>
                          <w:color w:val="000000" w:themeColor="text1"/>
                          <w:kern w:val="24"/>
                          <w:sz w:val="18"/>
                          <w:szCs w:val="16"/>
                        </w:rPr>
                        <w:t>Verbo en presente</w:t>
                      </w:r>
                    </w:p>
                  </w:txbxContent>
                </v:textbox>
              </v:roundrect>
            </w:pict>
          </mc:Fallback>
        </mc:AlternateContent>
      </w:r>
      <w:r w:rsidRPr="005D2021">
        <w:rPr>
          <w:rFonts w:cstheme="minorHAnsi"/>
          <w:b/>
          <w:noProof/>
          <w:lang w:eastAsia="es-MX"/>
        </w:rPr>
        <mc:AlternateContent>
          <mc:Choice Requires="wps">
            <w:drawing>
              <wp:anchor distT="0" distB="0" distL="114300" distR="114300" simplePos="0" relativeHeight="251722752" behindDoc="0" locked="0" layoutInCell="1" allowOverlap="1" wp14:anchorId="713062A1" wp14:editId="6844BE96">
                <wp:simplePos x="0" y="0"/>
                <wp:positionH relativeFrom="column">
                  <wp:posOffset>4158615</wp:posOffset>
                </wp:positionH>
                <wp:positionV relativeFrom="paragraph">
                  <wp:posOffset>133985</wp:posOffset>
                </wp:positionV>
                <wp:extent cx="304800" cy="447675"/>
                <wp:effectExtent l="0" t="0" r="19050" b="28575"/>
                <wp:wrapNone/>
                <wp:docPr id="3137" name="Rectángulo redondeado 3137"/>
                <wp:cNvGraphicFramePr/>
                <a:graphic xmlns:a="http://schemas.openxmlformats.org/drawingml/2006/main">
                  <a:graphicData uri="http://schemas.microsoft.com/office/word/2010/wordprocessingShape">
                    <wps:wsp>
                      <wps:cNvSpPr/>
                      <wps:spPr>
                        <a:xfrm>
                          <a:off x="0" y="0"/>
                          <a:ext cx="304800" cy="447675"/>
                        </a:xfrm>
                        <a:prstGeom prst="roundRect">
                          <a:avLst/>
                        </a:prstGeom>
                        <a:solidFill>
                          <a:srgbClr val="9999CC">
                            <a:lumMod val="20000"/>
                            <a:lumOff val="80000"/>
                          </a:srgbClr>
                        </a:solidFill>
                        <a:ln w="25400" cap="flat" cmpd="sng" algn="ctr">
                          <a:solidFill>
                            <a:srgbClr val="00007D">
                              <a:lumMod val="20000"/>
                              <a:lumOff val="80000"/>
                            </a:srgbClr>
                          </a:solidFill>
                          <a:prstDash val="solid"/>
                        </a:ln>
                        <a:effectLst/>
                      </wps:spPr>
                      <wps:txbx>
                        <w:txbxContent>
                          <w:p w14:paraId="46C41A98" w14:textId="77777777" w:rsidR="001673F4" w:rsidRPr="00AC1134" w:rsidRDefault="001673F4" w:rsidP="005D2021">
                            <w:pPr>
                              <w:pStyle w:val="NormalWeb"/>
                              <w:spacing w:before="0" w:beforeAutospacing="0" w:after="0" w:afterAutospacing="0"/>
                              <w:jc w:val="center"/>
                              <w:rPr>
                                <w:sz w:val="36"/>
                                <w:szCs w:val="16"/>
                              </w:rPr>
                            </w:pPr>
                            <w:r w:rsidRPr="00AC1134">
                              <w:rPr>
                                <w:rFonts w:ascii="Century Gothic" w:hAnsi="Century Gothic" w:cstheme="minorBidi"/>
                                <w:b/>
                                <w:bCs/>
                                <w:color w:val="000000" w:themeColor="text1"/>
                                <w:kern w:val="24"/>
                                <w:sz w:val="3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62A1" id="_x0000_s1041" style="position:absolute;left:0;text-align:left;margin-left:327.45pt;margin-top:10.55pt;width:24pt;height:3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" fillcolor="#ebebf5" strokecolor="#b2b2ff" strokeweight="2pt">
                <v:textbox>
                  <w:txbxContent>
                    <w:p w14:paraId="46C41A98" w14:textId="77777777" w:rsidR="001673F4" w:rsidRPr="00AC1134" w:rsidRDefault="001673F4" w:rsidP="005D2021">
                      <w:pPr>
                        <w:pStyle w:val="NormalWeb"/>
                        <w:spacing w:before="0" w:beforeAutospacing="0" w:after="0" w:afterAutospacing="0"/>
                        <w:jc w:val="center"/>
                        <w:rPr>
                          <w:sz w:val="36"/>
                          <w:szCs w:val="16"/>
                        </w:rPr>
                      </w:pPr>
                      <w:r w:rsidRPr="00AC1134">
                        <w:rPr>
                          <w:rFonts w:ascii="Century Gothic" w:hAnsi="Century Gothic" w:cstheme="minorBidi"/>
                          <w:b/>
                          <w:bCs/>
                          <w:color w:val="000000" w:themeColor="text1"/>
                          <w:kern w:val="24"/>
                          <w:sz w:val="36"/>
                          <w:szCs w:val="16"/>
                        </w:rPr>
                        <w:t>+</w:t>
                      </w:r>
                    </w:p>
                  </w:txbxContent>
                </v:textbox>
              </v:roundrect>
            </w:pict>
          </mc:Fallback>
        </mc:AlternateContent>
      </w:r>
      <w:r w:rsidRPr="005D2021">
        <w:rPr>
          <w:rFonts w:cstheme="minorHAnsi"/>
          <w:b/>
          <w:noProof/>
          <w:lang w:eastAsia="es-MX"/>
        </w:rPr>
        <mc:AlternateContent>
          <mc:Choice Requires="wps">
            <w:drawing>
              <wp:anchor distT="0" distB="0" distL="114300" distR="114300" simplePos="0" relativeHeight="251723776" behindDoc="0" locked="0" layoutInCell="1" allowOverlap="1" wp14:anchorId="30506353" wp14:editId="16FF3109">
                <wp:simplePos x="0" y="0"/>
                <wp:positionH relativeFrom="column">
                  <wp:posOffset>4463415</wp:posOffset>
                </wp:positionH>
                <wp:positionV relativeFrom="paragraph">
                  <wp:posOffset>133985</wp:posOffset>
                </wp:positionV>
                <wp:extent cx="1333500" cy="447675"/>
                <wp:effectExtent l="0" t="0" r="19050" b="28575"/>
                <wp:wrapNone/>
                <wp:docPr id="3138" name="Rectángulo redondeado 3138"/>
                <wp:cNvGraphicFramePr/>
                <a:graphic xmlns:a="http://schemas.openxmlformats.org/drawingml/2006/main">
                  <a:graphicData uri="http://schemas.microsoft.com/office/word/2010/wordprocessingShape">
                    <wps:wsp>
                      <wps:cNvSpPr/>
                      <wps:spPr>
                        <a:xfrm>
                          <a:off x="0" y="0"/>
                          <a:ext cx="1333500" cy="447675"/>
                        </a:xfrm>
                        <a:prstGeom prst="roundRect">
                          <a:avLst/>
                        </a:prstGeom>
                        <a:solidFill>
                          <a:srgbClr val="9999CC">
                            <a:lumMod val="20000"/>
                            <a:lumOff val="80000"/>
                          </a:srgbClr>
                        </a:solidFill>
                        <a:ln w="25400" cap="flat" cmpd="sng" algn="ctr">
                          <a:solidFill>
                            <a:srgbClr val="00007D">
                              <a:lumMod val="20000"/>
                              <a:lumOff val="80000"/>
                            </a:srgbClr>
                          </a:solidFill>
                          <a:prstDash val="solid"/>
                        </a:ln>
                        <a:effectLst/>
                      </wps:spPr>
                      <wps:txbx>
                        <w:txbxContent>
                          <w:p w14:paraId="7C702ADF" w14:textId="77777777" w:rsidR="001673F4" w:rsidRPr="00E314DD" w:rsidRDefault="001673F4" w:rsidP="005D2021">
                            <w:pPr>
                              <w:pStyle w:val="NormalWeb"/>
                              <w:spacing w:before="0" w:beforeAutospacing="0" w:after="0" w:afterAutospacing="0"/>
                              <w:jc w:val="center"/>
                              <w:rPr>
                                <w:sz w:val="18"/>
                                <w:szCs w:val="16"/>
                              </w:rPr>
                            </w:pPr>
                            <w:r>
                              <w:rPr>
                                <w:rFonts w:ascii="Century Gothic" w:hAnsi="Century Gothic" w:cstheme="minorBidi"/>
                                <w:b/>
                                <w:bCs/>
                                <w:color w:val="000000" w:themeColor="text1"/>
                                <w:kern w:val="24"/>
                                <w:sz w:val="18"/>
                                <w:szCs w:val="16"/>
                              </w:rPr>
                              <w:t xml:space="preserve">Complemento: </w:t>
                            </w:r>
                            <w:r>
                              <w:rPr>
                                <w:rFonts w:ascii="Century Gothic" w:hAnsi="Century Gothic" w:cstheme="minorBidi"/>
                                <w:bCs/>
                                <w:color w:val="000000" w:themeColor="text1"/>
                                <w:kern w:val="24"/>
                                <w:sz w:val="18"/>
                                <w:szCs w:val="16"/>
                              </w:rPr>
                              <w:t>Resultado logrado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06353" id="_x0000_s1042" style="position:absolute;left:0;text-align:left;margin-left:351.45pt;margin-top:10.55pt;width:105pt;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" fillcolor="#ebebf5" strokecolor="#b2b2ff" strokeweight="2pt">
                <v:textbox>
                  <w:txbxContent>
                    <w:p w14:paraId="7C702ADF" w14:textId="77777777" w:rsidR="001673F4" w:rsidRPr="00E314DD" w:rsidRDefault="001673F4" w:rsidP="005D2021">
                      <w:pPr>
                        <w:pStyle w:val="NormalWeb"/>
                        <w:spacing w:before="0" w:beforeAutospacing="0" w:after="0" w:afterAutospacing="0"/>
                        <w:jc w:val="center"/>
                        <w:rPr>
                          <w:sz w:val="18"/>
                          <w:szCs w:val="16"/>
                        </w:rPr>
                      </w:pPr>
                      <w:r>
                        <w:rPr>
                          <w:rFonts w:ascii="Century Gothic" w:hAnsi="Century Gothic" w:cstheme="minorBidi"/>
                          <w:b/>
                          <w:bCs/>
                          <w:color w:val="000000" w:themeColor="text1"/>
                          <w:kern w:val="24"/>
                          <w:sz w:val="18"/>
                          <w:szCs w:val="16"/>
                        </w:rPr>
                        <w:t xml:space="preserve">Complemento: </w:t>
                      </w:r>
                      <w:r>
                        <w:rPr>
                          <w:rFonts w:ascii="Century Gothic" w:hAnsi="Century Gothic" w:cstheme="minorBidi"/>
                          <w:bCs/>
                          <w:color w:val="000000" w:themeColor="text1"/>
                          <w:kern w:val="24"/>
                          <w:sz w:val="18"/>
                          <w:szCs w:val="16"/>
                        </w:rPr>
                        <w:t>Resultado logrado</w:t>
                      </w:r>
                    </w:p>
                  </w:txbxContent>
                </v:textbox>
              </v:roundrect>
            </w:pict>
          </mc:Fallback>
        </mc:AlternateContent>
      </w:r>
    </w:p>
    <w:p w14:paraId="71FC924D" w14:textId="77777777" w:rsidR="005D2021" w:rsidRPr="005D2021" w:rsidRDefault="005D2021" w:rsidP="005D2021">
      <w:pPr>
        <w:spacing w:after="0" w:line="240" w:lineRule="auto"/>
        <w:jc w:val="center"/>
        <w:rPr>
          <w:rFonts w:cstheme="minorHAnsi"/>
          <w:b/>
        </w:rPr>
      </w:pPr>
    </w:p>
    <w:p w14:paraId="01859B86" w14:textId="77777777" w:rsidR="005D2021" w:rsidRPr="005D2021" w:rsidRDefault="005D2021" w:rsidP="005D2021">
      <w:pPr>
        <w:spacing w:after="0" w:line="240" w:lineRule="auto"/>
        <w:jc w:val="center"/>
        <w:rPr>
          <w:rFonts w:cstheme="minorHAnsi"/>
          <w:b/>
        </w:rPr>
      </w:pPr>
    </w:p>
    <w:p w14:paraId="7DAC076B" w14:textId="77777777" w:rsidR="005D2021" w:rsidRPr="005D2021" w:rsidRDefault="005D2021" w:rsidP="005D2021">
      <w:pPr>
        <w:spacing w:after="0" w:line="240" w:lineRule="auto"/>
        <w:jc w:val="both"/>
        <w:rPr>
          <w:rFonts w:ascii="Century Gothic" w:hAnsi="Century Gothic"/>
          <w:sz w:val="24"/>
          <w:szCs w:val="24"/>
        </w:rPr>
      </w:pPr>
      <w:r w:rsidRPr="005D2021">
        <w:rPr>
          <w:noProof/>
          <w:lang w:eastAsia="es-MX"/>
        </w:rPr>
        <mc:AlternateContent>
          <mc:Choice Requires="wps">
            <w:drawing>
              <wp:anchor distT="0" distB="0" distL="114300" distR="114300" simplePos="0" relativeHeight="251713536" behindDoc="0" locked="0" layoutInCell="1" allowOverlap="1" wp14:anchorId="5708DD7E" wp14:editId="0A25FF99">
                <wp:simplePos x="0" y="0"/>
                <wp:positionH relativeFrom="column">
                  <wp:posOffset>3282315</wp:posOffset>
                </wp:positionH>
                <wp:positionV relativeFrom="paragraph">
                  <wp:posOffset>98425</wp:posOffset>
                </wp:positionV>
                <wp:extent cx="438150" cy="447675"/>
                <wp:effectExtent l="0" t="0" r="19050" b="28575"/>
                <wp:wrapNone/>
                <wp:docPr id="3142" name="Rectángulo redondeado 3142"/>
                <wp:cNvGraphicFramePr/>
                <a:graphic xmlns:a="http://schemas.openxmlformats.org/drawingml/2006/main">
                  <a:graphicData uri="http://schemas.microsoft.com/office/word/2010/wordprocessingShape">
                    <wps:wsp>
                      <wps:cNvSpPr/>
                      <wps:spPr>
                        <a:xfrm>
                          <a:off x="0" y="0"/>
                          <a:ext cx="438150" cy="447675"/>
                        </a:xfrm>
                        <a:prstGeom prst="roundRect">
                          <a:avLst/>
                        </a:prstGeom>
                        <a:solidFill>
                          <a:srgbClr val="9999CC">
                            <a:lumMod val="20000"/>
                            <a:lumOff val="80000"/>
                          </a:srgbClr>
                        </a:solidFill>
                        <a:ln w="25400" cap="flat" cmpd="sng" algn="ctr">
                          <a:solidFill>
                            <a:srgbClr val="00007D">
                              <a:lumMod val="20000"/>
                              <a:lumOff val="80000"/>
                            </a:srgbClr>
                          </a:solidFill>
                          <a:prstDash val="solid"/>
                        </a:ln>
                        <a:effectLst/>
                      </wps:spPr>
                      <wps:txbx>
                        <w:txbxContent>
                          <w:p w14:paraId="3568C570" w14:textId="77777777" w:rsidR="001673F4" w:rsidRPr="00AC1134" w:rsidRDefault="001673F4" w:rsidP="005D2021">
                            <w:pPr>
                              <w:pStyle w:val="NormalWeb"/>
                              <w:spacing w:before="0" w:beforeAutospacing="0" w:after="0" w:afterAutospacing="0"/>
                              <w:jc w:val="center"/>
                              <w:rPr>
                                <w:sz w:val="36"/>
                                <w:szCs w:val="16"/>
                              </w:rPr>
                            </w:pPr>
                            <w:r w:rsidRPr="00AC1134">
                              <w:rPr>
                                <w:rFonts w:ascii="Century Gothic" w:hAnsi="Century Gothic" w:cstheme="minorBidi"/>
                                <w:b/>
                                <w:bCs/>
                                <w:color w:val="000000" w:themeColor="text1"/>
                                <w:kern w:val="24"/>
                                <w:sz w:val="3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8DD7E" id="Rectángulo redondeado 3142" o:spid="_x0000_s1043" style="position:absolute;left:0;text-align:left;margin-left:258.45pt;margin-top:7.75pt;width:34.5pt;height:3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" fillcolor="#ebebf5" strokecolor="#b2b2ff" strokeweight="2pt">
                <v:textbox>
                  <w:txbxContent>
                    <w:p w14:paraId="3568C570" w14:textId="77777777" w:rsidR="001673F4" w:rsidRPr="00AC1134" w:rsidRDefault="001673F4" w:rsidP="005D2021">
                      <w:pPr>
                        <w:pStyle w:val="NormalWeb"/>
                        <w:spacing w:before="0" w:beforeAutospacing="0" w:after="0" w:afterAutospacing="0"/>
                        <w:jc w:val="center"/>
                        <w:rPr>
                          <w:sz w:val="36"/>
                          <w:szCs w:val="16"/>
                        </w:rPr>
                      </w:pPr>
                      <w:r w:rsidRPr="00AC1134">
                        <w:rPr>
                          <w:rFonts w:ascii="Century Gothic" w:hAnsi="Century Gothic" w:cstheme="minorBidi"/>
                          <w:b/>
                          <w:bCs/>
                          <w:color w:val="000000" w:themeColor="text1"/>
                          <w:kern w:val="24"/>
                          <w:sz w:val="36"/>
                          <w:szCs w:val="16"/>
                        </w:rPr>
                        <w:t>+</w:t>
                      </w:r>
                    </w:p>
                  </w:txbxContent>
                </v:textbox>
              </v:roundrect>
            </w:pict>
          </mc:Fallback>
        </mc:AlternateContent>
      </w:r>
      <w:r w:rsidRPr="005D2021">
        <w:rPr>
          <w:noProof/>
          <w:lang w:eastAsia="es-MX"/>
        </w:rPr>
        <mc:AlternateContent>
          <mc:Choice Requires="wps">
            <w:drawing>
              <wp:anchor distT="0" distB="0" distL="114300" distR="114300" simplePos="0" relativeHeight="251712512" behindDoc="0" locked="0" layoutInCell="1" allowOverlap="1" wp14:anchorId="6ECB355F" wp14:editId="04CB5E79">
                <wp:simplePos x="0" y="0"/>
                <wp:positionH relativeFrom="column">
                  <wp:posOffset>3720465</wp:posOffset>
                </wp:positionH>
                <wp:positionV relativeFrom="paragraph">
                  <wp:posOffset>98425</wp:posOffset>
                </wp:positionV>
                <wp:extent cx="2085975" cy="447675"/>
                <wp:effectExtent l="0" t="0" r="28575" b="28575"/>
                <wp:wrapNone/>
                <wp:docPr id="3141" name="Rectángulo redondeado 3141"/>
                <wp:cNvGraphicFramePr/>
                <a:graphic xmlns:a="http://schemas.openxmlformats.org/drawingml/2006/main">
                  <a:graphicData uri="http://schemas.microsoft.com/office/word/2010/wordprocessingShape">
                    <wps:wsp>
                      <wps:cNvSpPr/>
                      <wps:spPr>
                        <a:xfrm>
                          <a:off x="0" y="0"/>
                          <a:ext cx="2085975" cy="447675"/>
                        </a:xfrm>
                        <a:prstGeom prst="roundRect">
                          <a:avLst/>
                        </a:prstGeom>
                        <a:solidFill>
                          <a:srgbClr val="9999CC">
                            <a:lumMod val="20000"/>
                            <a:lumOff val="80000"/>
                          </a:srgbClr>
                        </a:solidFill>
                        <a:ln w="25400" cap="flat" cmpd="sng" algn="ctr">
                          <a:solidFill>
                            <a:srgbClr val="00007D">
                              <a:lumMod val="20000"/>
                              <a:lumOff val="80000"/>
                            </a:srgbClr>
                          </a:solidFill>
                          <a:prstDash val="solid"/>
                        </a:ln>
                        <a:effectLst/>
                      </wps:spPr>
                      <wps:txbx>
                        <w:txbxContent>
                          <w:p w14:paraId="1EC1526D" w14:textId="77777777" w:rsidR="001673F4" w:rsidRPr="00E314DD" w:rsidRDefault="001673F4" w:rsidP="005D2021">
                            <w:pPr>
                              <w:pStyle w:val="NormalWeb"/>
                              <w:spacing w:before="0" w:beforeAutospacing="0" w:after="0" w:afterAutospacing="0"/>
                              <w:jc w:val="center"/>
                              <w:rPr>
                                <w:sz w:val="18"/>
                                <w:szCs w:val="16"/>
                              </w:rPr>
                            </w:pPr>
                            <w:r w:rsidRPr="00E314DD">
                              <w:rPr>
                                <w:rFonts w:ascii="Century Gothic" w:hAnsi="Century Gothic" w:cstheme="minorBidi"/>
                                <w:b/>
                                <w:bCs/>
                                <w:color w:val="000000" w:themeColor="text1"/>
                                <w:kern w:val="24"/>
                                <w:sz w:val="18"/>
                                <w:szCs w:val="16"/>
                              </w:rPr>
                              <w:t>Verbo en participio pasado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B355F" id="Rectángulo redondeado 3141" o:spid="_x0000_s1044" style="position:absolute;left:0;text-align:left;margin-left:292.95pt;margin-top:7.75pt;width:164.25pt;height:3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" fillcolor="#ebebf5" strokecolor="#b2b2ff" strokeweight="2pt">
                <v:textbox>
                  <w:txbxContent>
                    <w:p w14:paraId="1EC1526D" w14:textId="77777777" w:rsidR="001673F4" w:rsidRPr="00E314DD" w:rsidRDefault="001673F4" w:rsidP="005D2021">
                      <w:pPr>
                        <w:pStyle w:val="NormalWeb"/>
                        <w:spacing w:before="0" w:beforeAutospacing="0" w:after="0" w:afterAutospacing="0"/>
                        <w:jc w:val="center"/>
                        <w:rPr>
                          <w:sz w:val="18"/>
                          <w:szCs w:val="16"/>
                        </w:rPr>
                      </w:pPr>
                      <w:r w:rsidRPr="00E314DD">
                        <w:rPr>
                          <w:rFonts w:ascii="Century Gothic" w:hAnsi="Century Gothic" w:cstheme="minorBidi"/>
                          <w:b/>
                          <w:bCs/>
                          <w:color w:val="000000" w:themeColor="text1"/>
                          <w:kern w:val="24"/>
                          <w:sz w:val="18"/>
                          <w:szCs w:val="16"/>
                        </w:rPr>
                        <w:t>Verbo en participio pasado</w:t>
                      </w:r>
                    </w:p>
                  </w:txbxContent>
                </v:textbox>
              </v:roundrect>
            </w:pict>
          </mc:Fallback>
        </mc:AlternateContent>
      </w:r>
      <w:r w:rsidRPr="005D2021">
        <w:rPr>
          <w:noProof/>
          <w:lang w:eastAsia="es-MX"/>
        </w:rPr>
        <mc:AlternateContent>
          <mc:Choice Requires="wps">
            <w:drawing>
              <wp:anchor distT="0" distB="0" distL="114300" distR="114300" simplePos="0" relativeHeight="251711488" behindDoc="0" locked="0" layoutInCell="1" allowOverlap="1" wp14:anchorId="08F3FD3C" wp14:editId="13469FE5">
                <wp:simplePos x="0" y="0"/>
                <wp:positionH relativeFrom="column">
                  <wp:posOffset>1196340</wp:posOffset>
                </wp:positionH>
                <wp:positionV relativeFrom="paragraph">
                  <wp:posOffset>98425</wp:posOffset>
                </wp:positionV>
                <wp:extent cx="2085975" cy="447675"/>
                <wp:effectExtent l="0" t="0" r="28575" b="28575"/>
                <wp:wrapNone/>
                <wp:docPr id="27" name="Rectángulo redondeado 27"/>
                <wp:cNvGraphicFramePr/>
                <a:graphic xmlns:a="http://schemas.openxmlformats.org/drawingml/2006/main">
                  <a:graphicData uri="http://schemas.microsoft.com/office/word/2010/wordprocessingShape">
                    <wps:wsp>
                      <wps:cNvSpPr/>
                      <wps:spPr>
                        <a:xfrm>
                          <a:off x="0" y="0"/>
                          <a:ext cx="2085975" cy="447675"/>
                        </a:xfrm>
                        <a:prstGeom prst="roundRect">
                          <a:avLst/>
                        </a:prstGeom>
                        <a:solidFill>
                          <a:srgbClr val="9999CC">
                            <a:lumMod val="20000"/>
                            <a:lumOff val="80000"/>
                          </a:srgbClr>
                        </a:solidFill>
                        <a:ln w="25400" cap="flat" cmpd="sng" algn="ctr">
                          <a:solidFill>
                            <a:srgbClr val="00007D">
                              <a:lumMod val="20000"/>
                              <a:lumOff val="80000"/>
                            </a:srgbClr>
                          </a:solidFill>
                          <a:prstDash val="solid"/>
                        </a:ln>
                        <a:effectLst/>
                      </wps:spPr>
                      <wps:txbx>
                        <w:txbxContent>
                          <w:p w14:paraId="50C6D744" w14:textId="77777777" w:rsidR="001673F4" w:rsidRPr="00E314DD" w:rsidRDefault="001673F4" w:rsidP="005D2021">
                            <w:pPr>
                              <w:pStyle w:val="NormalWeb"/>
                              <w:spacing w:before="0" w:beforeAutospacing="0" w:after="0" w:afterAutospacing="0"/>
                              <w:jc w:val="center"/>
                              <w:rPr>
                                <w:sz w:val="18"/>
                                <w:szCs w:val="16"/>
                              </w:rPr>
                            </w:pPr>
                            <w:r w:rsidRPr="00E314DD">
                              <w:rPr>
                                <w:rFonts w:ascii="Century Gothic" w:hAnsi="Century Gothic" w:cstheme="minorBidi"/>
                                <w:b/>
                                <w:bCs/>
                                <w:color w:val="000000" w:themeColor="text1"/>
                                <w:kern w:val="24"/>
                                <w:sz w:val="18"/>
                                <w:szCs w:val="16"/>
                              </w:rPr>
                              <w:t>Productos terminados o servicios proporcionados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3FD3C" id="Rectángulo redondeado 27" o:spid="_x0000_s1045" style="position:absolute;left:0;text-align:left;margin-left:94.2pt;margin-top:7.75pt;width:164.25pt;height:3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" fillcolor="#ebebf5" strokecolor="#b2b2ff" strokeweight="2pt">
                <v:textbox>
                  <w:txbxContent>
                    <w:p w14:paraId="50C6D744" w14:textId="77777777" w:rsidR="001673F4" w:rsidRPr="00E314DD" w:rsidRDefault="001673F4" w:rsidP="005D2021">
                      <w:pPr>
                        <w:pStyle w:val="NormalWeb"/>
                        <w:spacing w:before="0" w:beforeAutospacing="0" w:after="0" w:afterAutospacing="0"/>
                        <w:jc w:val="center"/>
                        <w:rPr>
                          <w:sz w:val="18"/>
                          <w:szCs w:val="16"/>
                        </w:rPr>
                      </w:pPr>
                      <w:r w:rsidRPr="00E314DD">
                        <w:rPr>
                          <w:rFonts w:ascii="Century Gothic" w:hAnsi="Century Gothic" w:cstheme="minorBidi"/>
                          <w:b/>
                          <w:bCs/>
                          <w:color w:val="000000" w:themeColor="text1"/>
                          <w:kern w:val="24"/>
                          <w:sz w:val="18"/>
                          <w:szCs w:val="16"/>
                        </w:rPr>
                        <w:t>Productos terminados o servicios proporcionados</w:t>
                      </w:r>
                    </w:p>
                  </w:txbxContent>
                </v:textbox>
              </v:roundrect>
            </w:pict>
          </mc:Fallback>
        </mc:AlternateContent>
      </w:r>
      <w:r w:rsidRPr="005D2021">
        <w:rPr>
          <w:noProof/>
          <w:lang w:eastAsia="es-MX"/>
        </w:rPr>
        <mc:AlternateContent>
          <mc:Choice Requires="wps">
            <w:drawing>
              <wp:anchor distT="0" distB="0" distL="114300" distR="114300" simplePos="0" relativeHeight="251710464" behindDoc="0" locked="0" layoutInCell="1" allowOverlap="1" wp14:anchorId="1770D768" wp14:editId="5F0461A2">
                <wp:simplePos x="0" y="0"/>
                <wp:positionH relativeFrom="column">
                  <wp:posOffset>-41910</wp:posOffset>
                </wp:positionH>
                <wp:positionV relativeFrom="paragraph">
                  <wp:posOffset>98425</wp:posOffset>
                </wp:positionV>
                <wp:extent cx="1238250" cy="447675"/>
                <wp:effectExtent l="0" t="0" r="19050" b="28575"/>
                <wp:wrapNone/>
                <wp:docPr id="26" name="Rectángulo redondeado 26"/>
                <wp:cNvGraphicFramePr/>
                <a:graphic xmlns:a="http://schemas.openxmlformats.org/drawingml/2006/main">
                  <a:graphicData uri="http://schemas.microsoft.com/office/word/2010/wordprocessingShape">
                    <wps:wsp>
                      <wps:cNvSpPr/>
                      <wps:spPr>
                        <a:xfrm>
                          <a:off x="0" y="0"/>
                          <a:ext cx="1238250" cy="447675"/>
                        </a:xfrm>
                        <a:prstGeom prst="roundRect">
                          <a:avLst/>
                        </a:prstGeom>
                        <a:solidFill>
                          <a:srgbClr val="0E4E7A"/>
                        </a:solidFill>
                        <a:ln w="25400" cap="flat" cmpd="sng" algn="ctr">
                          <a:solidFill>
                            <a:srgbClr val="4F81BD"/>
                          </a:solidFill>
                          <a:prstDash val="solid"/>
                        </a:ln>
                        <a:effectLst/>
                      </wps:spPr>
                      <wps:txbx>
                        <w:txbxContent>
                          <w:p w14:paraId="7E3829CA" w14:textId="77777777" w:rsidR="001673F4" w:rsidRPr="005D2021" w:rsidRDefault="001673F4" w:rsidP="005D2021">
                            <w:pPr>
                              <w:pStyle w:val="NormalWeb"/>
                              <w:spacing w:before="0" w:beforeAutospacing="0" w:after="0" w:afterAutospacing="0"/>
                              <w:jc w:val="center"/>
                              <w:rPr>
                                <w:sz w:val="22"/>
                                <w:szCs w:val="22"/>
                              </w:rPr>
                            </w:pPr>
                            <w:r w:rsidRPr="005D2021">
                              <w:rPr>
                                <w:rFonts w:ascii="Century Gothic" w:hAnsi="Century Gothic" w:cstheme="minorBidi"/>
                                <w:b/>
                                <w:bCs/>
                                <w:color w:val="FFFFFF" w:themeColor="background1"/>
                                <w:kern w:val="24"/>
                                <w:sz w:val="22"/>
                                <w:szCs w:val="22"/>
                              </w:rPr>
                              <w:t>COMPONENTE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0D768" id="Rectángulo redondeado 26" o:spid="_x0000_s1046" style="position:absolute;left:0;text-align:left;margin-left:-3.3pt;margin-top:7.75pt;width:97.5pt;height:3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" fillcolor="#0e4e7a" strokecolor="#4f81bd" strokeweight="2pt">
                <v:textbox>
                  <w:txbxContent>
                    <w:p w14:paraId="7E3829CA" w14:textId="77777777" w:rsidR="001673F4" w:rsidRPr="005D2021" w:rsidRDefault="001673F4" w:rsidP="005D2021">
                      <w:pPr>
                        <w:pStyle w:val="NormalWeb"/>
                        <w:spacing w:before="0" w:beforeAutospacing="0" w:after="0" w:afterAutospacing="0"/>
                        <w:jc w:val="center"/>
                        <w:rPr>
                          <w:sz w:val="22"/>
                          <w:szCs w:val="22"/>
                        </w:rPr>
                      </w:pPr>
                      <w:r w:rsidRPr="005D2021">
                        <w:rPr>
                          <w:rFonts w:ascii="Century Gothic" w:hAnsi="Century Gothic" w:cstheme="minorBidi"/>
                          <w:b/>
                          <w:bCs/>
                          <w:color w:val="FFFFFF" w:themeColor="background1"/>
                          <w:kern w:val="24"/>
                          <w:sz w:val="22"/>
                          <w:szCs w:val="22"/>
                        </w:rPr>
                        <w:t>COMPONENTE</w:t>
                      </w:r>
                    </w:p>
                  </w:txbxContent>
                </v:textbox>
              </v:roundrect>
            </w:pict>
          </mc:Fallback>
        </mc:AlternateContent>
      </w:r>
    </w:p>
    <w:p w14:paraId="4BA5865D" w14:textId="77777777" w:rsidR="005D2021" w:rsidRPr="005D2021" w:rsidRDefault="005D2021" w:rsidP="005D2021">
      <w:pPr>
        <w:spacing w:after="0" w:line="240" w:lineRule="auto"/>
        <w:jc w:val="both"/>
        <w:rPr>
          <w:rFonts w:cstheme="minorHAnsi"/>
          <w:b/>
        </w:rPr>
      </w:pPr>
    </w:p>
    <w:p w14:paraId="282071C8" w14:textId="77777777" w:rsidR="005D2021" w:rsidRPr="005D2021" w:rsidRDefault="005D2021" w:rsidP="005D2021">
      <w:pPr>
        <w:spacing w:before="240" w:after="0"/>
        <w:jc w:val="center"/>
        <w:rPr>
          <w:rFonts w:cstheme="minorHAnsi"/>
          <w:b/>
          <w:sz w:val="2"/>
        </w:rPr>
      </w:pPr>
    </w:p>
    <w:p w14:paraId="7FB9D0E1" w14:textId="77777777" w:rsidR="005D2021" w:rsidRPr="005D2021" w:rsidRDefault="005D2021" w:rsidP="005D2021">
      <w:pPr>
        <w:spacing w:after="0" w:line="240" w:lineRule="auto"/>
        <w:jc w:val="center"/>
        <w:rPr>
          <w:rFonts w:cstheme="minorHAnsi"/>
          <w:b/>
          <w:sz w:val="6"/>
        </w:rPr>
      </w:pPr>
    </w:p>
    <w:p w14:paraId="168F5608" w14:textId="77777777" w:rsidR="005D2021" w:rsidRPr="005D2021" w:rsidRDefault="005D2021" w:rsidP="005D2021">
      <w:pPr>
        <w:spacing w:before="240" w:after="0"/>
        <w:jc w:val="both"/>
        <w:rPr>
          <w:rFonts w:ascii="Century Gothic" w:hAnsi="Century Gothic"/>
          <w:sz w:val="24"/>
          <w:szCs w:val="24"/>
        </w:rPr>
      </w:pPr>
      <w:r w:rsidRPr="005D2021">
        <w:rPr>
          <w:rFonts w:cstheme="minorHAnsi"/>
          <w:b/>
        </w:rPr>
        <w:t>Fuente:</w:t>
      </w:r>
      <w:r w:rsidRPr="005D2021">
        <w:rPr>
          <w:rFonts w:cstheme="minorHAnsi"/>
        </w:rPr>
        <w:t xml:space="preserve"> elaborado por TECSO con base a la Guía para el diseño de la Matriz de Indicadores para Resultados, s.a. SHCP, CONEVAL, SFP.</w:t>
      </w:r>
    </w:p>
    <w:p w14:paraId="13E421FD" w14:textId="77777777" w:rsidR="00C37904" w:rsidRDefault="00C37904" w:rsidP="00B71D10">
      <w:pPr>
        <w:overflowPunct w:val="0"/>
        <w:autoSpaceDE w:val="0"/>
        <w:autoSpaceDN w:val="0"/>
        <w:adjustRightInd w:val="0"/>
        <w:spacing w:after="240"/>
        <w:jc w:val="both"/>
        <w:textAlignment w:val="baseline"/>
        <w:rPr>
          <w:rFonts w:ascii="Century Gothic" w:hAnsi="Century Gothic"/>
          <w:sz w:val="24"/>
          <w:szCs w:val="24"/>
        </w:rPr>
      </w:pPr>
    </w:p>
    <w:p w14:paraId="31F8996A" w14:textId="77777777" w:rsidR="002808CC" w:rsidRDefault="00DA3513" w:rsidP="00B71D10">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lastRenderedPageBreak/>
        <w:t>En general se observa que la lógica vertical del programa presupuestario Infraestructura no Habitacional, presenta las siguientes deficiencias:</w:t>
      </w:r>
    </w:p>
    <w:p w14:paraId="29223B52" w14:textId="77777777" w:rsidR="00DA3513" w:rsidRDefault="00DA3513" w:rsidP="00DA3513">
      <w:pPr>
        <w:pStyle w:val="Prrafodelista"/>
        <w:numPr>
          <w:ilvl w:val="0"/>
          <w:numId w:val="17"/>
        </w:numPr>
        <w:overflowPunct w:val="0"/>
        <w:autoSpaceDE w:val="0"/>
        <w:autoSpaceDN w:val="0"/>
        <w:adjustRightInd w:val="0"/>
        <w:spacing w:after="120"/>
        <w:ind w:left="714" w:hanging="357"/>
        <w:contextualSpacing w:val="0"/>
        <w:jc w:val="both"/>
        <w:textAlignment w:val="baseline"/>
        <w:rPr>
          <w:rFonts w:ascii="Century Gothic" w:hAnsi="Century Gothic"/>
          <w:sz w:val="24"/>
          <w:szCs w:val="24"/>
        </w:rPr>
      </w:pPr>
      <w:r>
        <w:rPr>
          <w:rFonts w:ascii="Century Gothic" w:hAnsi="Century Gothic"/>
          <w:sz w:val="24"/>
          <w:szCs w:val="24"/>
        </w:rPr>
        <w:t>En primer lugar se debe partir que no se cuenta con una identificación de la problemática que se busca atender.</w:t>
      </w:r>
    </w:p>
    <w:p w14:paraId="214A7B07" w14:textId="77777777" w:rsidR="00DA3513" w:rsidRDefault="00DA3513" w:rsidP="00DA3513">
      <w:pPr>
        <w:pStyle w:val="Prrafodelista"/>
        <w:numPr>
          <w:ilvl w:val="0"/>
          <w:numId w:val="17"/>
        </w:numPr>
        <w:overflowPunct w:val="0"/>
        <w:autoSpaceDE w:val="0"/>
        <w:autoSpaceDN w:val="0"/>
        <w:adjustRightInd w:val="0"/>
        <w:spacing w:after="120"/>
        <w:ind w:left="714" w:hanging="357"/>
        <w:contextualSpacing w:val="0"/>
        <w:jc w:val="both"/>
        <w:textAlignment w:val="baseline"/>
        <w:rPr>
          <w:rFonts w:ascii="Century Gothic" w:hAnsi="Century Gothic"/>
          <w:sz w:val="24"/>
          <w:szCs w:val="24"/>
        </w:rPr>
      </w:pPr>
      <w:r>
        <w:rPr>
          <w:rFonts w:ascii="Century Gothic" w:hAnsi="Century Gothic"/>
          <w:sz w:val="24"/>
          <w:szCs w:val="24"/>
        </w:rPr>
        <w:t>No se tiene claridad de cuáles son las obras o servicios específicos que brindara el programa, es decir los componentes.</w:t>
      </w:r>
    </w:p>
    <w:p w14:paraId="415E84E6" w14:textId="77777777" w:rsidR="00DA3513" w:rsidRPr="00DA3513" w:rsidRDefault="00DA3513" w:rsidP="00DA3513">
      <w:pPr>
        <w:pStyle w:val="Prrafodelista"/>
        <w:numPr>
          <w:ilvl w:val="0"/>
          <w:numId w:val="17"/>
        </w:numPr>
        <w:overflowPunct w:val="0"/>
        <w:autoSpaceDE w:val="0"/>
        <w:autoSpaceDN w:val="0"/>
        <w:adjustRightInd w:val="0"/>
        <w:spacing w:after="240"/>
        <w:contextualSpacing w:val="0"/>
        <w:jc w:val="both"/>
        <w:textAlignment w:val="baseline"/>
        <w:rPr>
          <w:rFonts w:ascii="Century Gothic" w:hAnsi="Century Gothic"/>
          <w:sz w:val="24"/>
          <w:szCs w:val="24"/>
        </w:rPr>
      </w:pPr>
      <w:r w:rsidRPr="00DA3513">
        <w:rPr>
          <w:rFonts w:ascii="Century Gothic" w:hAnsi="Century Gothic"/>
          <w:sz w:val="24"/>
          <w:szCs w:val="24"/>
        </w:rPr>
        <w:t>Así como tampoco cuales son las tareas o acciones que se deben llevar a cabo para producir el bien o servicio, (actividades).</w:t>
      </w:r>
    </w:p>
    <w:p w14:paraId="621D3EB9" w14:textId="77777777" w:rsidR="002941F5" w:rsidRPr="00967606" w:rsidRDefault="002941F5" w:rsidP="002941F5">
      <w:pPr>
        <w:pStyle w:val="Ttulo3"/>
        <w:spacing w:before="0" w:after="240"/>
        <w:rPr>
          <w:rFonts w:ascii="Century Gothic" w:hAnsi="Century Gothic"/>
          <w:color w:val="0E4E7A"/>
          <w:sz w:val="24"/>
        </w:rPr>
      </w:pPr>
      <w:bookmarkStart w:id="23" w:name="_Toc511859774"/>
      <w:r>
        <w:rPr>
          <w:rFonts w:ascii="Century Gothic" w:hAnsi="Century Gothic"/>
          <w:color w:val="0E4E7A"/>
          <w:sz w:val="24"/>
        </w:rPr>
        <w:t>Análisis de la lógica horizontal</w:t>
      </w:r>
      <w:bookmarkEnd w:id="23"/>
    </w:p>
    <w:p w14:paraId="16FC30E0" w14:textId="77777777" w:rsidR="002941F5" w:rsidRPr="00A47857" w:rsidRDefault="002941F5" w:rsidP="002941F5">
      <w:pPr>
        <w:spacing w:after="240"/>
        <w:jc w:val="both"/>
        <w:rPr>
          <w:rFonts w:ascii="Century Gothic" w:eastAsia="Times New Roman" w:hAnsi="Century Gothic" w:cs="Times New Roman"/>
          <w:sz w:val="24"/>
          <w:szCs w:val="32"/>
        </w:rPr>
      </w:pPr>
      <w:r w:rsidRPr="00FC3293">
        <w:rPr>
          <w:rFonts w:ascii="Century Gothic" w:eastAsiaTheme="majorEastAsia" w:hAnsi="Century Gothic" w:cstheme="majorBidi"/>
          <w:sz w:val="24"/>
          <w:szCs w:val="24"/>
        </w:rPr>
        <w:t xml:space="preserve">El análisis de la </w:t>
      </w:r>
      <w:r w:rsidRPr="00FC3293">
        <w:rPr>
          <w:rFonts w:ascii="Century Gothic" w:eastAsiaTheme="majorEastAsia" w:hAnsi="Century Gothic" w:cstheme="majorBidi"/>
          <w:b/>
          <w:sz w:val="24"/>
          <w:szCs w:val="24"/>
        </w:rPr>
        <w:t>lógica</w:t>
      </w:r>
      <w:r>
        <w:rPr>
          <w:rFonts w:ascii="Century Gothic" w:eastAsiaTheme="majorEastAsia" w:hAnsi="Century Gothic" w:cstheme="majorBidi"/>
          <w:b/>
          <w:sz w:val="24"/>
          <w:szCs w:val="24"/>
        </w:rPr>
        <w:t xml:space="preserve"> </w:t>
      </w:r>
      <w:r w:rsidRPr="00FC3293">
        <w:rPr>
          <w:rFonts w:ascii="Century Gothic" w:eastAsia="Times New Roman" w:hAnsi="Century Gothic" w:cs="Times New Roman"/>
          <w:b/>
          <w:sz w:val="24"/>
          <w:szCs w:val="32"/>
        </w:rPr>
        <w:t>horizontal</w:t>
      </w:r>
      <w:r w:rsidRPr="00FC3293">
        <w:rPr>
          <w:rFonts w:ascii="Century Gothic" w:eastAsia="Times New Roman" w:hAnsi="Century Gothic" w:cs="Times New Roman"/>
          <w:sz w:val="24"/>
          <w:szCs w:val="32"/>
        </w:rPr>
        <w:t xml:space="preserve"> de la MIR consiste en examinar las relaciones causa-efecto, siendo el análisis de derecha a izquierda </w:t>
      </w:r>
      <w:r w:rsidRPr="00A47857">
        <w:rPr>
          <w:rFonts w:ascii="Century Gothic" w:eastAsia="Times New Roman" w:hAnsi="Century Gothic" w:cs="Times New Roman"/>
          <w:sz w:val="24"/>
          <w:szCs w:val="32"/>
        </w:rPr>
        <w:t>buscando que haya congruencia entre todos sus elementos (CONEVAL, SHCP, SFP).</w:t>
      </w:r>
    </w:p>
    <w:p w14:paraId="63EBC9E7" w14:textId="77777777" w:rsidR="002941F5" w:rsidRPr="00A47857" w:rsidRDefault="002941F5" w:rsidP="00D441F9">
      <w:pPr>
        <w:overflowPunct w:val="0"/>
        <w:autoSpaceDE w:val="0"/>
        <w:autoSpaceDN w:val="0"/>
        <w:adjustRightInd w:val="0"/>
        <w:spacing w:after="240"/>
        <w:jc w:val="both"/>
        <w:textAlignment w:val="baseline"/>
        <w:rPr>
          <w:rFonts w:ascii="Century Gothic" w:hAnsi="Century Gothic"/>
          <w:sz w:val="24"/>
          <w:szCs w:val="24"/>
        </w:rPr>
      </w:pPr>
      <w:r w:rsidRPr="00A47857">
        <w:rPr>
          <w:rFonts w:ascii="Century Gothic" w:eastAsia="Times New Roman" w:hAnsi="Century Gothic" w:cs="Times New Roman"/>
          <w:sz w:val="24"/>
          <w:szCs w:val="32"/>
        </w:rPr>
        <w:t>La lógica horizontal permite tener una base objetiva para monitorear y evaluar el comportamiento y resultados del programa.</w:t>
      </w:r>
    </w:p>
    <w:p w14:paraId="67AD9C86" w14:textId="77777777" w:rsidR="00A47857" w:rsidRPr="00D441F9" w:rsidRDefault="00A47857" w:rsidP="00D441F9">
      <w:pPr>
        <w:spacing w:after="240"/>
        <w:jc w:val="both"/>
        <w:rPr>
          <w:rFonts w:ascii="Century Gothic" w:hAnsi="Century Gothic" w:cs="Arial"/>
          <w:sz w:val="24"/>
          <w:szCs w:val="24"/>
        </w:rPr>
      </w:pPr>
      <w:r w:rsidRPr="00A47857">
        <w:rPr>
          <w:rFonts w:ascii="Century Gothic" w:hAnsi="Century Gothic" w:cs="Arial"/>
          <w:sz w:val="24"/>
          <w:szCs w:val="24"/>
        </w:rPr>
        <w:t xml:space="preserve">Es importante señalar que dicho análisis se realizó de manera independiente a los resultados obtenidos en la lógica vertical. </w:t>
      </w:r>
      <w:r w:rsidRPr="00A47857">
        <w:rPr>
          <w:rFonts w:ascii="Century Gothic" w:hAnsi="Century Gothic"/>
          <w:sz w:val="24"/>
          <w:szCs w:val="24"/>
        </w:rPr>
        <w:t xml:space="preserve">A continuación, se realizan los comentarios para cada indicador del programa, </w:t>
      </w:r>
      <w:r w:rsidRPr="00D441F9">
        <w:rPr>
          <w:rFonts w:ascii="Century Gothic" w:hAnsi="Century Gothic" w:cs="Arial"/>
          <w:sz w:val="24"/>
          <w:szCs w:val="24"/>
        </w:rPr>
        <w:t>empezando con el fin:</w:t>
      </w:r>
    </w:p>
    <w:p w14:paraId="0A5AB951" w14:textId="77777777" w:rsidR="00D441F9" w:rsidRPr="00D441F9" w:rsidRDefault="00D441F9" w:rsidP="00D441F9">
      <w:pPr>
        <w:autoSpaceDE w:val="0"/>
        <w:autoSpaceDN w:val="0"/>
        <w:adjustRightInd w:val="0"/>
        <w:spacing w:after="240"/>
        <w:jc w:val="both"/>
        <w:rPr>
          <w:rFonts w:ascii="Century Gothic" w:hAnsi="Century Gothic" w:cs="Arial"/>
          <w:sz w:val="24"/>
          <w:szCs w:val="24"/>
        </w:rPr>
      </w:pPr>
      <w:r w:rsidRPr="00D441F9">
        <w:rPr>
          <w:rFonts w:ascii="Century Gothic" w:hAnsi="Century Gothic" w:cs="Arial"/>
          <w:sz w:val="24"/>
          <w:szCs w:val="24"/>
        </w:rPr>
        <w:t>El objetivo de fin del programa es “</w:t>
      </w:r>
      <w:r>
        <w:rPr>
          <w:rFonts w:ascii="Century Gothic" w:hAnsi="Century Gothic" w:cs="Arial"/>
          <w:sz w:val="24"/>
          <w:szCs w:val="24"/>
        </w:rPr>
        <w:t>C</w:t>
      </w:r>
      <w:r w:rsidRPr="00D441F9">
        <w:rPr>
          <w:rFonts w:ascii="Century Gothic" w:hAnsi="Century Gothic" w:cs="Arial"/>
          <w:sz w:val="24"/>
          <w:szCs w:val="24"/>
        </w:rPr>
        <w:t>ontribuir en el desarrollo de la infraestructura</w:t>
      </w:r>
      <w:r>
        <w:rPr>
          <w:rFonts w:ascii="Century Gothic" w:hAnsi="Century Gothic" w:cs="Arial"/>
          <w:sz w:val="24"/>
          <w:szCs w:val="24"/>
        </w:rPr>
        <w:t xml:space="preserve"> </w:t>
      </w:r>
      <w:r w:rsidRPr="00D441F9">
        <w:rPr>
          <w:rFonts w:ascii="Century Gothic" w:hAnsi="Century Gothic" w:cs="Arial"/>
          <w:sz w:val="24"/>
          <w:szCs w:val="24"/>
        </w:rPr>
        <w:t>estatal, para que la sociedad cuente con edificaciones que brinden servicios gubernamentales, educativos, culturales, en materia de seguridad y/o de salud, accesibles y seguros mediante la adecuada planeación, seguimiento y control de la obra pública” y se pretende medir a través de la “</w:t>
      </w:r>
      <w:r>
        <w:rPr>
          <w:rFonts w:ascii="Century Gothic" w:hAnsi="Century Gothic" w:cs="Arial"/>
          <w:sz w:val="24"/>
          <w:szCs w:val="24"/>
        </w:rPr>
        <w:t>P</w:t>
      </w:r>
      <w:r w:rsidRPr="00D441F9">
        <w:rPr>
          <w:rFonts w:ascii="Century Gothic" w:hAnsi="Century Gothic" w:cs="Arial"/>
          <w:sz w:val="24"/>
          <w:szCs w:val="24"/>
        </w:rPr>
        <w:t>orcentaje de obras públicas no habitacionales ejecutadas por el estado”, como se muestra en la figura siguiente:</w:t>
      </w:r>
    </w:p>
    <w:p w14:paraId="55841CD6" w14:textId="77777777" w:rsidR="002941F5" w:rsidRDefault="002941F5" w:rsidP="00354F9E">
      <w:pPr>
        <w:overflowPunct w:val="0"/>
        <w:autoSpaceDE w:val="0"/>
        <w:autoSpaceDN w:val="0"/>
        <w:adjustRightInd w:val="0"/>
        <w:spacing w:after="240"/>
        <w:jc w:val="both"/>
        <w:textAlignment w:val="baseline"/>
        <w:rPr>
          <w:rFonts w:ascii="Century Gothic" w:hAnsi="Century Gothic"/>
          <w:sz w:val="24"/>
          <w:szCs w:val="24"/>
        </w:rPr>
      </w:pPr>
    </w:p>
    <w:p w14:paraId="4853115D" w14:textId="77777777" w:rsidR="002941F5" w:rsidRDefault="002941F5" w:rsidP="00354F9E">
      <w:pPr>
        <w:overflowPunct w:val="0"/>
        <w:autoSpaceDE w:val="0"/>
        <w:autoSpaceDN w:val="0"/>
        <w:adjustRightInd w:val="0"/>
        <w:spacing w:after="240"/>
        <w:jc w:val="both"/>
        <w:textAlignment w:val="baseline"/>
        <w:rPr>
          <w:rFonts w:ascii="Century Gothic" w:hAnsi="Century Gothic"/>
          <w:sz w:val="24"/>
          <w:szCs w:val="24"/>
        </w:rPr>
      </w:pPr>
    </w:p>
    <w:p w14:paraId="35CDEB89" w14:textId="77777777" w:rsidR="002941F5" w:rsidRDefault="002941F5" w:rsidP="00354F9E">
      <w:pPr>
        <w:overflowPunct w:val="0"/>
        <w:autoSpaceDE w:val="0"/>
        <w:autoSpaceDN w:val="0"/>
        <w:adjustRightInd w:val="0"/>
        <w:spacing w:after="240"/>
        <w:jc w:val="both"/>
        <w:textAlignment w:val="baseline"/>
        <w:rPr>
          <w:rFonts w:ascii="Century Gothic" w:hAnsi="Century Gothic"/>
          <w:sz w:val="24"/>
          <w:szCs w:val="24"/>
        </w:rPr>
      </w:pPr>
    </w:p>
    <w:p w14:paraId="37D1BCF0" w14:textId="77777777" w:rsidR="002941F5" w:rsidRDefault="002941F5" w:rsidP="00354F9E">
      <w:pPr>
        <w:overflowPunct w:val="0"/>
        <w:autoSpaceDE w:val="0"/>
        <w:autoSpaceDN w:val="0"/>
        <w:adjustRightInd w:val="0"/>
        <w:spacing w:after="240"/>
        <w:jc w:val="both"/>
        <w:textAlignment w:val="baseline"/>
        <w:rPr>
          <w:rFonts w:ascii="Century Gothic" w:hAnsi="Century Gothic"/>
          <w:sz w:val="24"/>
          <w:szCs w:val="24"/>
        </w:rPr>
      </w:pPr>
    </w:p>
    <w:p w14:paraId="044A18AF" w14:textId="77777777" w:rsidR="002941F5" w:rsidRDefault="003832EF" w:rsidP="00126F3A">
      <w:pPr>
        <w:overflowPunct w:val="0"/>
        <w:autoSpaceDE w:val="0"/>
        <w:autoSpaceDN w:val="0"/>
        <w:adjustRightInd w:val="0"/>
        <w:spacing w:after="240"/>
        <w:jc w:val="center"/>
        <w:textAlignment w:val="baseline"/>
        <w:rPr>
          <w:rFonts w:cstheme="minorHAnsi"/>
          <w:b/>
          <w:szCs w:val="24"/>
        </w:rPr>
      </w:pPr>
      <w:r>
        <w:rPr>
          <w:rFonts w:cstheme="minorHAnsi"/>
          <w:b/>
          <w:szCs w:val="24"/>
        </w:rPr>
        <w:t>Figura 2.10</w:t>
      </w:r>
      <w:r w:rsidR="00126F3A">
        <w:rPr>
          <w:rFonts w:cstheme="minorHAnsi"/>
          <w:b/>
          <w:szCs w:val="24"/>
        </w:rPr>
        <w:t xml:space="preserve"> </w:t>
      </w:r>
      <w:r w:rsidR="00126F3A" w:rsidRPr="00C85018">
        <w:rPr>
          <w:rFonts w:cstheme="minorHAnsi"/>
          <w:b/>
          <w:szCs w:val="24"/>
        </w:rPr>
        <w:t xml:space="preserve">Análisis de la lógica horizontal del objetivo del </w:t>
      </w:r>
      <w:r w:rsidR="00126F3A">
        <w:rPr>
          <w:rFonts w:cstheme="minorHAnsi"/>
          <w:b/>
          <w:szCs w:val="24"/>
        </w:rPr>
        <w:t>Fin</w:t>
      </w:r>
    </w:p>
    <w:p w14:paraId="29A1AEB8" w14:textId="77777777" w:rsidR="00126F3A" w:rsidRPr="00226BE5" w:rsidRDefault="007248DB" w:rsidP="00126F3A">
      <w:pPr>
        <w:overflowPunct w:val="0"/>
        <w:autoSpaceDE w:val="0"/>
        <w:autoSpaceDN w:val="0"/>
        <w:adjustRightInd w:val="0"/>
        <w:spacing w:after="240"/>
        <w:jc w:val="center"/>
        <w:textAlignment w:val="baseline"/>
        <w:rPr>
          <w:rFonts w:ascii="Century Gothic" w:hAnsi="Century Gothic"/>
          <w:sz w:val="24"/>
          <w:szCs w:val="24"/>
        </w:rPr>
      </w:pPr>
      <w:r>
        <w:rPr>
          <w:rFonts w:ascii="Century Gothic" w:hAnsi="Century Gothic"/>
          <w:noProof/>
          <w:sz w:val="24"/>
          <w:szCs w:val="24"/>
          <w:lang w:eastAsia="es-MX"/>
        </w:rPr>
        <w:lastRenderedPageBreak/>
        <w:drawing>
          <wp:inline distT="0" distB="0" distL="0" distR="0" wp14:anchorId="46226E2D" wp14:editId="31E98486">
            <wp:extent cx="5753100" cy="4270422"/>
            <wp:effectExtent l="0" t="0" r="0" b="0"/>
            <wp:docPr id="3122" name="Imagen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4270422"/>
                    </a:xfrm>
                    <a:prstGeom prst="rect">
                      <a:avLst/>
                    </a:prstGeom>
                    <a:noFill/>
                  </pic:spPr>
                </pic:pic>
              </a:graphicData>
            </a:graphic>
          </wp:inline>
        </w:drawing>
      </w:r>
    </w:p>
    <w:p w14:paraId="3AB884B6" w14:textId="77777777" w:rsidR="00126F3A" w:rsidRDefault="00126F3A" w:rsidP="00187129">
      <w:pPr>
        <w:rPr>
          <w:rFonts w:ascii="Century Gothic" w:eastAsiaTheme="majorEastAsia" w:hAnsi="Century Gothic" w:cstheme="majorBidi"/>
          <w:b/>
          <w:bCs/>
          <w:color w:val="0E4E7A"/>
          <w:sz w:val="28"/>
          <w:szCs w:val="26"/>
        </w:rPr>
      </w:pPr>
      <w:bookmarkStart w:id="24" w:name="_Toc505364429"/>
      <w:bookmarkEnd w:id="20"/>
      <w:r w:rsidRPr="00126F3A">
        <w:rPr>
          <w:rFonts w:ascii="Calibri" w:eastAsia="Times New Roman" w:hAnsi="Calibri" w:cs="Calibri"/>
          <w:bCs/>
          <w:color w:val="000000" w:themeColor="dark1"/>
          <w:kern w:val="24"/>
          <w:lang w:eastAsia="es-MX"/>
        </w:rPr>
        <w:t>Fuente:</w:t>
      </w:r>
      <w:r w:rsidRPr="003B2DB5">
        <w:rPr>
          <w:rFonts w:ascii="Calibri" w:eastAsia="Times New Roman" w:hAnsi="Calibri" w:cs="Calibri"/>
          <w:b/>
          <w:bCs/>
          <w:color w:val="000000" w:themeColor="dark1"/>
          <w:kern w:val="24"/>
          <w:lang w:eastAsia="es-MX"/>
        </w:rPr>
        <w:t xml:space="preserve"> </w:t>
      </w:r>
      <w:r w:rsidRPr="00BE6042">
        <w:rPr>
          <w:rFonts w:ascii="Century Gothic" w:eastAsiaTheme="majorEastAsia" w:hAnsi="Century Gothic" w:cstheme="majorBidi"/>
          <w:sz w:val="16"/>
          <w:szCs w:val="16"/>
        </w:rPr>
        <w:t>elaborado por TECSO</w:t>
      </w:r>
      <w:r w:rsidRPr="00FC3293">
        <w:rPr>
          <w:rFonts w:ascii="Century Gothic" w:eastAsiaTheme="majorEastAsia" w:hAnsi="Century Gothic" w:cstheme="majorBidi"/>
          <w:sz w:val="16"/>
          <w:szCs w:val="16"/>
        </w:rPr>
        <w:t xml:space="preserve"> con base en información de la MIR del programa</w:t>
      </w:r>
      <w:r>
        <w:rPr>
          <w:rFonts w:ascii="Century Gothic" w:eastAsiaTheme="majorEastAsia" w:hAnsi="Century Gothic" w:cstheme="majorBidi"/>
          <w:sz w:val="16"/>
          <w:szCs w:val="16"/>
        </w:rPr>
        <w:t xml:space="preserve"> Infraestructura no Habitacional.</w:t>
      </w:r>
    </w:p>
    <w:p w14:paraId="53C818FA" w14:textId="77777777" w:rsidR="00126F3A" w:rsidRDefault="008231C5" w:rsidP="007248DB">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A nivel Fin, el indicador debe ser estratégico, es decir este debe medir el grado de cumplimiento a los objetivos de política pública,</w:t>
      </w:r>
      <w:r w:rsidR="001505BB">
        <w:rPr>
          <w:rFonts w:ascii="Century Gothic" w:hAnsi="Century Gothic"/>
          <w:sz w:val="24"/>
          <w:szCs w:val="24"/>
        </w:rPr>
        <w:t xml:space="preserve"> su impacto social o económico, por lo que ante el indicador propuesto “</w:t>
      </w:r>
      <w:r w:rsidR="001505BB" w:rsidRPr="001505BB">
        <w:rPr>
          <w:rFonts w:ascii="Century Gothic" w:hAnsi="Century Gothic"/>
          <w:sz w:val="24"/>
          <w:szCs w:val="24"/>
        </w:rPr>
        <w:t>Porcentaje de obras públicas no habitacionales ejecutadas por el estado</w:t>
      </w:r>
      <w:r w:rsidR="001505BB">
        <w:rPr>
          <w:rFonts w:ascii="Century Gothic" w:hAnsi="Century Gothic"/>
          <w:sz w:val="24"/>
          <w:szCs w:val="24"/>
        </w:rPr>
        <w:t>”, se tienen las siguientes observaciones:</w:t>
      </w:r>
    </w:p>
    <w:p w14:paraId="3E730703" w14:textId="77777777" w:rsidR="001505BB" w:rsidRDefault="001505BB" w:rsidP="007248DB">
      <w:pPr>
        <w:pStyle w:val="Prrafodelista"/>
        <w:numPr>
          <w:ilvl w:val="0"/>
          <w:numId w:val="18"/>
        </w:numPr>
        <w:overflowPunct w:val="0"/>
        <w:autoSpaceDE w:val="0"/>
        <w:autoSpaceDN w:val="0"/>
        <w:adjustRightInd w:val="0"/>
        <w:spacing w:after="120"/>
        <w:ind w:left="714" w:hanging="357"/>
        <w:contextualSpacing w:val="0"/>
        <w:jc w:val="both"/>
        <w:textAlignment w:val="baseline"/>
        <w:rPr>
          <w:rFonts w:ascii="Century Gothic" w:hAnsi="Century Gothic"/>
          <w:sz w:val="24"/>
          <w:szCs w:val="24"/>
        </w:rPr>
      </w:pPr>
      <w:r>
        <w:rPr>
          <w:rFonts w:ascii="Century Gothic" w:hAnsi="Century Gothic"/>
          <w:sz w:val="24"/>
          <w:szCs w:val="24"/>
        </w:rPr>
        <w:t>Una primera observación es que el nombre habla de porcentaje y en el método de cálculo este no se refleja.</w:t>
      </w:r>
    </w:p>
    <w:p w14:paraId="5DE0CFE9" w14:textId="77777777" w:rsidR="001505BB" w:rsidRDefault="001505BB" w:rsidP="007248DB">
      <w:pPr>
        <w:pStyle w:val="Prrafodelista"/>
        <w:numPr>
          <w:ilvl w:val="0"/>
          <w:numId w:val="18"/>
        </w:numPr>
        <w:overflowPunct w:val="0"/>
        <w:autoSpaceDE w:val="0"/>
        <w:autoSpaceDN w:val="0"/>
        <w:adjustRightInd w:val="0"/>
        <w:spacing w:after="120"/>
        <w:ind w:left="714" w:hanging="357"/>
        <w:contextualSpacing w:val="0"/>
        <w:jc w:val="both"/>
        <w:textAlignment w:val="baseline"/>
        <w:rPr>
          <w:rFonts w:ascii="Century Gothic" w:hAnsi="Century Gothic"/>
          <w:sz w:val="24"/>
          <w:szCs w:val="24"/>
        </w:rPr>
      </w:pPr>
      <w:r>
        <w:rPr>
          <w:rFonts w:ascii="Century Gothic" w:hAnsi="Century Gothic"/>
          <w:sz w:val="24"/>
          <w:szCs w:val="24"/>
        </w:rPr>
        <w:t>Al hablar de población lo que mide es la cobertura y no el impacto que genera el programa.</w:t>
      </w:r>
    </w:p>
    <w:p w14:paraId="149504F9" w14:textId="77777777" w:rsidR="001505BB" w:rsidRDefault="001505BB" w:rsidP="007248DB">
      <w:pPr>
        <w:pStyle w:val="Prrafodelista"/>
        <w:numPr>
          <w:ilvl w:val="0"/>
          <w:numId w:val="18"/>
        </w:numPr>
        <w:overflowPunct w:val="0"/>
        <w:autoSpaceDE w:val="0"/>
        <w:autoSpaceDN w:val="0"/>
        <w:adjustRightInd w:val="0"/>
        <w:spacing w:after="120"/>
        <w:ind w:left="714" w:hanging="357"/>
        <w:contextualSpacing w:val="0"/>
        <w:jc w:val="both"/>
        <w:textAlignment w:val="baseline"/>
        <w:rPr>
          <w:rFonts w:ascii="Century Gothic" w:hAnsi="Century Gothic"/>
          <w:sz w:val="24"/>
          <w:szCs w:val="24"/>
        </w:rPr>
      </w:pPr>
      <w:r w:rsidRPr="007248DB">
        <w:rPr>
          <w:rFonts w:ascii="Century Gothic" w:hAnsi="Century Gothic"/>
          <w:sz w:val="24"/>
          <w:szCs w:val="24"/>
        </w:rPr>
        <w:t xml:space="preserve">Respecto a los medios de verificación, el Informe de gobierno del poder del ejecutivo, </w:t>
      </w:r>
      <w:r w:rsidR="007248DB" w:rsidRPr="007248DB">
        <w:rPr>
          <w:rFonts w:ascii="Century Gothic" w:hAnsi="Century Gothic"/>
          <w:sz w:val="24"/>
          <w:szCs w:val="24"/>
        </w:rPr>
        <w:t xml:space="preserve">es una fuente garante de información, sin embargo se debe considerar si este es suficiente para obtener los datos requeridos para el cálculo de los indicadores, considerando que </w:t>
      </w:r>
      <w:r w:rsidR="007248DB" w:rsidRPr="007248DB">
        <w:rPr>
          <w:rFonts w:ascii="Century Gothic" w:hAnsi="Century Gothic"/>
          <w:sz w:val="24"/>
          <w:szCs w:val="24"/>
        </w:rPr>
        <w:lastRenderedPageBreak/>
        <w:t>debe haber un medio de verificación para cada una de las variables de los indicadores</w:t>
      </w:r>
      <w:r w:rsidR="007248DB">
        <w:rPr>
          <w:rFonts w:ascii="Century Gothic" w:hAnsi="Century Gothic"/>
          <w:sz w:val="24"/>
          <w:szCs w:val="24"/>
        </w:rPr>
        <w:t>.</w:t>
      </w:r>
      <w:r w:rsidR="00B54C8D">
        <w:rPr>
          <w:rFonts w:ascii="Century Gothic" w:hAnsi="Century Gothic"/>
          <w:sz w:val="24"/>
          <w:szCs w:val="24"/>
        </w:rPr>
        <w:t xml:space="preserve"> Esto se observa en todos los indicadores de la MIR.</w:t>
      </w:r>
    </w:p>
    <w:p w14:paraId="33EC8A71" w14:textId="77777777" w:rsidR="00E16A6B" w:rsidRPr="007248DB" w:rsidRDefault="00E16A6B" w:rsidP="00E16A6B">
      <w:pPr>
        <w:pStyle w:val="Prrafodelista"/>
        <w:numPr>
          <w:ilvl w:val="0"/>
          <w:numId w:val="18"/>
        </w:numPr>
        <w:overflowPunct w:val="0"/>
        <w:autoSpaceDE w:val="0"/>
        <w:autoSpaceDN w:val="0"/>
        <w:adjustRightInd w:val="0"/>
        <w:spacing w:after="240"/>
        <w:ind w:left="714" w:hanging="357"/>
        <w:contextualSpacing w:val="0"/>
        <w:jc w:val="both"/>
        <w:textAlignment w:val="baseline"/>
        <w:rPr>
          <w:rFonts w:ascii="Century Gothic" w:hAnsi="Century Gothic"/>
          <w:sz w:val="24"/>
          <w:szCs w:val="24"/>
        </w:rPr>
      </w:pPr>
      <w:r>
        <w:rPr>
          <w:rFonts w:ascii="Century Gothic" w:hAnsi="Century Gothic"/>
          <w:sz w:val="24"/>
          <w:szCs w:val="24"/>
        </w:rPr>
        <w:t>En cuanto a la frecuencia de medición “anual”, esta es adecuada</w:t>
      </w:r>
      <w:r w:rsidR="00B54C8D">
        <w:rPr>
          <w:rFonts w:ascii="Century Gothic" w:hAnsi="Century Gothic"/>
          <w:sz w:val="24"/>
          <w:szCs w:val="24"/>
        </w:rPr>
        <w:t xml:space="preserve"> para este nivel</w:t>
      </w:r>
      <w:r>
        <w:rPr>
          <w:rFonts w:ascii="Century Gothic" w:hAnsi="Century Gothic"/>
          <w:sz w:val="24"/>
          <w:szCs w:val="24"/>
        </w:rPr>
        <w:t>.</w:t>
      </w:r>
    </w:p>
    <w:p w14:paraId="1487DD8E" w14:textId="77777777" w:rsidR="001505BB" w:rsidRPr="007248DB" w:rsidRDefault="00E16A6B" w:rsidP="007248DB">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 xml:space="preserve">En general se observa que </w:t>
      </w:r>
      <w:r w:rsidR="007248DB">
        <w:rPr>
          <w:rFonts w:ascii="Century Gothic" w:hAnsi="Century Gothic"/>
          <w:sz w:val="24"/>
          <w:szCs w:val="24"/>
        </w:rPr>
        <w:t xml:space="preserve">el indicador planteado no es adecuado para medir el logro a nivel </w:t>
      </w:r>
      <w:r>
        <w:rPr>
          <w:rFonts w:ascii="Century Gothic" w:hAnsi="Century Gothic"/>
          <w:sz w:val="24"/>
          <w:szCs w:val="24"/>
        </w:rPr>
        <w:t>fin del programa presupuestario, por lo que primero se recomienda reestructurar el programa identificando la problemática en particular que busca atender y así poder establecer indicadores que reflejen su logro.</w:t>
      </w:r>
    </w:p>
    <w:p w14:paraId="3B4B5585" w14:textId="77777777" w:rsidR="00F51BE5" w:rsidRDefault="007248DB" w:rsidP="00126F3A">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A continuación se presenta el análisis a nivel propósito:</w:t>
      </w:r>
    </w:p>
    <w:p w14:paraId="541CAD5A" w14:textId="77777777" w:rsidR="007248DB" w:rsidRDefault="003832EF" w:rsidP="007248DB">
      <w:pPr>
        <w:overflowPunct w:val="0"/>
        <w:autoSpaceDE w:val="0"/>
        <w:autoSpaceDN w:val="0"/>
        <w:adjustRightInd w:val="0"/>
        <w:spacing w:after="240"/>
        <w:jc w:val="center"/>
        <w:textAlignment w:val="baseline"/>
        <w:rPr>
          <w:rFonts w:cstheme="minorHAnsi"/>
          <w:b/>
          <w:szCs w:val="24"/>
        </w:rPr>
      </w:pPr>
      <w:r>
        <w:rPr>
          <w:rFonts w:cstheme="minorHAnsi"/>
          <w:b/>
          <w:szCs w:val="24"/>
        </w:rPr>
        <w:t>Figura 2.11</w:t>
      </w:r>
      <w:r w:rsidR="007248DB">
        <w:rPr>
          <w:rFonts w:cstheme="minorHAnsi"/>
          <w:b/>
          <w:szCs w:val="24"/>
        </w:rPr>
        <w:t xml:space="preserve"> </w:t>
      </w:r>
      <w:r w:rsidR="007248DB" w:rsidRPr="00C85018">
        <w:rPr>
          <w:rFonts w:cstheme="minorHAnsi"/>
          <w:b/>
          <w:szCs w:val="24"/>
        </w:rPr>
        <w:t xml:space="preserve">Análisis de la lógica horizontal del objetivo del </w:t>
      </w:r>
      <w:r w:rsidR="007248DB">
        <w:rPr>
          <w:rFonts w:cstheme="minorHAnsi"/>
          <w:b/>
          <w:szCs w:val="24"/>
        </w:rPr>
        <w:t>Propósito</w:t>
      </w:r>
    </w:p>
    <w:p w14:paraId="6B332DF5" w14:textId="77777777" w:rsidR="007248DB" w:rsidRDefault="00FF260B" w:rsidP="00126F3A">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noProof/>
          <w:sz w:val="24"/>
          <w:szCs w:val="24"/>
          <w:lang w:eastAsia="es-MX"/>
        </w:rPr>
        <w:drawing>
          <wp:inline distT="0" distB="0" distL="0" distR="0" wp14:anchorId="668DC9CA" wp14:editId="688344AA">
            <wp:extent cx="5695950" cy="4257675"/>
            <wp:effectExtent l="0" t="0" r="0" b="0"/>
            <wp:docPr id="3276" name="Imagen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381" cy="4264724"/>
                    </a:xfrm>
                    <a:prstGeom prst="rect">
                      <a:avLst/>
                    </a:prstGeom>
                    <a:noFill/>
                  </pic:spPr>
                </pic:pic>
              </a:graphicData>
            </a:graphic>
          </wp:inline>
        </w:drawing>
      </w:r>
    </w:p>
    <w:p w14:paraId="25770F29" w14:textId="77777777" w:rsidR="007248DB" w:rsidRDefault="007248DB" w:rsidP="007248DB">
      <w:pPr>
        <w:rPr>
          <w:rFonts w:ascii="Century Gothic" w:eastAsiaTheme="majorEastAsia" w:hAnsi="Century Gothic" w:cstheme="majorBidi"/>
          <w:b/>
          <w:bCs/>
          <w:color w:val="0E4E7A"/>
          <w:sz w:val="28"/>
          <w:szCs w:val="26"/>
        </w:rPr>
      </w:pPr>
      <w:r w:rsidRPr="00126F3A">
        <w:rPr>
          <w:rFonts w:ascii="Calibri" w:eastAsia="Times New Roman" w:hAnsi="Calibri" w:cs="Calibri"/>
          <w:bCs/>
          <w:color w:val="000000" w:themeColor="dark1"/>
          <w:kern w:val="24"/>
          <w:lang w:eastAsia="es-MX"/>
        </w:rPr>
        <w:t>Fuente:</w:t>
      </w:r>
      <w:r w:rsidRPr="003B2DB5">
        <w:rPr>
          <w:rFonts w:ascii="Calibri" w:eastAsia="Times New Roman" w:hAnsi="Calibri" w:cs="Calibri"/>
          <w:b/>
          <w:bCs/>
          <w:color w:val="000000" w:themeColor="dark1"/>
          <w:kern w:val="24"/>
          <w:lang w:eastAsia="es-MX"/>
        </w:rPr>
        <w:t xml:space="preserve"> </w:t>
      </w:r>
      <w:r w:rsidRPr="00BE6042">
        <w:rPr>
          <w:rFonts w:ascii="Century Gothic" w:eastAsiaTheme="majorEastAsia" w:hAnsi="Century Gothic" w:cstheme="majorBidi"/>
          <w:sz w:val="16"/>
          <w:szCs w:val="16"/>
        </w:rPr>
        <w:t>elaborado por TECSO</w:t>
      </w:r>
      <w:r w:rsidRPr="00FC3293">
        <w:rPr>
          <w:rFonts w:ascii="Century Gothic" w:eastAsiaTheme="majorEastAsia" w:hAnsi="Century Gothic" w:cstheme="majorBidi"/>
          <w:sz w:val="16"/>
          <w:szCs w:val="16"/>
        </w:rPr>
        <w:t xml:space="preserve"> con base en información de la MIR del programa</w:t>
      </w:r>
      <w:r>
        <w:rPr>
          <w:rFonts w:ascii="Century Gothic" w:eastAsiaTheme="majorEastAsia" w:hAnsi="Century Gothic" w:cstheme="majorBidi"/>
          <w:sz w:val="16"/>
          <w:szCs w:val="16"/>
        </w:rPr>
        <w:t xml:space="preserve"> Infraestructura no Habitacional.</w:t>
      </w:r>
    </w:p>
    <w:p w14:paraId="638D54CF" w14:textId="77777777" w:rsidR="007248DB" w:rsidRDefault="00D6171D" w:rsidP="00D6171D">
      <w:pPr>
        <w:overflowPunct w:val="0"/>
        <w:autoSpaceDE w:val="0"/>
        <w:autoSpaceDN w:val="0"/>
        <w:adjustRightInd w:val="0"/>
        <w:spacing w:after="240"/>
        <w:jc w:val="both"/>
        <w:textAlignment w:val="baseline"/>
        <w:rPr>
          <w:rFonts w:ascii="Century Gothic" w:hAnsi="Century Gothic"/>
          <w:sz w:val="24"/>
          <w:szCs w:val="24"/>
        </w:rPr>
      </w:pPr>
      <w:r w:rsidRPr="00D6171D">
        <w:rPr>
          <w:rFonts w:ascii="Century Gothic" w:hAnsi="Century Gothic"/>
          <w:sz w:val="24"/>
          <w:szCs w:val="24"/>
        </w:rPr>
        <w:lastRenderedPageBreak/>
        <w:t xml:space="preserve">En el propósito se </w:t>
      </w:r>
      <w:r>
        <w:rPr>
          <w:rFonts w:ascii="Century Gothic" w:hAnsi="Century Gothic"/>
          <w:sz w:val="24"/>
          <w:szCs w:val="24"/>
        </w:rPr>
        <w:t>debe medir</w:t>
      </w:r>
      <w:r w:rsidRPr="00D6171D">
        <w:rPr>
          <w:rFonts w:ascii="Century Gothic" w:hAnsi="Century Gothic"/>
          <w:sz w:val="24"/>
          <w:szCs w:val="24"/>
        </w:rPr>
        <w:t xml:space="preserve"> el cambio generado por el programa en</w:t>
      </w:r>
      <w:r>
        <w:rPr>
          <w:rFonts w:ascii="Century Gothic" w:hAnsi="Century Gothic"/>
          <w:sz w:val="24"/>
          <w:szCs w:val="24"/>
        </w:rPr>
        <w:t xml:space="preserve"> </w:t>
      </w:r>
      <w:r w:rsidRPr="00D6171D">
        <w:rPr>
          <w:rFonts w:ascii="Century Gothic" w:hAnsi="Century Gothic"/>
          <w:sz w:val="24"/>
          <w:szCs w:val="24"/>
        </w:rPr>
        <w:t>la población objetivo. Por lo general, este resultado puede ser medido</w:t>
      </w:r>
      <w:r>
        <w:rPr>
          <w:rFonts w:ascii="Century Gothic" w:hAnsi="Century Gothic"/>
          <w:sz w:val="24"/>
          <w:szCs w:val="24"/>
        </w:rPr>
        <w:t xml:space="preserve"> en el mediano plazo, (CONEVAL, 2013).</w:t>
      </w:r>
    </w:p>
    <w:p w14:paraId="3FFB7CE4" w14:textId="77777777" w:rsidR="00A74787" w:rsidRDefault="00A74787" w:rsidP="00D6171D">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Así, se tiene las siguientes observaciones:</w:t>
      </w:r>
    </w:p>
    <w:p w14:paraId="2DF2FBB0" w14:textId="77777777" w:rsidR="00A74787" w:rsidRDefault="00A74787" w:rsidP="00A74787">
      <w:pPr>
        <w:pStyle w:val="Prrafodelista"/>
        <w:numPr>
          <w:ilvl w:val="0"/>
          <w:numId w:val="18"/>
        </w:numPr>
        <w:overflowPunct w:val="0"/>
        <w:autoSpaceDE w:val="0"/>
        <w:autoSpaceDN w:val="0"/>
        <w:adjustRightInd w:val="0"/>
        <w:spacing w:after="120"/>
        <w:ind w:left="714" w:hanging="357"/>
        <w:contextualSpacing w:val="0"/>
        <w:jc w:val="both"/>
        <w:textAlignment w:val="baseline"/>
        <w:rPr>
          <w:rFonts w:ascii="Century Gothic" w:hAnsi="Century Gothic"/>
          <w:sz w:val="24"/>
          <w:szCs w:val="24"/>
        </w:rPr>
      </w:pPr>
      <w:r>
        <w:rPr>
          <w:rFonts w:ascii="Century Gothic" w:hAnsi="Century Gothic"/>
          <w:sz w:val="24"/>
          <w:szCs w:val="24"/>
        </w:rPr>
        <w:t>Al igual que en el fin, el nombre habla de porcentaje pero en el método de cálculo este no se refleja.</w:t>
      </w:r>
    </w:p>
    <w:p w14:paraId="5DAE6601" w14:textId="77777777" w:rsidR="00A74787" w:rsidRDefault="00B54C8D" w:rsidP="00A74787">
      <w:pPr>
        <w:pStyle w:val="Prrafodelista"/>
        <w:numPr>
          <w:ilvl w:val="0"/>
          <w:numId w:val="18"/>
        </w:numPr>
        <w:overflowPunct w:val="0"/>
        <w:autoSpaceDE w:val="0"/>
        <w:autoSpaceDN w:val="0"/>
        <w:adjustRightInd w:val="0"/>
        <w:spacing w:after="120"/>
        <w:ind w:left="714" w:hanging="357"/>
        <w:contextualSpacing w:val="0"/>
        <w:jc w:val="both"/>
        <w:textAlignment w:val="baseline"/>
        <w:rPr>
          <w:rFonts w:ascii="Century Gothic" w:hAnsi="Century Gothic"/>
          <w:sz w:val="24"/>
          <w:szCs w:val="24"/>
        </w:rPr>
      </w:pPr>
      <w:r>
        <w:rPr>
          <w:rFonts w:ascii="Century Gothic" w:hAnsi="Century Gothic"/>
          <w:sz w:val="24"/>
          <w:szCs w:val="24"/>
        </w:rPr>
        <w:t>Este indicador mide la cobertura, lo cual a nivel propósito es adecuado, sin embargo, se debe especificar el término “</w:t>
      </w:r>
      <w:r w:rsidRPr="00B54C8D">
        <w:rPr>
          <w:rFonts w:ascii="Century Gothic" w:hAnsi="Century Gothic"/>
          <w:sz w:val="24"/>
          <w:szCs w:val="24"/>
        </w:rPr>
        <w:t>infraestructura no habitacional</w:t>
      </w:r>
      <w:r>
        <w:rPr>
          <w:rFonts w:ascii="Century Gothic" w:hAnsi="Century Gothic"/>
          <w:sz w:val="24"/>
          <w:szCs w:val="24"/>
        </w:rPr>
        <w:t>”, es decir, que contempla dado que es muy general.</w:t>
      </w:r>
    </w:p>
    <w:p w14:paraId="068C10C1" w14:textId="77777777" w:rsidR="006D082B" w:rsidRPr="006D082B" w:rsidRDefault="006D082B" w:rsidP="006D082B">
      <w:pPr>
        <w:pStyle w:val="Prrafodelista"/>
        <w:numPr>
          <w:ilvl w:val="0"/>
          <w:numId w:val="18"/>
        </w:numPr>
        <w:spacing w:after="240"/>
        <w:ind w:left="714" w:hanging="357"/>
        <w:contextualSpacing w:val="0"/>
        <w:jc w:val="both"/>
        <w:rPr>
          <w:rFonts w:ascii="Century Gothic" w:hAnsi="Century Gothic"/>
          <w:sz w:val="24"/>
          <w:szCs w:val="24"/>
        </w:rPr>
      </w:pPr>
      <w:r w:rsidRPr="006D082B">
        <w:rPr>
          <w:rFonts w:ascii="Century Gothic" w:hAnsi="Century Gothic"/>
          <w:sz w:val="24"/>
          <w:szCs w:val="24"/>
        </w:rPr>
        <w:t>Por último, su periodicidad “anual” es adecuada, dado que es un tiempo pertinente para ver los cambios que puede llegar a generar el programa.</w:t>
      </w:r>
    </w:p>
    <w:p w14:paraId="466B6E2A" w14:textId="77777777" w:rsidR="00A74787" w:rsidRDefault="000D7881" w:rsidP="00A74787">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Respecto a los componentes se observó lo siguiente:</w:t>
      </w:r>
    </w:p>
    <w:p w14:paraId="226E27FD" w14:textId="77777777" w:rsidR="007248DB" w:rsidRDefault="003832EF" w:rsidP="00711A92">
      <w:pPr>
        <w:overflowPunct w:val="0"/>
        <w:autoSpaceDE w:val="0"/>
        <w:autoSpaceDN w:val="0"/>
        <w:adjustRightInd w:val="0"/>
        <w:spacing w:after="120"/>
        <w:jc w:val="center"/>
        <w:textAlignment w:val="baseline"/>
        <w:rPr>
          <w:rFonts w:cstheme="minorHAnsi"/>
          <w:b/>
          <w:szCs w:val="24"/>
        </w:rPr>
      </w:pPr>
      <w:r>
        <w:rPr>
          <w:rFonts w:cstheme="minorHAnsi"/>
          <w:b/>
          <w:szCs w:val="24"/>
        </w:rPr>
        <w:t>Figura 2.12</w:t>
      </w:r>
      <w:r w:rsidR="007248DB">
        <w:rPr>
          <w:rFonts w:cstheme="minorHAnsi"/>
          <w:b/>
          <w:szCs w:val="24"/>
        </w:rPr>
        <w:t xml:space="preserve"> </w:t>
      </w:r>
      <w:r w:rsidR="007248DB" w:rsidRPr="00C85018">
        <w:rPr>
          <w:rFonts w:cstheme="minorHAnsi"/>
          <w:b/>
          <w:szCs w:val="24"/>
        </w:rPr>
        <w:t xml:space="preserve">Análisis de la lógica horizontal del objetivo del </w:t>
      </w:r>
      <w:r w:rsidR="000D7881">
        <w:rPr>
          <w:rFonts w:cstheme="minorHAnsi"/>
          <w:b/>
          <w:szCs w:val="24"/>
        </w:rPr>
        <w:t>Componente</w:t>
      </w:r>
    </w:p>
    <w:p w14:paraId="7700C982" w14:textId="77777777" w:rsidR="007248DB" w:rsidRDefault="000D7881" w:rsidP="00711A92">
      <w:pPr>
        <w:overflowPunct w:val="0"/>
        <w:autoSpaceDE w:val="0"/>
        <w:autoSpaceDN w:val="0"/>
        <w:adjustRightInd w:val="0"/>
        <w:spacing w:after="120"/>
        <w:jc w:val="both"/>
        <w:textAlignment w:val="baseline"/>
        <w:rPr>
          <w:rFonts w:ascii="Century Gothic" w:hAnsi="Century Gothic"/>
          <w:sz w:val="24"/>
          <w:szCs w:val="24"/>
        </w:rPr>
      </w:pPr>
      <w:r>
        <w:rPr>
          <w:rFonts w:ascii="Century Gothic" w:hAnsi="Century Gothic"/>
          <w:noProof/>
          <w:sz w:val="24"/>
          <w:szCs w:val="24"/>
          <w:lang w:eastAsia="es-MX"/>
        </w:rPr>
        <w:drawing>
          <wp:inline distT="0" distB="0" distL="0" distR="0" wp14:anchorId="0EEE1862" wp14:editId="5F2A2D49">
            <wp:extent cx="5448300" cy="3810000"/>
            <wp:effectExtent l="0" t="0" r="0" b="0"/>
            <wp:docPr id="3306" name="Imagen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7504" cy="3809444"/>
                    </a:xfrm>
                    <a:prstGeom prst="rect">
                      <a:avLst/>
                    </a:prstGeom>
                    <a:noFill/>
                  </pic:spPr>
                </pic:pic>
              </a:graphicData>
            </a:graphic>
          </wp:inline>
        </w:drawing>
      </w:r>
    </w:p>
    <w:p w14:paraId="743F6DB2" w14:textId="77777777" w:rsidR="007248DB" w:rsidRDefault="007248DB" w:rsidP="007248DB">
      <w:pPr>
        <w:rPr>
          <w:rFonts w:ascii="Century Gothic" w:eastAsiaTheme="majorEastAsia" w:hAnsi="Century Gothic" w:cstheme="majorBidi"/>
          <w:b/>
          <w:bCs/>
          <w:color w:val="0E4E7A"/>
          <w:sz w:val="28"/>
          <w:szCs w:val="26"/>
        </w:rPr>
      </w:pPr>
      <w:r w:rsidRPr="00126F3A">
        <w:rPr>
          <w:rFonts w:ascii="Calibri" w:eastAsia="Times New Roman" w:hAnsi="Calibri" w:cs="Calibri"/>
          <w:bCs/>
          <w:color w:val="000000" w:themeColor="dark1"/>
          <w:kern w:val="24"/>
          <w:lang w:eastAsia="es-MX"/>
        </w:rPr>
        <w:t>Fuente:</w:t>
      </w:r>
      <w:r w:rsidRPr="003B2DB5">
        <w:rPr>
          <w:rFonts w:ascii="Calibri" w:eastAsia="Times New Roman" w:hAnsi="Calibri" w:cs="Calibri"/>
          <w:b/>
          <w:bCs/>
          <w:color w:val="000000" w:themeColor="dark1"/>
          <w:kern w:val="24"/>
          <w:lang w:eastAsia="es-MX"/>
        </w:rPr>
        <w:t xml:space="preserve"> </w:t>
      </w:r>
      <w:r w:rsidRPr="00BE6042">
        <w:rPr>
          <w:rFonts w:ascii="Century Gothic" w:eastAsiaTheme="majorEastAsia" w:hAnsi="Century Gothic" w:cstheme="majorBidi"/>
          <w:sz w:val="16"/>
          <w:szCs w:val="16"/>
        </w:rPr>
        <w:t>elaborado por TECSO</w:t>
      </w:r>
      <w:r w:rsidRPr="00FC3293">
        <w:rPr>
          <w:rFonts w:ascii="Century Gothic" w:eastAsiaTheme="majorEastAsia" w:hAnsi="Century Gothic" w:cstheme="majorBidi"/>
          <w:sz w:val="16"/>
          <w:szCs w:val="16"/>
        </w:rPr>
        <w:t xml:space="preserve"> con base en información de la MIR del programa</w:t>
      </w:r>
      <w:r>
        <w:rPr>
          <w:rFonts w:ascii="Century Gothic" w:eastAsiaTheme="majorEastAsia" w:hAnsi="Century Gothic" w:cstheme="majorBidi"/>
          <w:sz w:val="16"/>
          <w:szCs w:val="16"/>
        </w:rPr>
        <w:t xml:space="preserve"> Infraestructura no Habitacional.</w:t>
      </w:r>
    </w:p>
    <w:p w14:paraId="40602E0A" w14:textId="77777777" w:rsidR="007248DB" w:rsidRDefault="00606D59" w:rsidP="00606D59">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lastRenderedPageBreak/>
        <w:t>Como se comentó en el análisis de la lógica vertical, los componentes deben corresponder a los bienes o servicios finales que otorgue el programa, por lo que aquí nuevamente se retoma</w:t>
      </w:r>
      <w:r w:rsidR="00F426B1">
        <w:rPr>
          <w:rFonts w:ascii="Century Gothic" w:hAnsi="Century Gothic"/>
          <w:sz w:val="24"/>
          <w:szCs w:val="24"/>
        </w:rPr>
        <w:t>, pues como lo establece CONEVAL en la guía, “</w:t>
      </w:r>
      <w:r>
        <w:rPr>
          <w:rFonts w:ascii="Century Gothic" w:hAnsi="Century Gothic"/>
          <w:sz w:val="24"/>
          <w:szCs w:val="24"/>
        </w:rPr>
        <w:t>primero se debe i</w:t>
      </w:r>
      <w:r w:rsidRPr="00606D59">
        <w:rPr>
          <w:rFonts w:ascii="Century Gothic" w:hAnsi="Century Gothic"/>
          <w:sz w:val="24"/>
          <w:szCs w:val="24"/>
        </w:rPr>
        <w:t>dentificar los factores relevantes a medir para cada objetivo</w:t>
      </w:r>
      <w:r w:rsidR="00F426B1">
        <w:rPr>
          <w:rFonts w:ascii="Century Gothic" w:hAnsi="Century Gothic"/>
          <w:sz w:val="24"/>
          <w:szCs w:val="24"/>
        </w:rPr>
        <w:t>,</w:t>
      </w:r>
      <w:r>
        <w:rPr>
          <w:rFonts w:ascii="Century Gothic" w:hAnsi="Century Gothic"/>
          <w:sz w:val="24"/>
          <w:szCs w:val="24"/>
        </w:rPr>
        <w:t xml:space="preserve"> esto permitirá </w:t>
      </w:r>
      <w:r w:rsidRPr="00606D59">
        <w:rPr>
          <w:rFonts w:ascii="Century Gothic" w:hAnsi="Century Gothic"/>
          <w:sz w:val="24"/>
          <w:szCs w:val="24"/>
        </w:rPr>
        <w:t>tener claridad acerca de qué queremos medir y en quién</w:t>
      </w:r>
      <w:r>
        <w:rPr>
          <w:rFonts w:ascii="Century Gothic" w:hAnsi="Century Gothic"/>
          <w:sz w:val="24"/>
          <w:szCs w:val="24"/>
        </w:rPr>
        <w:t xml:space="preserve"> </w:t>
      </w:r>
      <w:r w:rsidRPr="00606D59">
        <w:rPr>
          <w:rFonts w:ascii="Century Gothic" w:hAnsi="Century Gothic"/>
          <w:sz w:val="24"/>
          <w:szCs w:val="24"/>
        </w:rPr>
        <w:t>lo queremos medir</w:t>
      </w:r>
      <w:r w:rsidR="00F426B1">
        <w:rPr>
          <w:rFonts w:ascii="Century Gothic" w:hAnsi="Century Gothic"/>
          <w:sz w:val="24"/>
          <w:szCs w:val="24"/>
        </w:rPr>
        <w:t>” (CONEVAL, 2013)</w:t>
      </w:r>
      <w:r w:rsidRPr="00606D59">
        <w:rPr>
          <w:rFonts w:ascii="Century Gothic" w:hAnsi="Century Gothic"/>
          <w:sz w:val="24"/>
          <w:szCs w:val="24"/>
        </w:rPr>
        <w:t>. Ambos aspectos son esenciales para la formulación</w:t>
      </w:r>
      <w:r>
        <w:rPr>
          <w:rFonts w:ascii="Century Gothic" w:hAnsi="Century Gothic"/>
          <w:sz w:val="24"/>
          <w:szCs w:val="24"/>
        </w:rPr>
        <w:t xml:space="preserve"> </w:t>
      </w:r>
      <w:r w:rsidRPr="00606D59">
        <w:rPr>
          <w:rFonts w:ascii="Century Gothic" w:hAnsi="Century Gothic"/>
          <w:sz w:val="24"/>
          <w:szCs w:val="24"/>
        </w:rPr>
        <w:t>de indicadores</w:t>
      </w:r>
      <w:r w:rsidR="00F426B1">
        <w:rPr>
          <w:rFonts w:ascii="Century Gothic" w:hAnsi="Century Gothic"/>
          <w:sz w:val="24"/>
          <w:szCs w:val="24"/>
        </w:rPr>
        <w:t>.</w:t>
      </w:r>
    </w:p>
    <w:p w14:paraId="44D31085" w14:textId="77777777" w:rsidR="00F426B1" w:rsidRDefault="00F426B1" w:rsidP="00F426B1">
      <w:pPr>
        <w:overflowPunct w:val="0"/>
        <w:autoSpaceDE w:val="0"/>
        <w:autoSpaceDN w:val="0"/>
        <w:adjustRightInd w:val="0"/>
        <w:spacing w:after="240"/>
        <w:jc w:val="both"/>
        <w:textAlignment w:val="baseline"/>
        <w:rPr>
          <w:rFonts w:ascii="Century Gothic" w:hAnsi="Century Gothic"/>
          <w:sz w:val="24"/>
          <w:szCs w:val="24"/>
        </w:rPr>
      </w:pPr>
      <w:r w:rsidRPr="00F426B1">
        <w:rPr>
          <w:rFonts w:ascii="Century Gothic" w:hAnsi="Century Gothic"/>
          <w:sz w:val="24"/>
          <w:szCs w:val="24"/>
        </w:rPr>
        <w:t>En</w:t>
      </w:r>
      <w:r>
        <w:rPr>
          <w:rFonts w:ascii="Century Gothic" w:hAnsi="Century Gothic"/>
          <w:sz w:val="24"/>
          <w:szCs w:val="24"/>
        </w:rPr>
        <w:t xml:space="preserve"> específico a nivel componente los indicadores deben medir el producto final. Es decir la “</w:t>
      </w:r>
      <w:r w:rsidRPr="00F426B1">
        <w:rPr>
          <w:rFonts w:ascii="Century Gothic" w:hAnsi="Century Gothic"/>
          <w:sz w:val="24"/>
          <w:szCs w:val="24"/>
        </w:rPr>
        <w:t>provisión de los bienes o servicios</w:t>
      </w:r>
      <w:r>
        <w:rPr>
          <w:rFonts w:ascii="Century Gothic" w:hAnsi="Century Gothic"/>
          <w:sz w:val="24"/>
          <w:szCs w:val="24"/>
        </w:rPr>
        <w:t xml:space="preserve"> </w:t>
      </w:r>
      <w:r w:rsidRPr="00F426B1">
        <w:rPr>
          <w:rFonts w:ascii="Century Gothic" w:hAnsi="Century Gothic"/>
          <w:sz w:val="24"/>
          <w:szCs w:val="24"/>
        </w:rPr>
        <w:t>por parte del programa. Debe considerarse al menos un indicador</w:t>
      </w:r>
      <w:r>
        <w:rPr>
          <w:rFonts w:ascii="Century Gothic" w:hAnsi="Century Gothic"/>
          <w:sz w:val="24"/>
          <w:szCs w:val="24"/>
        </w:rPr>
        <w:t xml:space="preserve"> </w:t>
      </w:r>
      <w:r w:rsidRPr="00F426B1">
        <w:rPr>
          <w:rFonts w:ascii="Century Gothic" w:hAnsi="Century Gothic"/>
          <w:sz w:val="24"/>
          <w:szCs w:val="24"/>
        </w:rPr>
        <w:t>para cada componente y, pueden medirse con mayor</w:t>
      </w:r>
      <w:r>
        <w:rPr>
          <w:rFonts w:ascii="Century Gothic" w:hAnsi="Century Gothic"/>
          <w:sz w:val="24"/>
          <w:szCs w:val="24"/>
        </w:rPr>
        <w:t xml:space="preserve"> </w:t>
      </w:r>
      <w:r w:rsidRPr="00F426B1">
        <w:rPr>
          <w:rFonts w:ascii="Century Gothic" w:hAnsi="Century Gothic"/>
          <w:sz w:val="24"/>
          <w:szCs w:val="24"/>
        </w:rPr>
        <w:t>frecuencia de manera mensual, trimestral, semestral o anual</w:t>
      </w:r>
      <w:r>
        <w:rPr>
          <w:rFonts w:ascii="Century Gothic" w:hAnsi="Century Gothic"/>
          <w:sz w:val="24"/>
          <w:szCs w:val="24"/>
        </w:rPr>
        <w:t>” (CONEVAL, 2013)</w:t>
      </w:r>
      <w:r w:rsidRPr="00F426B1">
        <w:rPr>
          <w:rFonts w:ascii="Century Gothic" w:hAnsi="Century Gothic"/>
          <w:sz w:val="24"/>
          <w:szCs w:val="24"/>
        </w:rPr>
        <w:t>.</w:t>
      </w:r>
    </w:p>
    <w:p w14:paraId="702DA4D1" w14:textId="77777777" w:rsidR="00F426B1" w:rsidRDefault="00F426B1" w:rsidP="00606D59">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Respecto a los indicadores planteados la principal observación es el utilizar en el denominador la variable “programadas”, pues esta es una variable que puede ser fácilmente controlada dado que es lo que establecen los propios ejecutores se va a realizar, por lo que una recomendación es que en caso de utilizar este tipo de variable sea sobre lo requerido.</w:t>
      </w:r>
    </w:p>
    <w:p w14:paraId="2218D259" w14:textId="77777777" w:rsidR="00F426B1" w:rsidRDefault="00EB4195" w:rsidP="00EB4195">
      <w:pPr>
        <w:jc w:val="both"/>
        <w:rPr>
          <w:rFonts w:ascii="Century Gothic" w:hAnsi="Century Gothic"/>
          <w:sz w:val="24"/>
          <w:szCs w:val="24"/>
        </w:rPr>
      </w:pPr>
      <w:r>
        <w:rPr>
          <w:rFonts w:ascii="Century Gothic" w:hAnsi="Century Gothic"/>
          <w:sz w:val="24"/>
          <w:szCs w:val="24"/>
        </w:rPr>
        <w:t xml:space="preserve">Como ya se mencionó, es necesario hacer una restructuración de la MIR y que las actividades respondan a los componentes. Sin embargo, se hará un breve análisis de sus indicadores. </w:t>
      </w:r>
    </w:p>
    <w:p w14:paraId="2D4A73E1" w14:textId="77777777" w:rsidR="00EB4195" w:rsidRDefault="00EB4195" w:rsidP="00EB4195">
      <w:pPr>
        <w:jc w:val="both"/>
        <w:rPr>
          <w:rFonts w:ascii="Century Gothic" w:hAnsi="Century Gothic"/>
          <w:sz w:val="24"/>
          <w:szCs w:val="24"/>
        </w:rPr>
      </w:pPr>
      <w:r>
        <w:rPr>
          <w:rFonts w:ascii="Century Gothic" w:hAnsi="Century Gothic"/>
          <w:sz w:val="24"/>
          <w:szCs w:val="24"/>
        </w:rPr>
        <w:t>A continuación se muestra el cuadro con los indicadores de las actividades</w:t>
      </w:r>
      <w:r w:rsidR="006D406D">
        <w:rPr>
          <w:rFonts w:ascii="Century Gothic" w:hAnsi="Century Gothic"/>
          <w:sz w:val="24"/>
          <w:szCs w:val="24"/>
        </w:rPr>
        <w:t>:</w:t>
      </w:r>
    </w:p>
    <w:tbl>
      <w:tblPr>
        <w:tblW w:w="5000" w:type="pct"/>
        <w:tblCellMar>
          <w:left w:w="0" w:type="dxa"/>
          <w:right w:w="0" w:type="dxa"/>
        </w:tblCellMar>
        <w:tblLook w:val="0420" w:firstRow="1" w:lastRow="0" w:firstColumn="0" w:lastColumn="0" w:noHBand="0" w:noVBand="1"/>
      </w:tblPr>
      <w:tblGrid>
        <w:gridCol w:w="741"/>
        <w:gridCol w:w="2222"/>
        <w:gridCol w:w="2222"/>
        <w:gridCol w:w="3633"/>
      </w:tblGrid>
      <w:tr w:rsidR="004C7E03" w:rsidRPr="004C7E03" w14:paraId="353A369B" w14:textId="77777777" w:rsidTr="004C7E03">
        <w:trPr>
          <w:trHeight w:val="231"/>
          <w:tblHead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0E4E7A"/>
            <w:tcMar>
              <w:top w:w="72" w:type="dxa"/>
              <w:left w:w="144" w:type="dxa"/>
              <w:bottom w:w="72" w:type="dxa"/>
              <w:right w:w="144" w:type="dxa"/>
            </w:tcMar>
            <w:vAlign w:val="center"/>
            <w:hideMark/>
          </w:tcPr>
          <w:p w14:paraId="1C4C4686" w14:textId="77777777" w:rsidR="004C7E03" w:rsidRPr="004C7E03" w:rsidRDefault="003832EF" w:rsidP="004C7E03">
            <w:pPr>
              <w:spacing w:after="0" w:line="240" w:lineRule="auto"/>
              <w:jc w:val="center"/>
              <w:rPr>
                <w:rFonts w:ascii="Arial" w:eastAsia="Times New Roman" w:hAnsi="Arial" w:cs="Arial"/>
                <w:sz w:val="36"/>
                <w:szCs w:val="36"/>
                <w:lang w:eastAsia="es-MX"/>
              </w:rPr>
            </w:pPr>
            <w:r>
              <w:rPr>
                <w:rFonts w:ascii="Calibri" w:eastAsia="Times New Roman" w:hAnsi="Calibri" w:cs="Calibri"/>
                <w:b/>
                <w:bCs/>
                <w:color w:val="FFFFFF"/>
                <w:kern w:val="24"/>
                <w:lang w:eastAsia="es-MX"/>
              </w:rPr>
              <w:t>Cuadro 2.12</w:t>
            </w:r>
            <w:r w:rsidR="004C7E03" w:rsidRPr="004C7E03">
              <w:rPr>
                <w:rFonts w:ascii="Calibri" w:eastAsia="Times New Roman" w:hAnsi="Calibri" w:cs="Calibri"/>
                <w:b/>
                <w:bCs/>
                <w:color w:val="FFFFFF"/>
                <w:kern w:val="24"/>
                <w:lang w:eastAsia="es-MX"/>
              </w:rPr>
              <w:t>. Indicadores a nivel Actividad</w:t>
            </w:r>
          </w:p>
        </w:tc>
      </w:tr>
      <w:tr w:rsidR="004C7E03" w:rsidRPr="004C7E03" w14:paraId="0D9B098E" w14:textId="77777777" w:rsidTr="004C7E03">
        <w:trPr>
          <w:trHeight w:val="81"/>
          <w:tblHeader/>
        </w:trPr>
        <w:tc>
          <w:tcPr>
            <w:tcW w:w="420" w:type="pct"/>
            <w:tcBorders>
              <w:top w:val="single" w:sz="8" w:space="0" w:color="000000"/>
              <w:left w:val="single" w:sz="8" w:space="0" w:color="000000"/>
              <w:bottom w:val="single" w:sz="8" w:space="0" w:color="000000"/>
              <w:right w:val="single" w:sz="8" w:space="0" w:color="000000"/>
            </w:tcBorders>
            <w:shd w:val="clear" w:color="auto" w:fill="0E4E7A"/>
            <w:tcMar>
              <w:top w:w="72" w:type="dxa"/>
              <w:left w:w="144" w:type="dxa"/>
              <w:bottom w:w="72" w:type="dxa"/>
              <w:right w:w="144" w:type="dxa"/>
            </w:tcMar>
            <w:vAlign w:val="center"/>
            <w:hideMark/>
          </w:tcPr>
          <w:p w14:paraId="154DAD6E" w14:textId="77777777" w:rsidR="004C7E03" w:rsidRPr="004C7E03" w:rsidRDefault="004C7E03" w:rsidP="004C7E03">
            <w:pPr>
              <w:spacing w:after="0" w:line="240" w:lineRule="auto"/>
              <w:rPr>
                <w:rFonts w:ascii="Arial" w:eastAsia="Times New Roman" w:hAnsi="Arial" w:cs="Arial"/>
                <w:sz w:val="34"/>
                <w:szCs w:val="36"/>
                <w:lang w:eastAsia="es-MX"/>
              </w:rPr>
            </w:pPr>
          </w:p>
        </w:tc>
        <w:tc>
          <w:tcPr>
            <w:tcW w:w="1260" w:type="pct"/>
            <w:tcBorders>
              <w:top w:val="single" w:sz="8" w:space="0" w:color="000000"/>
              <w:left w:val="single" w:sz="8" w:space="0" w:color="000000"/>
              <w:bottom w:val="single" w:sz="8" w:space="0" w:color="000000"/>
              <w:right w:val="single" w:sz="8" w:space="0" w:color="000000"/>
            </w:tcBorders>
            <w:shd w:val="clear" w:color="auto" w:fill="0E4E7A"/>
            <w:tcMar>
              <w:top w:w="72" w:type="dxa"/>
              <w:left w:w="144" w:type="dxa"/>
              <w:bottom w:w="72" w:type="dxa"/>
              <w:right w:w="144" w:type="dxa"/>
            </w:tcMar>
            <w:vAlign w:val="center"/>
            <w:hideMark/>
          </w:tcPr>
          <w:p w14:paraId="6003159F" w14:textId="77777777" w:rsidR="004C7E03" w:rsidRPr="004C7E03" w:rsidRDefault="004C7E03" w:rsidP="004C7E03">
            <w:pPr>
              <w:spacing w:after="0" w:line="240" w:lineRule="auto"/>
              <w:jc w:val="center"/>
              <w:rPr>
                <w:rFonts w:ascii="Arial" w:eastAsia="Times New Roman" w:hAnsi="Arial" w:cs="Arial"/>
                <w:sz w:val="36"/>
                <w:szCs w:val="36"/>
                <w:lang w:eastAsia="es-MX"/>
              </w:rPr>
            </w:pPr>
            <w:r w:rsidRPr="004C7E03">
              <w:rPr>
                <w:rFonts w:ascii="Calibri" w:eastAsia="Times New Roman" w:hAnsi="Calibri" w:cs="Calibri"/>
                <w:b/>
                <w:bCs/>
                <w:color w:val="FFFFFF"/>
                <w:kern w:val="24"/>
                <w:lang w:eastAsia="es-MX"/>
              </w:rPr>
              <w:t>Resumen Narrativo</w:t>
            </w:r>
          </w:p>
        </w:tc>
        <w:tc>
          <w:tcPr>
            <w:tcW w:w="1260" w:type="pct"/>
            <w:tcBorders>
              <w:top w:val="single" w:sz="8" w:space="0" w:color="000000"/>
              <w:left w:val="single" w:sz="8" w:space="0" w:color="000000"/>
              <w:bottom w:val="single" w:sz="8" w:space="0" w:color="000000"/>
              <w:right w:val="single" w:sz="8" w:space="0" w:color="000000"/>
            </w:tcBorders>
            <w:shd w:val="clear" w:color="auto" w:fill="0E4E7A"/>
            <w:tcMar>
              <w:top w:w="72" w:type="dxa"/>
              <w:left w:w="144" w:type="dxa"/>
              <w:bottom w:w="72" w:type="dxa"/>
              <w:right w:w="144" w:type="dxa"/>
            </w:tcMar>
            <w:vAlign w:val="center"/>
            <w:hideMark/>
          </w:tcPr>
          <w:p w14:paraId="71616B98" w14:textId="77777777" w:rsidR="004C7E03" w:rsidRPr="004C7E03" w:rsidRDefault="004C7E03" w:rsidP="004C7E03">
            <w:pPr>
              <w:spacing w:after="0" w:line="240" w:lineRule="auto"/>
              <w:jc w:val="center"/>
              <w:rPr>
                <w:rFonts w:ascii="Arial" w:eastAsia="Times New Roman" w:hAnsi="Arial" w:cs="Arial"/>
                <w:sz w:val="36"/>
                <w:szCs w:val="36"/>
                <w:lang w:eastAsia="es-MX"/>
              </w:rPr>
            </w:pPr>
            <w:r w:rsidRPr="004C7E03">
              <w:rPr>
                <w:rFonts w:ascii="Calibri" w:eastAsia="Times New Roman" w:hAnsi="Calibri" w:cs="Calibri"/>
                <w:b/>
                <w:bCs/>
                <w:color w:val="FFFFFF"/>
                <w:kern w:val="24"/>
                <w:lang w:eastAsia="es-MX"/>
              </w:rPr>
              <w:t>Nombre del Indicador</w:t>
            </w:r>
          </w:p>
        </w:tc>
        <w:tc>
          <w:tcPr>
            <w:tcW w:w="2059" w:type="pct"/>
            <w:tcBorders>
              <w:top w:val="single" w:sz="8" w:space="0" w:color="000000"/>
              <w:left w:val="single" w:sz="8" w:space="0" w:color="000000"/>
              <w:bottom w:val="single" w:sz="8" w:space="0" w:color="000000"/>
              <w:right w:val="single" w:sz="8" w:space="0" w:color="000000"/>
            </w:tcBorders>
            <w:shd w:val="clear" w:color="auto" w:fill="0E4E7A"/>
            <w:tcMar>
              <w:top w:w="72" w:type="dxa"/>
              <w:left w:w="144" w:type="dxa"/>
              <w:bottom w:w="72" w:type="dxa"/>
              <w:right w:w="144" w:type="dxa"/>
            </w:tcMar>
            <w:vAlign w:val="center"/>
            <w:hideMark/>
          </w:tcPr>
          <w:p w14:paraId="4169A991" w14:textId="77777777" w:rsidR="004C7E03" w:rsidRPr="004C7E03" w:rsidRDefault="004C7E03" w:rsidP="004C7E03">
            <w:pPr>
              <w:spacing w:after="0" w:line="240" w:lineRule="auto"/>
              <w:jc w:val="center"/>
              <w:rPr>
                <w:rFonts w:ascii="Arial" w:eastAsia="Times New Roman" w:hAnsi="Arial" w:cs="Arial"/>
                <w:sz w:val="36"/>
                <w:szCs w:val="36"/>
                <w:lang w:eastAsia="es-MX"/>
              </w:rPr>
            </w:pPr>
            <w:r w:rsidRPr="004C7E03">
              <w:rPr>
                <w:rFonts w:ascii="Calibri" w:eastAsia="Times New Roman" w:hAnsi="Calibri" w:cs="Calibri"/>
                <w:b/>
                <w:bCs/>
                <w:color w:val="FFFFFF"/>
                <w:kern w:val="24"/>
                <w:lang w:eastAsia="es-MX"/>
              </w:rPr>
              <w:t>Método de Calculo</w:t>
            </w:r>
          </w:p>
        </w:tc>
      </w:tr>
      <w:tr w:rsidR="004C7E03" w:rsidRPr="004C7E03" w14:paraId="6645D22F" w14:textId="77777777" w:rsidTr="004C7E03">
        <w:trPr>
          <w:trHeight w:val="584"/>
        </w:trPr>
        <w:tc>
          <w:tcPr>
            <w:tcW w:w="42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CA32F4" w14:textId="77777777" w:rsidR="004C7E03" w:rsidRPr="004C7E03" w:rsidRDefault="004C7E03" w:rsidP="004C7E03">
            <w:pPr>
              <w:spacing w:after="0" w:line="240" w:lineRule="auto"/>
              <w:jc w:val="center"/>
              <w:rPr>
                <w:rFonts w:ascii="Arial" w:eastAsia="Times New Roman" w:hAnsi="Arial" w:cs="Arial"/>
                <w:sz w:val="36"/>
                <w:szCs w:val="36"/>
                <w:lang w:eastAsia="es-MX"/>
              </w:rPr>
            </w:pPr>
            <w:r w:rsidRPr="004C7E03">
              <w:rPr>
                <w:rFonts w:ascii="Calibri" w:eastAsia="Times New Roman" w:hAnsi="Calibri" w:cs="Calibri"/>
                <w:color w:val="000000"/>
                <w:kern w:val="24"/>
                <w:sz w:val="21"/>
                <w:szCs w:val="21"/>
                <w:lang w:eastAsia="es-MX"/>
              </w:rPr>
              <w:t>A1C1</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116E1D" w14:textId="77777777" w:rsidR="004C7E03" w:rsidRPr="004C7E03" w:rsidRDefault="004C7E03" w:rsidP="004C7E03">
            <w:pPr>
              <w:spacing w:after="0" w:line="240" w:lineRule="auto"/>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Fondo de aportaciones para el fortalecimiento de las entidades federativas</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BA4692"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Porcentaje de obra pública no habitacional ejecutada con recursos del FAFEF</w:t>
            </w:r>
          </w:p>
        </w:tc>
        <w:tc>
          <w:tcPr>
            <w:tcW w:w="20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32286D"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Suma de obras de infraestructura no habitacional ejecutadas con recursos del FAFEF / total de obras programadas de infraestructura no hab</w:t>
            </w:r>
            <w:r>
              <w:rPr>
                <w:rFonts w:ascii="Calibri" w:eastAsia="Times New Roman" w:hAnsi="Calibri" w:cs="Calibri"/>
                <w:color w:val="000000"/>
                <w:kern w:val="24"/>
                <w:lang w:eastAsia="es-MX"/>
              </w:rPr>
              <w:t>itacional con recursos del FAFEF</w:t>
            </w:r>
            <w:r w:rsidRPr="004C7E03">
              <w:rPr>
                <w:rFonts w:ascii="Calibri" w:eastAsia="Times New Roman" w:hAnsi="Calibri" w:cs="Calibri"/>
                <w:color w:val="000000"/>
                <w:kern w:val="24"/>
                <w:lang w:eastAsia="es-MX"/>
              </w:rPr>
              <w:t xml:space="preserve"> *100</w:t>
            </w:r>
          </w:p>
        </w:tc>
      </w:tr>
      <w:tr w:rsidR="004C7E03" w:rsidRPr="004C7E03" w14:paraId="535B3529" w14:textId="77777777" w:rsidTr="004C7E03">
        <w:trPr>
          <w:trHeight w:val="584"/>
        </w:trPr>
        <w:tc>
          <w:tcPr>
            <w:tcW w:w="42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9D4731" w14:textId="77777777" w:rsidR="004C7E03" w:rsidRPr="004C7E03" w:rsidRDefault="004C7E03" w:rsidP="004C7E03">
            <w:pPr>
              <w:spacing w:after="0" w:line="240" w:lineRule="auto"/>
              <w:jc w:val="center"/>
              <w:rPr>
                <w:rFonts w:ascii="Arial" w:eastAsia="Times New Roman" w:hAnsi="Arial" w:cs="Arial"/>
                <w:sz w:val="36"/>
                <w:szCs w:val="36"/>
                <w:lang w:eastAsia="es-MX"/>
              </w:rPr>
            </w:pPr>
            <w:r w:rsidRPr="004C7E03">
              <w:rPr>
                <w:rFonts w:ascii="Calibri" w:eastAsia="Times New Roman" w:hAnsi="Calibri" w:cs="Calibri"/>
                <w:color w:val="000000"/>
                <w:kern w:val="24"/>
                <w:sz w:val="21"/>
                <w:szCs w:val="21"/>
                <w:lang w:eastAsia="es-MX"/>
              </w:rPr>
              <w:t>A2C2</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C0EEC7" w14:textId="77777777" w:rsidR="004C7E03" w:rsidRPr="004C7E03" w:rsidRDefault="004C7E03" w:rsidP="004C7E03">
            <w:pPr>
              <w:spacing w:after="0" w:line="240" w:lineRule="auto"/>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val="pt-BR" w:eastAsia="es-MX"/>
              </w:rPr>
              <w:t>Programa normal de obra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95292D"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Porcentaje de obra pública directa ejecutada por el estado con recursos propios</w:t>
            </w:r>
          </w:p>
        </w:tc>
        <w:tc>
          <w:tcPr>
            <w:tcW w:w="20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977F2"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Suma de obras ejecutadas con recursos propios/total de obras programadas con recursos propios *100</w:t>
            </w:r>
          </w:p>
        </w:tc>
      </w:tr>
      <w:tr w:rsidR="004C7E03" w:rsidRPr="004C7E03" w14:paraId="79178AE6" w14:textId="77777777" w:rsidTr="004C7E03">
        <w:trPr>
          <w:trHeight w:val="584"/>
        </w:trPr>
        <w:tc>
          <w:tcPr>
            <w:tcW w:w="42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135336" w14:textId="77777777" w:rsidR="004C7E03" w:rsidRPr="004C7E03" w:rsidRDefault="004C7E03" w:rsidP="004C7E03">
            <w:pPr>
              <w:spacing w:after="0" w:line="240" w:lineRule="auto"/>
              <w:jc w:val="center"/>
              <w:rPr>
                <w:rFonts w:ascii="Arial" w:eastAsia="Times New Roman" w:hAnsi="Arial" w:cs="Arial"/>
                <w:sz w:val="36"/>
                <w:szCs w:val="36"/>
                <w:lang w:eastAsia="es-MX"/>
              </w:rPr>
            </w:pPr>
            <w:r w:rsidRPr="004C7E03">
              <w:rPr>
                <w:rFonts w:ascii="Calibri" w:eastAsia="Times New Roman" w:hAnsi="Calibri" w:cs="Calibri"/>
                <w:color w:val="000000"/>
                <w:kern w:val="24"/>
                <w:sz w:val="21"/>
                <w:szCs w:val="21"/>
                <w:lang w:eastAsia="es-MX"/>
              </w:rPr>
              <w:lastRenderedPageBreak/>
              <w:t>A1C2</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6C3F59" w14:textId="77777777" w:rsidR="004C7E03" w:rsidRPr="004C7E03" w:rsidRDefault="004C7E03" w:rsidP="004C7E03">
            <w:pPr>
              <w:spacing w:after="0" w:line="240" w:lineRule="auto"/>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Comisión nacional de cultura física y deporte</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C6EF34"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Porcentaje de obra pública ejecutada con recursos de la CONADE</w:t>
            </w:r>
          </w:p>
        </w:tc>
        <w:tc>
          <w:tcPr>
            <w:tcW w:w="20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D38EBC"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Suma de obras ejecutadas con recursos de la CONADE / total de obras programadas con recursos del CONADE *100</w:t>
            </w:r>
          </w:p>
        </w:tc>
      </w:tr>
      <w:tr w:rsidR="004C7E03" w:rsidRPr="004C7E03" w14:paraId="45D0D8AB" w14:textId="77777777" w:rsidTr="004C7E03">
        <w:trPr>
          <w:trHeight w:val="584"/>
        </w:trPr>
        <w:tc>
          <w:tcPr>
            <w:tcW w:w="42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389A22" w14:textId="77777777" w:rsidR="004C7E03" w:rsidRPr="004C7E03" w:rsidRDefault="004C7E03" w:rsidP="004C7E03">
            <w:pPr>
              <w:spacing w:after="0" w:line="240" w:lineRule="auto"/>
              <w:jc w:val="center"/>
              <w:rPr>
                <w:rFonts w:ascii="Arial" w:eastAsia="Times New Roman" w:hAnsi="Arial" w:cs="Arial"/>
                <w:sz w:val="36"/>
                <w:szCs w:val="36"/>
                <w:lang w:eastAsia="es-MX"/>
              </w:rPr>
            </w:pPr>
            <w:r w:rsidRPr="004C7E03">
              <w:rPr>
                <w:rFonts w:ascii="Calibri" w:eastAsia="Times New Roman" w:hAnsi="Calibri" w:cs="Calibri"/>
                <w:color w:val="000000"/>
                <w:kern w:val="24"/>
                <w:sz w:val="21"/>
                <w:szCs w:val="21"/>
                <w:lang w:eastAsia="es-MX"/>
              </w:rPr>
              <w:t>A2C2</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7DD880" w14:textId="77777777" w:rsidR="004C7E03" w:rsidRPr="004C7E03" w:rsidRDefault="004C7E03" w:rsidP="004C7E03">
            <w:pPr>
              <w:spacing w:after="0" w:line="240" w:lineRule="auto"/>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Fondo de aportaciones para el fortalecimiento de las entidades federativas</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E791A7"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Porcentaje de obra pública no habitacional ejecutada con recursos del FAFEF</w:t>
            </w:r>
          </w:p>
        </w:tc>
        <w:tc>
          <w:tcPr>
            <w:tcW w:w="20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CB5D8D"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Suma de obras de infraestructura no habitacional ejecutadas con recursos del FAFEF / total de obras programadas de infraestructura no habitacional con recursos del FAFEF *100</w:t>
            </w:r>
          </w:p>
        </w:tc>
      </w:tr>
      <w:tr w:rsidR="004C7E03" w:rsidRPr="004C7E03" w14:paraId="68571716" w14:textId="77777777" w:rsidTr="004C7E03">
        <w:trPr>
          <w:trHeight w:val="584"/>
        </w:trPr>
        <w:tc>
          <w:tcPr>
            <w:tcW w:w="42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14E7EB" w14:textId="77777777" w:rsidR="004C7E03" w:rsidRPr="004C7E03" w:rsidRDefault="004C7E03" w:rsidP="004C7E03">
            <w:pPr>
              <w:spacing w:after="0" w:line="240" w:lineRule="auto"/>
              <w:jc w:val="center"/>
              <w:rPr>
                <w:rFonts w:ascii="Arial" w:eastAsia="Times New Roman" w:hAnsi="Arial" w:cs="Arial"/>
                <w:sz w:val="36"/>
                <w:szCs w:val="36"/>
                <w:lang w:eastAsia="es-MX"/>
              </w:rPr>
            </w:pPr>
            <w:r w:rsidRPr="004C7E03">
              <w:rPr>
                <w:rFonts w:ascii="Calibri" w:eastAsia="Times New Roman" w:hAnsi="Calibri" w:cs="Calibri"/>
                <w:color w:val="000000"/>
                <w:kern w:val="24"/>
                <w:sz w:val="21"/>
                <w:szCs w:val="21"/>
                <w:lang w:eastAsia="es-MX"/>
              </w:rPr>
              <w:t>A3C2</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120D5E" w14:textId="77777777" w:rsidR="004C7E03" w:rsidRPr="004C7E03" w:rsidRDefault="004C7E03" w:rsidP="004C7E03">
            <w:pPr>
              <w:spacing w:after="0" w:line="240" w:lineRule="auto"/>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Fondo para la infraestructura social estatal</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97B7AD"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Porcentaje de obra pública no habitacional ejecutada con recursos del FISE</w:t>
            </w:r>
          </w:p>
        </w:tc>
        <w:tc>
          <w:tcPr>
            <w:tcW w:w="20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6E2A3C"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Suma de obras de infraestructura no habitacional realizadas con recursos del FISE / total de obras de infraestructura no habitacional programadas con recurso FISE *100</w:t>
            </w:r>
          </w:p>
        </w:tc>
      </w:tr>
      <w:tr w:rsidR="004C7E03" w:rsidRPr="004C7E03" w14:paraId="0D4DEBFB" w14:textId="77777777" w:rsidTr="004C7E03">
        <w:trPr>
          <w:trHeight w:val="584"/>
        </w:trPr>
        <w:tc>
          <w:tcPr>
            <w:tcW w:w="42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1D9848" w14:textId="77777777" w:rsidR="004C7E03" w:rsidRPr="004C7E03" w:rsidRDefault="004C7E03" w:rsidP="004C7E03">
            <w:pPr>
              <w:spacing w:after="0" w:line="240" w:lineRule="auto"/>
              <w:jc w:val="center"/>
              <w:rPr>
                <w:rFonts w:ascii="Arial" w:eastAsia="Times New Roman" w:hAnsi="Arial" w:cs="Arial"/>
                <w:sz w:val="36"/>
                <w:szCs w:val="36"/>
                <w:lang w:eastAsia="es-MX"/>
              </w:rPr>
            </w:pPr>
            <w:r w:rsidRPr="004C7E03">
              <w:rPr>
                <w:rFonts w:ascii="Calibri" w:eastAsia="Times New Roman" w:hAnsi="Calibri" w:cs="Calibri"/>
                <w:color w:val="000000"/>
                <w:kern w:val="24"/>
                <w:sz w:val="21"/>
                <w:szCs w:val="21"/>
                <w:lang w:eastAsia="es-MX"/>
              </w:rPr>
              <w:t>A4C2</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67F493" w14:textId="77777777" w:rsidR="004C7E03" w:rsidRPr="004C7E03" w:rsidRDefault="004C7E03" w:rsidP="004C7E03">
            <w:pPr>
              <w:spacing w:after="0" w:line="240" w:lineRule="auto"/>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Otras fuentes de financiamiento</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1E6CF7"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Porcentaje de obra pública convenida</w:t>
            </w:r>
          </w:p>
        </w:tc>
        <w:tc>
          <w:tcPr>
            <w:tcW w:w="20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471719"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val="pt-BR" w:eastAsia="es-MX"/>
              </w:rPr>
              <w:t>Suma de obras convenidas ejecutadas / suma de obras convenidas programadas *100</w:t>
            </w:r>
          </w:p>
        </w:tc>
      </w:tr>
      <w:tr w:rsidR="004C7E03" w:rsidRPr="004C7E03" w14:paraId="2B702E9F" w14:textId="77777777" w:rsidTr="004C7E03">
        <w:trPr>
          <w:trHeight w:val="584"/>
        </w:trPr>
        <w:tc>
          <w:tcPr>
            <w:tcW w:w="42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62C41E" w14:textId="77777777" w:rsidR="004C7E03" w:rsidRPr="004C7E03" w:rsidRDefault="004C7E03" w:rsidP="004C7E03">
            <w:pPr>
              <w:spacing w:after="0" w:line="240" w:lineRule="auto"/>
              <w:jc w:val="center"/>
              <w:rPr>
                <w:rFonts w:ascii="Arial" w:eastAsia="Times New Roman" w:hAnsi="Arial" w:cs="Arial"/>
                <w:sz w:val="36"/>
                <w:szCs w:val="36"/>
                <w:lang w:eastAsia="es-MX"/>
              </w:rPr>
            </w:pPr>
            <w:r w:rsidRPr="004C7E03">
              <w:rPr>
                <w:rFonts w:ascii="Calibri" w:eastAsia="Times New Roman" w:hAnsi="Calibri" w:cs="Calibri"/>
                <w:color w:val="000000"/>
                <w:kern w:val="24"/>
                <w:sz w:val="21"/>
                <w:szCs w:val="21"/>
                <w:lang w:eastAsia="es-MX"/>
              </w:rPr>
              <w:t>A5C2</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0A74C3" w14:textId="77777777" w:rsidR="004C7E03" w:rsidRPr="004C7E03" w:rsidRDefault="004C7E03" w:rsidP="004C7E03">
            <w:pPr>
              <w:spacing w:after="0" w:line="240" w:lineRule="auto"/>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val="pt-BR" w:eastAsia="es-MX"/>
              </w:rPr>
              <w:t>Programa 3x1 para migrantes</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2E29B8"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Porcentaje de obra pública ejecutada con recursos del 3x1</w:t>
            </w:r>
          </w:p>
        </w:tc>
        <w:tc>
          <w:tcPr>
            <w:tcW w:w="20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0344B9"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Suma de obras realizadas con el 3x1, migrantes / total de obras programadas con recursos de 3x1 migrantes *100</w:t>
            </w:r>
          </w:p>
        </w:tc>
      </w:tr>
      <w:tr w:rsidR="004C7E03" w:rsidRPr="004C7E03" w14:paraId="2C69579E" w14:textId="77777777" w:rsidTr="004C7E03">
        <w:trPr>
          <w:trHeight w:val="584"/>
        </w:trPr>
        <w:tc>
          <w:tcPr>
            <w:tcW w:w="42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B95332" w14:textId="77777777" w:rsidR="004C7E03" w:rsidRPr="004C7E03" w:rsidRDefault="004C7E03" w:rsidP="004C7E03">
            <w:pPr>
              <w:spacing w:after="0" w:line="240" w:lineRule="auto"/>
              <w:jc w:val="center"/>
              <w:rPr>
                <w:rFonts w:ascii="Arial" w:eastAsia="Times New Roman" w:hAnsi="Arial" w:cs="Arial"/>
                <w:sz w:val="36"/>
                <w:szCs w:val="36"/>
                <w:lang w:eastAsia="es-MX"/>
              </w:rPr>
            </w:pPr>
            <w:r w:rsidRPr="004C7E03">
              <w:rPr>
                <w:rFonts w:ascii="Calibri" w:eastAsia="Times New Roman" w:hAnsi="Calibri" w:cs="Calibri"/>
                <w:color w:val="000000"/>
                <w:kern w:val="24"/>
                <w:sz w:val="21"/>
                <w:szCs w:val="21"/>
                <w:lang w:eastAsia="es-MX"/>
              </w:rPr>
              <w:t>A6C2</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B958F1" w14:textId="77777777" w:rsidR="004C7E03" w:rsidRPr="004C7E03" w:rsidRDefault="004C7E03" w:rsidP="004C7E03">
            <w:pPr>
              <w:spacing w:after="0" w:line="240" w:lineRule="auto"/>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Programa de infraestructura de la secretaría de desarrollo agrario, territorial y urbano</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95DCBB"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Porcentaje de obra pública ejecutada con recursos del programa desarrollo agrario, territorial y urbano</w:t>
            </w:r>
          </w:p>
        </w:tc>
        <w:tc>
          <w:tcPr>
            <w:tcW w:w="20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41E133"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Suma de obras realizadas con recursos de la SEDATU / total de obras programadas con recursos de la SEDATU *100</w:t>
            </w:r>
          </w:p>
        </w:tc>
      </w:tr>
      <w:tr w:rsidR="004C7E03" w:rsidRPr="004C7E03" w14:paraId="18E05AA1" w14:textId="77777777" w:rsidTr="004C7E03">
        <w:trPr>
          <w:trHeight w:val="584"/>
        </w:trPr>
        <w:tc>
          <w:tcPr>
            <w:tcW w:w="42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530610" w14:textId="77777777" w:rsidR="004C7E03" w:rsidRPr="004C7E03" w:rsidRDefault="004C7E03" w:rsidP="004C7E03">
            <w:pPr>
              <w:spacing w:after="0" w:line="240" w:lineRule="auto"/>
              <w:jc w:val="center"/>
              <w:rPr>
                <w:rFonts w:ascii="Arial" w:eastAsia="Times New Roman" w:hAnsi="Arial" w:cs="Arial"/>
                <w:sz w:val="36"/>
                <w:szCs w:val="36"/>
                <w:lang w:eastAsia="es-MX"/>
              </w:rPr>
            </w:pPr>
            <w:r w:rsidRPr="004C7E03">
              <w:rPr>
                <w:rFonts w:ascii="Calibri" w:eastAsia="Times New Roman" w:hAnsi="Calibri" w:cs="Calibri"/>
                <w:color w:val="000000"/>
                <w:kern w:val="24"/>
                <w:sz w:val="21"/>
                <w:szCs w:val="21"/>
                <w:lang w:eastAsia="es-MX"/>
              </w:rPr>
              <w:t>A7C2</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1C8075" w14:textId="77777777" w:rsidR="004C7E03" w:rsidRPr="004C7E03" w:rsidRDefault="004C7E03" w:rsidP="004C7E03">
            <w:pPr>
              <w:spacing w:after="0" w:line="240" w:lineRule="auto"/>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Secretaría de cultura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78F0E2"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eastAsia="es-MX"/>
              </w:rPr>
              <w:t>Porcentaje de obra pública convenida</w:t>
            </w:r>
          </w:p>
        </w:tc>
        <w:tc>
          <w:tcPr>
            <w:tcW w:w="20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BDC2A0" w14:textId="77777777" w:rsidR="004C7E03" w:rsidRPr="004C7E03" w:rsidRDefault="004C7E03" w:rsidP="004C7E03">
            <w:pPr>
              <w:spacing w:after="0" w:line="240" w:lineRule="auto"/>
              <w:jc w:val="both"/>
              <w:textAlignment w:val="bottom"/>
              <w:rPr>
                <w:rFonts w:ascii="Arial" w:eastAsia="Times New Roman" w:hAnsi="Arial" w:cs="Arial"/>
                <w:sz w:val="36"/>
                <w:szCs w:val="36"/>
                <w:lang w:eastAsia="es-MX"/>
              </w:rPr>
            </w:pPr>
            <w:r w:rsidRPr="004C7E03">
              <w:rPr>
                <w:rFonts w:ascii="Calibri" w:eastAsia="Times New Roman" w:hAnsi="Calibri" w:cs="Calibri"/>
                <w:color w:val="000000"/>
                <w:kern w:val="24"/>
                <w:lang w:val="pt-BR" w:eastAsia="es-MX"/>
              </w:rPr>
              <w:t>Suma de obras convenidas ejecutadas / suma de obras convenidas programadas *100</w:t>
            </w:r>
          </w:p>
        </w:tc>
      </w:tr>
      <w:tr w:rsidR="004C7E03" w:rsidRPr="004C7E03" w14:paraId="42460654" w14:textId="77777777" w:rsidTr="004C7E03">
        <w:trPr>
          <w:trHeight w:val="352"/>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01988B" w14:textId="77777777" w:rsidR="004C7E03" w:rsidRPr="004C7E03" w:rsidRDefault="004C7E03" w:rsidP="004C7E03">
            <w:pPr>
              <w:spacing w:after="0" w:line="240" w:lineRule="auto"/>
              <w:jc w:val="both"/>
              <w:rPr>
                <w:rFonts w:ascii="Arial" w:eastAsia="Times New Roman" w:hAnsi="Arial" w:cs="Arial"/>
                <w:sz w:val="36"/>
                <w:szCs w:val="36"/>
                <w:lang w:eastAsia="es-MX"/>
              </w:rPr>
            </w:pPr>
            <w:r w:rsidRPr="004C7E03">
              <w:rPr>
                <w:rFonts w:ascii="Calibri" w:eastAsia="Times New Roman" w:hAnsi="Calibri" w:cs="Calibri"/>
                <w:color w:val="000000"/>
                <w:kern w:val="24"/>
                <w:sz w:val="20"/>
                <w:szCs w:val="20"/>
                <w:lang w:eastAsia="es-MX"/>
              </w:rPr>
              <w:t>Fuente: elaborado por TECSO con base en información de la MIR del programa Infraestructura no Habitacional.</w:t>
            </w:r>
          </w:p>
        </w:tc>
      </w:tr>
    </w:tbl>
    <w:p w14:paraId="136DABD8" w14:textId="77777777" w:rsidR="007248DB" w:rsidRPr="007C2FC8" w:rsidRDefault="007248DB" w:rsidP="00126F3A">
      <w:pPr>
        <w:overflowPunct w:val="0"/>
        <w:autoSpaceDE w:val="0"/>
        <w:autoSpaceDN w:val="0"/>
        <w:adjustRightInd w:val="0"/>
        <w:spacing w:after="240"/>
        <w:jc w:val="both"/>
        <w:textAlignment w:val="baseline"/>
        <w:rPr>
          <w:rFonts w:ascii="Century Gothic" w:hAnsi="Century Gothic"/>
          <w:sz w:val="4"/>
          <w:szCs w:val="24"/>
        </w:rPr>
      </w:pPr>
    </w:p>
    <w:p w14:paraId="71664373" w14:textId="77777777" w:rsidR="00EB4195" w:rsidRDefault="00471FD2" w:rsidP="00471FD2">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Los indicadores a nivel actividad deben medir</w:t>
      </w:r>
      <w:r w:rsidRPr="00471FD2">
        <w:rPr>
          <w:rFonts w:ascii="Century Gothic" w:hAnsi="Century Gothic"/>
          <w:sz w:val="24"/>
          <w:szCs w:val="24"/>
        </w:rPr>
        <w:t xml:space="preserve"> </w:t>
      </w:r>
      <w:r>
        <w:rPr>
          <w:rFonts w:ascii="Century Gothic" w:hAnsi="Century Gothic"/>
          <w:sz w:val="24"/>
          <w:szCs w:val="24"/>
        </w:rPr>
        <w:t>“</w:t>
      </w:r>
      <w:r w:rsidRPr="00471FD2">
        <w:rPr>
          <w:rFonts w:ascii="Century Gothic" w:hAnsi="Century Gothic"/>
          <w:sz w:val="24"/>
          <w:szCs w:val="24"/>
        </w:rPr>
        <w:t>los procesos que se llevan a cabo</w:t>
      </w:r>
      <w:r>
        <w:rPr>
          <w:rFonts w:ascii="Century Gothic" w:hAnsi="Century Gothic"/>
          <w:sz w:val="24"/>
          <w:szCs w:val="24"/>
        </w:rPr>
        <w:t xml:space="preserve"> </w:t>
      </w:r>
      <w:r w:rsidRPr="00471FD2">
        <w:rPr>
          <w:rFonts w:ascii="Century Gothic" w:hAnsi="Century Gothic"/>
          <w:sz w:val="24"/>
          <w:szCs w:val="24"/>
        </w:rPr>
        <w:t>para la producción de los componentes y su medición puede</w:t>
      </w:r>
      <w:r>
        <w:rPr>
          <w:rFonts w:ascii="Century Gothic" w:hAnsi="Century Gothic"/>
          <w:sz w:val="24"/>
          <w:szCs w:val="24"/>
        </w:rPr>
        <w:t xml:space="preserve"> </w:t>
      </w:r>
      <w:r w:rsidRPr="00471FD2">
        <w:rPr>
          <w:rFonts w:ascii="Century Gothic" w:hAnsi="Century Gothic"/>
          <w:sz w:val="24"/>
          <w:szCs w:val="24"/>
        </w:rPr>
        <w:t>hacerse con una periodicidad menor que la de los indicadores</w:t>
      </w:r>
      <w:r>
        <w:rPr>
          <w:rFonts w:ascii="Century Gothic" w:hAnsi="Century Gothic"/>
          <w:sz w:val="24"/>
          <w:szCs w:val="24"/>
        </w:rPr>
        <w:t xml:space="preserve"> </w:t>
      </w:r>
      <w:r w:rsidRPr="00471FD2">
        <w:rPr>
          <w:rFonts w:ascii="Century Gothic" w:hAnsi="Century Gothic"/>
          <w:sz w:val="24"/>
          <w:szCs w:val="24"/>
        </w:rPr>
        <w:t>de los otros niveles de objetivo</w:t>
      </w:r>
      <w:r>
        <w:rPr>
          <w:rFonts w:ascii="Century Gothic" w:hAnsi="Century Gothic"/>
          <w:sz w:val="24"/>
          <w:szCs w:val="24"/>
        </w:rPr>
        <w:t>” (CONEVAL, 2013)</w:t>
      </w:r>
      <w:r w:rsidRPr="00471FD2">
        <w:rPr>
          <w:rFonts w:ascii="Century Gothic" w:hAnsi="Century Gothic"/>
          <w:sz w:val="24"/>
          <w:szCs w:val="24"/>
        </w:rPr>
        <w:t>.</w:t>
      </w:r>
    </w:p>
    <w:p w14:paraId="7B3685A4" w14:textId="77777777" w:rsidR="00EB4195" w:rsidRDefault="00C81AEC" w:rsidP="00126F3A">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lastRenderedPageBreak/>
        <w:t>Al igual que en el indicador a nivel componente la principal observación recae en el uso del término “programadas” en el denominador. Sin embargo la principal problemática recae en el planteamiento de las actividades, pues se comentó en el análisis de la lógica vertical estas hacen referencia a las fuentes de los recursos y no a las acciones o tareas que se deben llevar a cabo para la generación del bien o servicio final.</w:t>
      </w:r>
    </w:p>
    <w:p w14:paraId="75B1CFF3" w14:textId="77777777" w:rsidR="00F51BE5" w:rsidRDefault="00F51BE5" w:rsidP="00F51BE5">
      <w:pPr>
        <w:spacing w:after="240"/>
        <w:jc w:val="both"/>
        <w:rPr>
          <w:rFonts w:ascii="Century Gothic" w:hAnsi="Century Gothic"/>
          <w:sz w:val="24"/>
          <w:szCs w:val="24"/>
        </w:rPr>
      </w:pPr>
      <w:r>
        <w:rPr>
          <w:rFonts w:ascii="Century Gothic" w:hAnsi="Century Gothic"/>
          <w:sz w:val="24"/>
          <w:szCs w:val="24"/>
        </w:rPr>
        <w:t>Así</w:t>
      </w:r>
      <w:r w:rsidR="00C81AEC">
        <w:rPr>
          <w:rFonts w:ascii="Century Gothic" w:hAnsi="Century Gothic"/>
          <w:sz w:val="24"/>
          <w:szCs w:val="24"/>
        </w:rPr>
        <w:t xml:space="preserve"> en general</w:t>
      </w:r>
      <w:r>
        <w:rPr>
          <w:rFonts w:ascii="Century Gothic" w:hAnsi="Century Gothic"/>
          <w:sz w:val="24"/>
          <w:szCs w:val="24"/>
        </w:rPr>
        <w:t>, la principal recomendación es desarrollar cada uno de los niveles de la MIR atendiendo la estructura propuesta en la guía para la elaboración de la MIR de la SHCP y consecuentemente diseñar los indicadores adecuados que permitan ver el resultado del programa y su contribución, de igual forma atendiendo las recomendaciones de dicha guía, la cual establece la siguiente clasificación para los indicadores:</w:t>
      </w:r>
    </w:p>
    <w:p w14:paraId="4183825B" w14:textId="77777777" w:rsidR="00F51BE5" w:rsidRPr="00711A92" w:rsidRDefault="003832EF" w:rsidP="00F51BE5">
      <w:pPr>
        <w:spacing w:after="240"/>
        <w:jc w:val="center"/>
        <w:rPr>
          <w:rFonts w:ascii="Century Gothic" w:hAnsi="Century Gothic" w:cstheme="minorHAnsi"/>
          <w:b/>
        </w:rPr>
      </w:pPr>
      <w:r>
        <w:rPr>
          <w:rFonts w:ascii="Century Gothic" w:hAnsi="Century Gothic" w:cstheme="minorHAnsi"/>
          <w:b/>
        </w:rPr>
        <w:t>Figura 2.13</w:t>
      </w:r>
      <w:r w:rsidR="00F51BE5" w:rsidRPr="00711A92">
        <w:rPr>
          <w:rFonts w:ascii="Century Gothic" w:hAnsi="Century Gothic" w:cstheme="minorHAnsi"/>
          <w:b/>
        </w:rPr>
        <w:t>. Clasificación de los Indicadores dela MIR.</w:t>
      </w:r>
    </w:p>
    <w:p w14:paraId="6D2CB83E" w14:textId="77777777" w:rsidR="00F51BE5" w:rsidRPr="00A30C91" w:rsidRDefault="00F51BE5" w:rsidP="00F51BE5">
      <w:pPr>
        <w:spacing w:after="240"/>
        <w:jc w:val="both"/>
        <w:rPr>
          <w:rFonts w:ascii="Century Gothic" w:hAnsi="Century Gothic"/>
        </w:rPr>
      </w:pPr>
      <w:r w:rsidRPr="0012278F">
        <w:rPr>
          <w:rFonts w:ascii="Century Gothic" w:hAnsi="Century Gothic"/>
          <w:noProof/>
          <w:lang w:eastAsia="es-MX"/>
        </w:rPr>
        <mc:AlternateContent>
          <mc:Choice Requires="wpg">
            <w:drawing>
              <wp:inline distT="0" distB="0" distL="0" distR="0" wp14:anchorId="70182082" wp14:editId="68A41702">
                <wp:extent cx="5905500" cy="2886840"/>
                <wp:effectExtent l="0" t="0" r="19050" b="27940"/>
                <wp:docPr id="3090" name="1 Grupo"/>
                <wp:cNvGraphicFramePr/>
                <a:graphic xmlns:a="http://schemas.openxmlformats.org/drawingml/2006/main">
                  <a:graphicData uri="http://schemas.microsoft.com/office/word/2010/wordprocessingGroup">
                    <wpg:wgp>
                      <wpg:cNvGrpSpPr/>
                      <wpg:grpSpPr>
                        <a:xfrm>
                          <a:off x="0" y="0"/>
                          <a:ext cx="5905500" cy="2886840"/>
                          <a:chOff x="0" y="0"/>
                          <a:chExt cx="8187444" cy="3290805"/>
                        </a:xfrm>
                      </wpg:grpSpPr>
                      <wps:wsp>
                        <wps:cNvPr id="3091" name="11 Rectángulo redondeado"/>
                        <wps:cNvSpPr/>
                        <wps:spPr>
                          <a:xfrm>
                            <a:off x="1" y="499392"/>
                            <a:ext cx="1512168" cy="432048"/>
                          </a:xfrm>
                          <a:prstGeom prst="roundRect">
                            <a:avLst/>
                          </a:prstGeom>
                          <a:solidFill>
                            <a:srgbClr val="0C4E7A"/>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5D31F0"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Actividades</w:t>
                              </w:r>
                            </w:p>
                          </w:txbxContent>
                        </wps:txbx>
                        <wps:bodyPr rtlCol="0" anchor="ctr"/>
                      </wps:wsp>
                      <wps:wsp>
                        <wps:cNvPr id="3092" name="12 Rectángulo redondeado"/>
                        <wps:cNvSpPr/>
                        <wps:spPr>
                          <a:xfrm>
                            <a:off x="2160240" y="476944"/>
                            <a:ext cx="1512168" cy="432048"/>
                          </a:xfrm>
                          <a:prstGeom prst="roundRect">
                            <a:avLst/>
                          </a:prstGeom>
                          <a:solidFill>
                            <a:srgbClr val="0C4E7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5D3275"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Componentes</w:t>
                              </w:r>
                            </w:p>
                          </w:txbxContent>
                        </wps:txbx>
                        <wps:bodyPr rtlCol="0" anchor="ctr"/>
                      </wps:wsp>
                      <wps:wsp>
                        <wps:cNvPr id="3093" name="13 Rectángulo redondeado"/>
                        <wps:cNvSpPr/>
                        <wps:spPr>
                          <a:xfrm>
                            <a:off x="4392489" y="499392"/>
                            <a:ext cx="1512168" cy="432048"/>
                          </a:xfrm>
                          <a:prstGeom prst="roundRect">
                            <a:avLst/>
                          </a:prstGeom>
                          <a:solidFill>
                            <a:srgbClr val="0C4E7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A63F10"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Propósito</w:t>
                              </w:r>
                            </w:p>
                          </w:txbxContent>
                        </wps:txbx>
                        <wps:bodyPr rtlCol="0" anchor="ctr"/>
                      </wps:wsp>
                      <wps:wsp>
                        <wps:cNvPr id="3094" name="14 Rectángulo redondeado"/>
                        <wps:cNvSpPr/>
                        <wps:spPr>
                          <a:xfrm>
                            <a:off x="6589000" y="499392"/>
                            <a:ext cx="1512168" cy="432048"/>
                          </a:xfrm>
                          <a:prstGeom prst="roundRect">
                            <a:avLst/>
                          </a:prstGeom>
                          <a:solidFill>
                            <a:srgbClr val="0C4E7A"/>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0E4716"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Fin</w:t>
                              </w:r>
                            </w:p>
                          </w:txbxContent>
                        </wps:txbx>
                        <wps:bodyPr rtlCol="0" anchor="ctr"/>
                      </wps:wsp>
                      <wps:wsp>
                        <wps:cNvPr id="3095" name="15 Rectángulo redondeado"/>
                        <wps:cNvSpPr/>
                        <wps:spPr>
                          <a:xfrm>
                            <a:off x="0" y="1435012"/>
                            <a:ext cx="1619913" cy="185579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2DD8260"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color w:val="000000" w:themeColor="dark1"/>
                                  <w:kern w:val="24"/>
                                  <w:sz w:val="18"/>
                                  <w:szCs w:val="18"/>
                                </w:rPr>
                                <w:t>Permite verificar la gestión de los procesos: recursos humanos, el financiamiento, la adquisición de insumos, la operación, entre otros.</w:t>
                              </w:r>
                            </w:p>
                          </w:txbxContent>
                        </wps:txbx>
                        <wps:bodyPr rtlCol="0" anchor="ctr"/>
                      </wps:wsp>
                      <wps:wsp>
                        <wps:cNvPr id="3096" name="16 Rectángulo redondeado"/>
                        <wps:cNvSpPr/>
                        <wps:spPr>
                          <a:xfrm>
                            <a:off x="2156016" y="1435012"/>
                            <a:ext cx="1619913" cy="185579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333BAAC"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color w:val="000000" w:themeColor="dark1"/>
                                  <w:kern w:val="24"/>
                                  <w:sz w:val="18"/>
                                  <w:szCs w:val="18"/>
                                </w:rPr>
                                <w:t xml:space="preserve">Permite verificar la generación y/o entrega de los bienes y/o servicios del programa. </w:t>
                              </w:r>
                            </w:p>
                          </w:txbxContent>
                        </wps:txbx>
                        <wps:bodyPr rtlCol="0" anchor="ctr"/>
                      </wps:wsp>
                      <wps:wsp>
                        <wps:cNvPr id="3097" name="17 Rectángulo redondeado"/>
                        <wps:cNvSpPr/>
                        <wps:spPr>
                          <a:xfrm>
                            <a:off x="4356750" y="1435012"/>
                            <a:ext cx="1619913" cy="185579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FC49551"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color w:val="000000" w:themeColor="dark1"/>
                                  <w:kern w:val="24"/>
                                  <w:sz w:val="18"/>
                                  <w:szCs w:val="18"/>
                                </w:rPr>
                                <w:t>Permite verificar la cobertura y/o el cambio producido en la población o área de enfoque que puede atribuirse a la ejecución del programa.</w:t>
                              </w:r>
                            </w:p>
                          </w:txbxContent>
                        </wps:txbx>
                        <wps:bodyPr rtlCol="0" anchor="ctr"/>
                      </wps:wsp>
                      <wps:wsp>
                        <wps:cNvPr id="3098" name="18 Rectángulo redondeado"/>
                        <wps:cNvSpPr/>
                        <wps:spPr>
                          <a:xfrm>
                            <a:off x="6481253" y="1434140"/>
                            <a:ext cx="1706191" cy="1855793"/>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E87A981"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color w:val="000000" w:themeColor="dark1"/>
                                  <w:kern w:val="24"/>
                                  <w:sz w:val="18"/>
                                  <w:szCs w:val="18"/>
                                </w:rPr>
                                <w:t xml:space="preserve">Permite verificar los impactos sociales y económicos alcanzados, para los cuales contribuye el programa, pero que no son sólo su responsabilidad. </w:t>
                              </w:r>
                            </w:p>
                          </w:txbxContent>
                        </wps:txbx>
                        <wps:bodyPr rtlCol="0" anchor="ctr"/>
                      </wps:wsp>
                      <wps:wsp>
                        <wps:cNvPr id="3099" name="19 Flecha derecha"/>
                        <wps:cNvSpPr/>
                        <wps:spPr>
                          <a:xfrm>
                            <a:off x="1656184" y="355376"/>
                            <a:ext cx="396311" cy="288032"/>
                          </a:xfrm>
                          <a:prstGeom prst="rightArrow">
                            <a:avLst/>
                          </a:prstGeom>
                          <a:solidFill>
                            <a:srgbClr val="0C4E7A"/>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0" name="20 Flecha derecha"/>
                        <wps:cNvSpPr/>
                        <wps:spPr>
                          <a:xfrm>
                            <a:off x="3852695" y="355376"/>
                            <a:ext cx="396311" cy="288032"/>
                          </a:xfrm>
                          <a:prstGeom prst="rightArrow">
                            <a:avLst/>
                          </a:prstGeom>
                          <a:solidFill>
                            <a:srgbClr val="0C4E7A"/>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1" name="21 Flecha derecha"/>
                        <wps:cNvSpPr/>
                        <wps:spPr>
                          <a:xfrm>
                            <a:off x="6084943" y="355376"/>
                            <a:ext cx="396311" cy="288032"/>
                          </a:xfrm>
                          <a:prstGeom prst="rightArrow">
                            <a:avLst/>
                          </a:prstGeom>
                          <a:solidFill>
                            <a:srgbClr val="0C4E7A"/>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2" name="23 Rectángulo redondeado"/>
                        <wps:cNvSpPr/>
                        <wps:spPr>
                          <a:xfrm>
                            <a:off x="0" y="22448"/>
                            <a:ext cx="1512168" cy="432048"/>
                          </a:xfrm>
                          <a:prstGeom prst="roundRect">
                            <a:avLst/>
                          </a:prstGeom>
                          <a:solidFill>
                            <a:srgbClr val="0C4E7A"/>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64F600"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Procesos</w:t>
                              </w:r>
                            </w:p>
                          </w:txbxContent>
                        </wps:txbx>
                        <wps:bodyPr rtlCol="0" anchor="ctr"/>
                      </wps:wsp>
                      <wps:wsp>
                        <wps:cNvPr id="3103" name="24 Rectángulo redondeado"/>
                        <wps:cNvSpPr/>
                        <wps:spPr>
                          <a:xfrm>
                            <a:off x="2160239" y="0"/>
                            <a:ext cx="1512168" cy="432048"/>
                          </a:xfrm>
                          <a:prstGeom prst="roundRect">
                            <a:avLst/>
                          </a:prstGeom>
                          <a:solidFill>
                            <a:srgbClr val="0C4E7A"/>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16BA1F" w14:textId="77777777" w:rsidR="001673F4" w:rsidRPr="0012278F" w:rsidRDefault="001673F4" w:rsidP="00F51BE5">
                              <w:pPr>
                                <w:pStyle w:val="NormalWeb"/>
                                <w:spacing w:before="0" w:beforeAutospacing="0" w:after="0" w:afterAutospacing="0"/>
                                <w:jc w:val="center"/>
                                <w:rPr>
                                  <w:sz w:val="16"/>
                                  <w:szCs w:val="18"/>
                                </w:rPr>
                              </w:pPr>
                              <w:r w:rsidRPr="0012278F">
                                <w:rPr>
                                  <w:rFonts w:asciiTheme="minorHAnsi" w:hAnsi="Calibri" w:cstheme="minorBidi"/>
                                  <w:b/>
                                  <w:bCs/>
                                  <w:color w:val="FFFFFF" w:themeColor="light1"/>
                                  <w:kern w:val="24"/>
                                  <w:sz w:val="16"/>
                                  <w:szCs w:val="18"/>
                                </w:rPr>
                                <w:t>Bienes y/o servicios</w:t>
                              </w:r>
                            </w:p>
                          </w:txbxContent>
                        </wps:txbx>
                        <wps:bodyPr rtlCol="0" anchor="ctr"/>
                      </wps:wsp>
                      <wps:wsp>
                        <wps:cNvPr id="3104" name="25 Rectángulo redondeado"/>
                        <wps:cNvSpPr/>
                        <wps:spPr>
                          <a:xfrm>
                            <a:off x="4392488" y="22448"/>
                            <a:ext cx="1512168" cy="432048"/>
                          </a:xfrm>
                          <a:prstGeom prst="roundRect">
                            <a:avLst/>
                          </a:prstGeom>
                          <a:solidFill>
                            <a:srgbClr val="0C4E7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099958"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Resultado</w:t>
                              </w:r>
                            </w:p>
                          </w:txbxContent>
                        </wps:txbx>
                        <wps:bodyPr rtlCol="0" anchor="ctr"/>
                      </wps:wsp>
                      <wps:wsp>
                        <wps:cNvPr id="3105" name="26 Rectángulo redondeado"/>
                        <wps:cNvSpPr/>
                        <wps:spPr>
                          <a:xfrm>
                            <a:off x="6588999" y="22448"/>
                            <a:ext cx="1512168" cy="432048"/>
                          </a:xfrm>
                          <a:prstGeom prst="roundRect">
                            <a:avLst/>
                          </a:prstGeom>
                          <a:solidFill>
                            <a:srgbClr val="0C4E7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306B7C"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Impacto</w:t>
                              </w:r>
                            </w:p>
                          </w:txbxContent>
                        </wps:txbx>
                        <wps:bodyPr rtlCol="0" anchor="ctr"/>
                      </wps:wsp>
                      <wps:wsp>
                        <wps:cNvPr id="3106" name="27 Rectángulo redondeado"/>
                        <wps:cNvSpPr/>
                        <wps:spPr>
                          <a:xfrm>
                            <a:off x="0" y="931440"/>
                            <a:ext cx="2965972" cy="432048"/>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5DABA6BB"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Indicador de Gestión</w:t>
                              </w:r>
                            </w:p>
                          </w:txbxContent>
                        </wps:txbx>
                        <wps:bodyPr rtlCol="0" anchor="ctr"/>
                      </wps:wsp>
                      <wps:wsp>
                        <wps:cNvPr id="3107" name="28 Rectángulo redondeado"/>
                        <wps:cNvSpPr/>
                        <wps:spPr>
                          <a:xfrm>
                            <a:off x="2952327" y="931440"/>
                            <a:ext cx="5148839" cy="432048"/>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9797637"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Indicadores Estratégicos</w:t>
                              </w:r>
                            </w:p>
                          </w:txbxContent>
                        </wps:txbx>
                        <wps:bodyPr rtlCol="0" anchor="ctr"/>
                      </wps:wsp>
                    </wpg:wgp>
                  </a:graphicData>
                </a:graphic>
              </wp:inline>
            </w:drawing>
          </mc:Choice>
          <mc:Fallback>
            <w:pict>
              <v:group w14:anchorId="70182082" id="1 Grupo" o:spid="_x0000_s1047" style="width:465pt;height:227.3pt;mso-position-horizontal-relative:char;mso-position-vertical-relative:line" coordsize="81874,3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">
                <v:roundrect id="11 Rectángulo redondeado" o:spid="_x0000_s1048" style="position:absolute;top:4993;width:15121;height:43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S3sYA&#10;AADdAAAADwAAAGRycy9kb3ducmV2LnhtbESPQWvCQBSE74L/YXlCb2YTQ4umriJSSw8iVFt6fWSf&#10;2WD2bZrdauyvd4VCj8PMfMPMl71txJk6XztWkCUpCOLS6ZorBR+HzXgKwgdkjY1jUnAlD8vFcDDH&#10;QrsLv9N5HyoRIewLVGBCaAspfWnIok9cSxy9o+sshii7SuoOLxFuGzlJ0ydpsea4YLCltaHytP+x&#10;Cr7M9fiav+h8luHvJtt+fu8ePSr1MOpXzyAC9eE//Nd+0wrydJbB/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YS3sYAAADdAAAADwAAAAAAAAAAAAAAAACYAgAAZHJz&#10;L2Rvd25yZXYueG1sUEsFBgAAAAAEAAQA9QAAAIsDAAAAAA==&#10;" fillcolor="#0c4e7a" strokecolor="#243f60 [1604]" strokeweight="2pt">
                  <v:textbox>
                    <w:txbxContent>
                      <w:p w14:paraId="0A5D31F0"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Actividades</w:t>
                        </w:r>
                      </w:p>
                    </w:txbxContent>
                  </v:textbox>
                </v:roundrect>
                <v:roundrect id="12 Rectángulo redondeado" o:spid="_x0000_s1049" style="position:absolute;left:21602;top:4769;width:15122;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MqcYA&#10;AADdAAAADwAAAGRycy9kb3ducmV2LnhtbESPQWvCQBSE74X+h+UVvNVNDBVNXUVExUMpaCteH9ln&#10;NjT7NmZXjf313YLgcZiZb5jJrLO1uFDrK8cK0n4CgrhwuuJSwffX6nUEwgdkjbVjUnAjD7Pp89ME&#10;c+2uvKXLLpQiQtjnqMCE0ORS+sKQRd93DXH0jq61GKJsS6lbvEa4reUgSYbSYsVxwWBDC0PFz+5s&#10;FRzM7bjOljobp/i7Sj/2p883j0r1Xrr5O4hAXXiE7+2NVpAl4wH8v4lP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SMqcYAAADdAAAADwAAAAAAAAAAAAAAAACYAgAAZHJz&#10;L2Rvd25yZXYueG1sUEsFBgAAAAAEAAQA9QAAAIsDAAAAAA==&#10;" fillcolor="#0c4e7a" strokecolor="#243f60 [1604]" strokeweight="2pt">
                  <v:textbox>
                    <w:txbxContent>
                      <w:p w14:paraId="335D3275"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Componentes</w:t>
                        </w:r>
                      </w:p>
                    </w:txbxContent>
                  </v:textbox>
                </v:roundrect>
                <v:roundrect id="13 Rectángulo redondeado" o:spid="_x0000_s1050" style="position:absolute;left:43924;top:4993;width:15122;height:43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pMsYA&#10;AADdAAAADwAAAGRycy9kb3ducmV2LnhtbESPQWvCQBSE74X+h+UVvNVNGpQaXaUUFQ+loFW8PrLP&#10;bGj2bcyuGv313YLgcZiZb5jJrLO1OFPrK8cK0n4CgrhwuuJSwfZn8foOwgdkjbVjUnAlD7Pp89ME&#10;c+0uvKbzJpQiQtjnqMCE0ORS+sKQRd93DXH0Dq61GKJsS6lbvES4reVbkgylxYrjgsGGPg0Vv5uT&#10;VbA318Mym+tslOJtkX7tjt8Dj0r1XrqPMYhAXXiE7+2VVpAlowz+38Qn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gpMsYAAADdAAAADwAAAAAAAAAAAAAAAACYAgAAZHJz&#10;L2Rvd25yZXYueG1sUEsFBgAAAAAEAAQA9QAAAIsDAAAAAA==&#10;" fillcolor="#0c4e7a" strokecolor="#243f60 [1604]" strokeweight="2pt">
                  <v:textbox>
                    <w:txbxContent>
                      <w:p w14:paraId="67A63F10"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Propósito</w:t>
                        </w:r>
                      </w:p>
                    </w:txbxContent>
                  </v:textbox>
                </v:roundrect>
                <v:roundrect id="14 Rectángulo redondeado" o:spid="_x0000_s1051" style="position:absolute;left:65890;top:4993;width:15121;height:43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xRscA&#10;AADdAAAADwAAAGRycy9kb3ducmV2LnhtbESPT2vCQBTE7wW/w/KE3uomphaNriKllh6KUP/g9ZF9&#10;ZoPZtzG71dhP3xUKPQ4z8xtmtuhsLS7U+sqxgnSQgCAunK64VLDbrp7GIHxA1lg7JgU38rCY9x5m&#10;mGt35S+6bEIpIoR9jgpMCE0upS8MWfQD1xBH7+haiyHKtpS6xWuE21oOk+RFWqw4Lhhs6NVQcdp8&#10;WwUHczu+Z286m6T4s0o/9+f1yKNSj/1uOQURqAv/4b/2h1aQJZNnuL+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RsUbHAAAA3QAAAA8AAAAAAAAAAAAAAAAAmAIAAGRy&#10;cy9kb3ducmV2LnhtbFBLBQYAAAAABAAEAPUAAACMAwAAAAA=&#10;" fillcolor="#0c4e7a" strokecolor="#243f60 [1604]" strokeweight="2pt">
                  <v:textbox>
                    <w:txbxContent>
                      <w:p w14:paraId="530E4716"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Fin</w:t>
                        </w:r>
                      </w:p>
                    </w:txbxContent>
                  </v:textbox>
                </v:roundrect>
                <v:roundrect id="15 Rectángulo redondeado" o:spid="_x0000_s1052" style="position:absolute;top:14350;width:16199;height:185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W5HsYA&#10;AADdAAAADwAAAGRycy9kb3ducmV2LnhtbESPQUvDQBSE74L/YXmCN7NRq9bYbalCoNB6MO3B4yP7&#10;TILZt2H32ab99V1B8DjMzDfMbDG6Xu0pxM6zgdssB0Vce9txY2C3LW+moKIgW+w9k4EjRVjMLy9m&#10;WFh/4A/aV9KoBOFYoIFWZCi0jnVLDmPmB+LkffngUJIMjbYBDwnuen2X54/aYcdpocWB3lqqv6sf&#10;ZyBO9auU7542nxNZL59OZcWhNOb6aly+gBIa5T/8115ZA/f58wP8vklPQ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W5HsYAAADdAAAADwAAAAAAAAAAAAAAAACYAgAAZHJz&#10;L2Rvd25yZXYueG1sUEsFBgAAAAAEAAQA9QAAAIsDAAAAAA==&#10;" fillcolor="white [3201]" strokecolor="#4f81bd [3204]" strokeweight="2pt">
                  <v:textbox>
                    <w:txbxContent>
                      <w:p w14:paraId="12DD8260"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color w:val="000000" w:themeColor="dark1"/>
                            <w:kern w:val="24"/>
                            <w:sz w:val="18"/>
                            <w:szCs w:val="18"/>
                          </w:rPr>
                          <w:t>Permite verificar la gestión de los procesos: recursos humanos, el financiamiento, la adquisición de insumos, la operación, entre otros.</w:t>
                        </w:r>
                      </w:p>
                    </w:txbxContent>
                  </v:textbox>
                </v:roundrect>
                <v:roundrect id="16 Rectángulo redondeado" o:spid="_x0000_s1053" style="position:absolute;left:21560;top:14350;width:16199;height:185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nacYA&#10;AADdAAAADwAAAGRycy9kb3ducmV2LnhtbESPT0vDQBTE74LfYXmCN7uxSv+k3ZZWCAjaQ9Meenxk&#10;X5Ng9m3YfbbRT+8KgsdhZn7DLNeD69SFQmw9G3gcZaCIK29brg0cD8XDDFQUZIudZzLwRRHWq9ub&#10;JebWX3lPl1JqlSAcczTQiPS51rFqyGEc+Z44eWcfHEqSodY24DXBXafHWTbRDltOCw329NJQ9VF+&#10;OgNxprdS7Dy9n57lbTP9LkoOhTH3d8NmAUpokP/wX/vVGnjK5hP4fZOe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cnacYAAADdAAAADwAAAAAAAAAAAAAAAACYAgAAZHJz&#10;L2Rvd25yZXYueG1sUEsFBgAAAAAEAAQA9QAAAIsDAAAAAA==&#10;" fillcolor="white [3201]" strokecolor="#4f81bd [3204]" strokeweight="2pt">
                  <v:textbox>
                    <w:txbxContent>
                      <w:p w14:paraId="5333BAAC"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color w:val="000000" w:themeColor="dark1"/>
                            <w:kern w:val="24"/>
                            <w:sz w:val="18"/>
                            <w:szCs w:val="18"/>
                          </w:rPr>
                          <w:t xml:space="preserve">Permite verificar la generación y/o entrega de los bienes y/o servicios del programa. </w:t>
                        </w:r>
                      </w:p>
                    </w:txbxContent>
                  </v:textbox>
                </v:roundrect>
                <v:roundrect id="17 Rectángulo redondeado" o:spid="_x0000_s1054" style="position:absolute;left:43567;top:14350;width:16199;height:185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C8sYA&#10;AADdAAAADwAAAGRycy9kb3ducmV2LnhtbESPQUvDQBSE74L/YXlCb3ajFtum3ZYqBArag7GHHh/Z&#10;1yQ0+zbsPtvUX+8KgsdhZr5hluvBdepMIbaeDTyMM1DElbct1wb2n8X9DFQUZIudZzJwpQjr1e3N&#10;EnPrL/xB51JqlSAcczTQiPS51rFqyGEc+544eUcfHEqSodY24CXBXacfs+xZO2w5LTTY02tD1an8&#10;cgbiTL9IsfP0fpjI22b6XZQcCmNGd8NmAUpokP/wX3trDTxl8yn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uC8sYAAADdAAAADwAAAAAAAAAAAAAAAACYAgAAZHJz&#10;L2Rvd25yZXYueG1sUEsFBgAAAAAEAAQA9QAAAIsDAAAAAA==&#10;" fillcolor="white [3201]" strokecolor="#4f81bd [3204]" strokeweight="2pt">
                  <v:textbox>
                    <w:txbxContent>
                      <w:p w14:paraId="7FC49551"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color w:val="000000" w:themeColor="dark1"/>
                            <w:kern w:val="24"/>
                            <w:sz w:val="18"/>
                            <w:szCs w:val="18"/>
                          </w:rPr>
                          <w:t>Permite verificar la cobertura y/o el cambio producido en la población o área de enfoque que puede atribuirse a la ejecución del programa.</w:t>
                        </w:r>
                      </w:p>
                    </w:txbxContent>
                  </v:textbox>
                </v:roundrect>
                <v:roundrect id="18 Rectángulo redondeado" o:spid="_x0000_s1055" style="position:absolute;left:64812;top:14341;width:17062;height:185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WgMMA&#10;AADdAAAADwAAAGRycy9kb3ducmV2LnhtbERPTUvDQBC9C/6HZQRvdmMVm8ZuSysEBNtD0x56HLJj&#10;EszOht2xjf5691Dw+Hjfi9XoenWmEDvPBh4nGSji2tuOGwPHQ/mQg4qCbLH3TAZ+KMJqeXuzwML6&#10;C+/pXEmjUgjHAg20IkOhdaxbchgnfiBO3KcPDiXB0Ggb8JLCXa+nWfaiHXacGloc6K2l+qv6dgZi&#10;rjdS7jxtT8/ysZ79lhWH0pj7u3H9CkpolH/x1f1uDTxl8zQ3vU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QWgMMAAADdAAAADwAAAAAAAAAAAAAAAACYAgAAZHJzL2Rv&#10;d25yZXYueG1sUEsFBgAAAAAEAAQA9QAAAIgDAAAAAA==&#10;" fillcolor="white [3201]" strokecolor="#4f81bd [3204]" strokeweight="2pt">
                  <v:textbox>
                    <w:txbxContent>
                      <w:p w14:paraId="4E87A981"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color w:val="000000" w:themeColor="dark1"/>
                            <w:kern w:val="24"/>
                            <w:sz w:val="18"/>
                            <w:szCs w:val="18"/>
                          </w:rPr>
                          <w:t xml:space="preserve">Permite verificar los impactos sociales y económicos alcanzados, para los cuales contribuye el programa, pero que no son sólo su responsabilidad.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9 Flecha derecha" o:spid="_x0000_s1056" type="#_x0000_t13" style="position:absolute;left:16561;top:3553;width:3963;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cZ8cA&#10;AADdAAAADwAAAGRycy9kb3ducmV2LnhtbESPT2vCQBTE7wW/w/KEXkQ3RqmaukpbKhS81D/g9ZF9&#10;TYLZt+nuGuO3dwtCj8PM/IZZrjtTi5acrywrGI8SEMS51RUXCo6HzXAOwgdkjbVlUnAjD+tV72mJ&#10;mbZX3lG7D4WIEPYZKihDaDIpfV6SQT+yDXH0fqwzGKJ0hdQOrxFuapkmyYs0WHFcKLGhj5Ly8/5i&#10;FEzTy/tp8n1Lt3LmPvPflprdYKDUc797ewURqAv/4Uf7SyuYJIsF/L2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1XGfHAAAA3QAAAA8AAAAAAAAAAAAAAAAAmAIAAGRy&#10;cy9kb3ducmV2LnhtbFBLBQYAAAAABAAEAPUAAACMAwAAAAA=&#10;" adj="13751" fillcolor="#0c4e7a" strokecolor="#243f60 [1604]" strokeweight="2pt"/>
                <v:shape id="20 Flecha derecha" o:spid="_x0000_s1057" type="#_x0000_t13" style="position:absolute;left:38526;top:3553;width:3964;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v4MQA&#10;AADdAAAADwAAAGRycy9kb3ducmV2LnhtbERPz2vCMBS+D/Y/hDfwIjO1jk1qU9mGgrCLdYLXR/PW&#10;ljUvXRJr/e/NQdjx4/udr0fTiYGcby0rmM8SEMSV1S3XCo7f2+clCB+QNXaWScGVPKyLx4ccM20v&#10;XNJwCLWIIewzVNCE0GdS+qohg35me+LI/VhnMEToaqkdXmK46WSaJK/SYMuxocGePhuqfg9no+Al&#10;PX+cFvtr+iXf3Kb6G6gvp1OlJk/j+wpEoDH8i+/unVawmCdxf3wTn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kb+DEAAAA3QAAAA8AAAAAAAAAAAAAAAAAmAIAAGRycy9k&#10;b3ducmV2LnhtbFBLBQYAAAAABAAEAPUAAACJAwAAAAA=&#10;" adj="13751" fillcolor="#0c4e7a" strokecolor="#243f60 [1604]" strokeweight="2pt"/>
                <v:shape id="21 Flecha derecha" o:spid="_x0000_s1058" type="#_x0000_t13" style="position:absolute;left:60849;top:3553;width:3963;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Ke8cA&#10;AADdAAAADwAAAGRycy9kb3ducmV2LnhtbESPT2vCQBTE74V+h+UVehHdJEqV6CptUSh4qX/A6yP7&#10;TEKzb9PdNcZv3xWEHoeZ+Q2zWPWmER05X1tWkI4SEMSF1TWXCo6HzXAGwgdkjY1lUnAjD6vl89MC&#10;c22vvKNuH0oRIexzVFCF0OZS+qIig35kW+Lona0zGKJ0pdQOrxFuGpklyZs0WHNcqLClz4qKn/3F&#10;KJhkl4/T+PuWbeXUrYvfjtrdYKDU60v/PgcRqA//4Uf7SysYp0kK9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oynvHAAAA3QAAAA8AAAAAAAAAAAAAAAAAmAIAAGRy&#10;cy9kb3ducmV2LnhtbFBLBQYAAAAABAAEAPUAAACMAwAAAAA=&#10;" adj="13751" fillcolor="#0c4e7a" strokecolor="#243f60 [1604]" strokeweight="2pt"/>
                <v:roundrect id="23 Rectángulo redondeado" o:spid="_x0000_s1059" style="position:absolute;top:224;width:15121;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Ws8YA&#10;AADdAAAADwAAAGRycy9kb3ducmV2LnhtbESPQWvCQBSE7wX/w/IEb80mhkqbuopIFQ8i1Lb0+sg+&#10;s6HZt2l21dhf7wpCj8PMfMNM571txIk6XztWkCUpCOLS6ZorBZ8fq8dnED4ga2wck4ILeZjPBg9T&#10;LLQ78zud9qESEcK+QAUmhLaQ0peGLPrEtcTRO7jOYoiyq6Tu8BzhtpHjNJ1IizXHBYMtLQ2VP/uj&#10;VfBtLod1/qbzlwz/Vtn263f35FGp0bBfvIII1If/8L290QryLB3D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8Ws8YAAADdAAAADwAAAAAAAAAAAAAAAACYAgAAZHJz&#10;L2Rvd25yZXYueG1sUEsFBgAAAAAEAAQA9QAAAIsDAAAAAA==&#10;" fillcolor="#0c4e7a" strokecolor="#243f60 [1604]" strokeweight="2pt">
                  <v:textbox>
                    <w:txbxContent>
                      <w:p w14:paraId="2664F600"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Procesos</w:t>
                        </w:r>
                      </w:p>
                    </w:txbxContent>
                  </v:textbox>
                </v:roundrect>
                <v:roundrect id="24 Rectángulo redondeado" o:spid="_x0000_s1060" style="position:absolute;left:21602;width:15122;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zKMYA&#10;AADdAAAADwAAAGRycy9kb3ducmV2LnhtbESPQWvCQBSE74X+h+UVvDWbGBSbukoRFQ+loG3p9ZF9&#10;ZkOzb2N21eiv7xYEj8PMfMNM571txIk6XztWkCUpCOLS6ZorBV+fq+cJCB+QNTaOScGFPMxnjw9T&#10;LLQ785ZOu1CJCGFfoAITQltI6UtDFn3iWuLo7V1nMUTZVVJ3eI5w28hhmo6lxZrjgsGWFobK393R&#10;Kvgxl/06X+r8JcPrKnv/PnyMPCo1eOrfXkEE6sM9fGtvtII8S3P4fxOf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zKMYAAADdAAAADwAAAAAAAAAAAAAAAACYAgAAZHJz&#10;L2Rvd25yZXYueG1sUEsFBgAAAAAEAAQA9QAAAIsDAAAAAA==&#10;" fillcolor="#0c4e7a" strokecolor="#243f60 [1604]" strokeweight="2pt">
                  <v:textbox>
                    <w:txbxContent>
                      <w:p w14:paraId="0E16BA1F" w14:textId="77777777" w:rsidR="001673F4" w:rsidRPr="0012278F" w:rsidRDefault="001673F4" w:rsidP="00F51BE5">
                        <w:pPr>
                          <w:pStyle w:val="NormalWeb"/>
                          <w:spacing w:before="0" w:beforeAutospacing="0" w:after="0" w:afterAutospacing="0"/>
                          <w:jc w:val="center"/>
                          <w:rPr>
                            <w:sz w:val="16"/>
                            <w:szCs w:val="18"/>
                          </w:rPr>
                        </w:pPr>
                        <w:r w:rsidRPr="0012278F">
                          <w:rPr>
                            <w:rFonts w:asciiTheme="minorHAnsi" w:hAnsi="Calibri" w:cstheme="minorBidi"/>
                            <w:b/>
                            <w:bCs/>
                            <w:color w:val="FFFFFF" w:themeColor="light1"/>
                            <w:kern w:val="24"/>
                            <w:sz w:val="16"/>
                            <w:szCs w:val="18"/>
                          </w:rPr>
                          <w:t>Bienes y/o servicios</w:t>
                        </w:r>
                      </w:p>
                    </w:txbxContent>
                  </v:textbox>
                </v:roundrect>
                <v:roundrect id="25 Rectángulo redondeado" o:spid="_x0000_s1061" style="position:absolute;left:43924;top:224;width:15122;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rXMYA&#10;AADdAAAADwAAAGRycy9kb3ducmV2LnhtbESPQWvCQBSE74X+h+UVvNVNjJY2dZUiKh5E0Lb0+sg+&#10;s6HZtzG7avTXu0Khx2FmvmHG087W4kStrxwrSPsJCOLC6YpLBV+fi+dXED4ga6wdk4ILeZhOHh/G&#10;mGt35i2ddqEUEcI+RwUmhCaX0heGLPq+a4ijt3etxRBlW0rd4jnCbS0HSfIiLVYcFww2NDNU/O6O&#10;VsGPueyX2VxnbyleF+n6+7AZeVSq99R9vIMI1IX/8F97pRVkaTKE+5v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orXMYAAADdAAAADwAAAAAAAAAAAAAAAACYAgAAZHJz&#10;L2Rvd25yZXYueG1sUEsFBgAAAAAEAAQA9QAAAIsDAAAAAA==&#10;" fillcolor="#0c4e7a" strokecolor="#243f60 [1604]" strokeweight="2pt">
                  <v:textbox>
                    <w:txbxContent>
                      <w:p w14:paraId="1F099958"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Resultado</w:t>
                        </w:r>
                      </w:p>
                    </w:txbxContent>
                  </v:textbox>
                </v:roundrect>
                <v:roundrect id="26 Rectángulo redondeado" o:spid="_x0000_s1062" style="position:absolute;left:65889;top:224;width:15122;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Ox8YA&#10;AADdAAAADwAAAGRycy9kb3ducmV2LnhtbESPQWvCQBSE70L/w/IKvZlNDIqNrlJKlR6KUG3p9ZF9&#10;ZoPZtzG7auyv7wpCj8PMfMPMl71txJk6XztWkCUpCOLS6ZorBV+71XAKwgdkjY1jUnAlD8vFw2CO&#10;hXYX/qTzNlQiQtgXqMCE0BZS+tKQRZ+4ljh6e9dZDFF2ldQdXiLcNnKUphNpsea4YLClV0PlYXuy&#10;Cn7Mdb/O33T+nOHvKvv4Pm7GHpV6euxfZiAC9eE/fG+/awV5lo7h9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aOx8YAAADdAAAADwAAAAAAAAAAAAAAAACYAgAAZHJz&#10;L2Rvd25yZXYueG1sUEsFBgAAAAAEAAQA9QAAAIsDAAAAAA==&#10;" fillcolor="#0c4e7a" strokecolor="#243f60 [1604]" strokeweight="2pt">
                  <v:textbox>
                    <w:txbxContent>
                      <w:p w14:paraId="6B306B7C"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Impacto</w:t>
                        </w:r>
                      </w:p>
                    </w:txbxContent>
                  </v:textbox>
                </v:roundrect>
                <v:roundrect id="27 Rectángulo redondeado" o:spid="_x0000_s1063" style="position:absolute;top:9314;width:29659;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plsYA&#10;AADdAAAADwAAAGRycy9kb3ducmV2LnhtbESPQWvCQBSE70L/w/KE3nTXCKKpmyAFMb20aO2ht9fs&#10;Mwlm34bsRtN/3y0Uehxm5htmm4+2FTfqfeNYw2KuQBCXzjRcaTi/72drED4gG2wdk4Zv8pBnD5Mt&#10;psbd+Ui3U6hEhLBPUUMdQpdK6cuaLPq564ijd3G9xRBlX0nT4z3CbSsTpVbSYsNxocaOnmsqr6fB&#10;amg+Dx8vb8PwuknafaKKr6Izo9P6cTrunkAEGsN/+K9dGA3LhVrB75v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BplsYAAADdAAAADwAAAAAAAAAAAAAAAACYAgAAZHJz&#10;L2Rvd25yZXYueG1sUEsFBgAAAAAEAAQA9QAAAIsDAAAAAA==&#10;" fillcolor="#4bacc6 [3208]" strokecolor="#205867 [1608]" strokeweight="2pt">
                  <v:textbox>
                    <w:txbxContent>
                      <w:p w14:paraId="5DABA6BB"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Indicador de Gestión</w:t>
                        </w:r>
                      </w:p>
                    </w:txbxContent>
                  </v:textbox>
                </v:roundrect>
                <v:roundrect id="28 Rectángulo redondeado" o:spid="_x0000_s1064" style="position:absolute;left:29523;top:9314;width:51488;height:43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zMDcYA&#10;AADdAAAADwAAAGRycy9kb3ducmV2LnhtbESPQWvCQBSE7wX/w/IK3uquEaxGV5GCNF5ajHro7TX7&#10;TEKzb0N2o+m/7xYKPQ4z8w2z3g62ETfqfO1Yw3SiQBAXztRcajif9k8LED4gG2wck4Zv8rDdjB7W&#10;mBp35yPd8lCKCGGfooYqhDaV0hcVWfQT1xJH7+o6iyHKrpSmw3uE20YmSs2lxZrjQoUtvVRUfOW9&#10;1VB/vF4O733/tkyafaKyz6w1g9N6/DjsViACDeE//NfOjIbZVD3D75v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zMDcYAAADdAAAADwAAAAAAAAAAAAAAAACYAgAAZHJz&#10;L2Rvd25yZXYueG1sUEsFBgAAAAAEAAQA9QAAAIsDAAAAAA==&#10;" fillcolor="#4bacc6 [3208]" strokecolor="#205867 [1608]" strokeweight="2pt">
                  <v:textbox>
                    <w:txbxContent>
                      <w:p w14:paraId="29797637" w14:textId="77777777" w:rsidR="001673F4" w:rsidRPr="0012278F" w:rsidRDefault="001673F4" w:rsidP="00F51BE5">
                        <w:pPr>
                          <w:pStyle w:val="NormalWeb"/>
                          <w:spacing w:before="0" w:beforeAutospacing="0" w:after="0" w:afterAutospacing="0"/>
                          <w:jc w:val="center"/>
                          <w:rPr>
                            <w:sz w:val="18"/>
                            <w:szCs w:val="18"/>
                          </w:rPr>
                        </w:pPr>
                        <w:r w:rsidRPr="0012278F">
                          <w:rPr>
                            <w:rFonts w:asciiTheme="minorHAnsi" w:hAnsi="Calibri" w:cstheme="minorBidi"/>
                            <w:b/>
                            <w:bCs/>
                            <w:color w:val="FFFFFF" w:themeColor="light1"/>
                            <w:kern w:val="24"/>
                            <w:sz w:val="18"/>
                            <w:szCs w:val="18"/>
                          </w:rPr>
                          <w:t>Indicadores Estratégicos</w:t>
                        </w:r>
                      </w:p>
                    </w:txbxContent>
                  </v:textbox>
                </v:roundrect>
                <w10:anchorlock/>
              </v:group>
            </w:pict>
          </mc:Fallback>
        </mc:AlternateContent>
      </w:r>
    </w:p>
    <w:p w14:paraId="67A524E6" w14:textId="77777777" w:rsidR="00F51BE5" w:rsidRDefault="00F51BE5" w:rsidP="00F51BE5">
      <w:pPr>
        <w:spacing w:after="240"/>
        <w:jc w:val="both"/>
        <w:rPr>
          <w:rFonts w:cstheme="minorHAnsi"/>
        </w:rPr>
      </w:pPr>
      <w:r>
        <w:rPr>
          <w:rFonts w:cstheme="minorHAnsi"/>
          <w:b/>
        </w:rPr>
        <w:t>Fu</w:t>
      </w:r>
      <w:r w:rsidRPr="00830BF5">
        <w:rPr>
          <w:rFonts w:cstheme="minorHAnsi"/>
          <w:b/>
        </w:rPr>
        <w:t>ente:</w:t>
      </w:r>
      <w:r>
        <w:rPr>
          <w:rFonts w:cstheme="minorHAnsi"/>
        </w:rPr>
        <w:t xml:space="preserve"> elaborado por TECSO con base a la Guía para el diseño de la Matriz de Indicadores para </w:t>
      </w:r>
      <w:r w:rsidRPr="00963B1D">
        <w:rPr>
          <w:rFonts w:cstheme="minorHAnsi"/>
        </w:rPr>
        <w:t>Resultados, s.a. SHCP, CONEVAL, SFP.</w:t>
      </w:r>
    </w:p>
    <w:p w14:paraId="4585677E" w14:textId="77777777" w:rsidR="00F51BE5" w:rsidRDefault="00F51BE5" w:rsidP="00F51BE5">
      <w:pPr>
        <w:jc w:val="both"/>
        <w:rPr>
          <w:rFonts w:ascii="Century Gothic" w:hAnsi="Century Gothic"/>
          <w:sz w:val="24"/>
          <w:szCs w:val="24"/>
        </w:rPr>
      </w:pPr>
      <w:r>
        <w:rPr>
          <w:rFonts w:ascii="Century Gothic" w:hAnsi="Century Gothic"/>
          <w:sz w:val="24"/>
          <w:szCs w:val="24"/>
        </w:rPr>
        <w:t xml:space="preserve">Es importante mencionar que la MIR </w:t>
      </w:r>
      <w:r w:rsidRPr="00AF43DA">
        <w:rPr>
          <w:rFonts w:ascii="Century Gothic" w:hAnsi="Century Gothic"/>
          <w:sz w:val="24"/>
          <w:szCs w:val="24"/>
        </w:rPr>
        <w:t>“</w:t>
      </w:r>
      <w:r w:rsidRPr="004B5260">
        <w:rPr>
          <w:rFonts w:ascii="Century Gothic" w:hAnsi="Century Gothic"/>
          <w:sz w:val="24"/>
          <w:szCs w:val="24"/>
        </w:rPr>
        <w:t>es una herramienta que permite vincular los distintos instrumentos para el diseño, organización, ejecución, seguimiento, evaluación y mejora de los programas, resultando de un proceso de planeación realizado con base en la Metodología del Marco Lógico”</w:t>
      </w:r>
      <w:r>
        <w:rPr>
          <w:rFonts w:ascii="Century Gothic" w:hAnsi="Century Gothic"/>
          <w:sz w:val="24"/>
          <w:szCs w:val="24"/>
        </w:rPr>
        <w:t xml:space="preserve"> (SHCP, 24)</w:t>
      </w:r>
      <w:r w:rsidRPr="00AF43DA">
        <w:rPr>
          <w:rFonts w:ascii="Century Gothic" w:hAnsi="Century Gothic"/>
          <w:sz w:val="24"/>
          <w:szCs w:val="24"/>
        </w:rPr>
        <w:t xml:space="preserve">, </w:t>
      </w:r>
      <w:r>
        <w:rPr>
          <w:rFonts w:ascii="Century Gothic" w:hAnsi="Century Gothic"/>
          <w:sz w:val="24"/>
          <w:szCs w:val="24"/>
        </w:rPr>
        <w:t xml:space="preserve">donde también se derivan otros instrumentos, como lo son el árbol de problemas y el árbol de objetivos, en los cuales se plasma la </w:t>
      </w:r>
      <w:r>
        <w:rPr>
          <w:rFonts w:ascii="Century Gothic" w:hAnsi="Century Gothic"/>
          <w:sz w:val="24"/>
          <w:szCs w:val="24"/>
        </w:rPr>
        <w:lastRenderedPageBreak/>
        <w:t xml:space="preserve">problemática y objeto que busca atender el programa presupuestario, por lo tanto dichos instrumentos tener correspondencia en su traducción (de árbol de problemas a árbol de Objetivo; y de árbol de objetivos a MIR), </w:t>
      </w:r>
      <w:r w:rsidRPr="00AF43DA">
        <w:rPr>
          <w:rFonts w:ascii="Century Gothic" w:hAnsi="Century Gothic"/>
          <w:sz w:val="24"/>
          <w:szCs w:val="24"/>
        </w:rPr>
        <w:t xml:space="preserve"> ya que responden a un ejercicio</w:t>
      </w:r>
      <w:r>
        <w:rPr>
          <w:rFonts w:ascii="Century Gothic" w:hAnsi="Century Gothic"/>
          <w:sz w:val="24"/>
          <w:szCs w:val="24"/>
        </w:rPr>
        <w:t xml:space="preserve"> de articulación estratégico. </w:t>
      </w:r>
    </w:p>
    <w:p w14:paraId="29E021BE" w14:textId="77777777" w:rsidR="000E0461" w:rsidRPr="00967606" w:rsidRDefault="000050E5" w:rsidP="000E0461">
      <w:pPr>
        <w:pStyle w:val="Ttulo3"/>
        <w:spacing w:before="0" w:after="240"/>
        <w:rPr>
          <w:rFonts w:ascii="Century Gothic" w:hAnsi="Century Gothic"/>
          <w:color w:val="0E4E7A"/>
          <w:sz w:val="24"/>
        </w:rPr>
      </w:pPr>
      <w:bookmarkStart w:id="25" w:name="_Toc511859775"/>
      <w:r>
        <w:rPr>
          <w:rFonts w:ascii="Century Gothic" w:hAnsi="Century Gothic"/>
          <w:color w:val="0E4E7A"/>
          <w:sz w:val="24"/>
        </w:rPr>
        <w:t>Ficha técnica de los Indicadores</w:t>
      </w:r>
      <w:bookmarkEnd w:id="25"/>
    </w:p>
    <w:p w14:paraId="167B4F1E" w14:textId="77777777" w:rsidR="000050E5" w:rsidRDefault="000050E5" w:rsidP="000E0461">
      <w:pPr>
        <w:overflowPunct w:val="0"/>
        <w:autoSpaceDE w:val="0"/>
        <w:autoSpaceDN w:val="0"/>
        <w:adjustRightInd w:val="0"/>
        <w:spacing w:after="240"/>
        <w:jc w:val="both"/>
        <w:textAlignment w:val="baseline"/>
        <w:rPr>
          <w:rFonts w:ascii="Century Gothic" w:eastAsiaTheme="majorEastAsia" w:hAnsi="Century Gothic" w:cstheme="majorBidi"/>
          <w:sz w:val="24"/>
          <w:szCs w:val="24"/>
        </w:rPr>
      </w:pPr>
      <w:r>
        <w:rPr>
          <w:rFonts w:ascii="Century Gothic" w:eastAsiaTheme="majorEastAsia" w:hAnsi="Century Gothic" w:cstheme="majorBidi"/>
          <w:sz w:val="24"/>
          <w:szCs w:val="24"/>
        </w:rPr>
        <w:t xml:space="preserve">Para cada uno de los indicadores se debe desarrollar una ficha técnica, tal como lo establece la SHCP, CONEVAL y </w:t>
      </w:r>
      <w:r w:rsidRPr="000050E5">
        <w:rPr>
          <w:rFonts w:ascii="Century Gothic" w:eastAsiaTheme="majorEastAsia" w:hAnsi="Century Gothic" w:cstheme="majorBidi"/>
          <w:sz w:val="24"/>
          <w:szCs w:val="24"/>
        </w:rPr>
        <w:t>SFP</w:t>
      </w:r>
      <w:r>
        <w:rPr>
          <w:rFonts w:ascii="Century Gothic" w:eastAsiaTheme="majorEastAsia" w:hAnsi="Century Gothic" w:cstheme="majorBidi"/>
          <w:sz w:val="24"/>
          <w:szCs w:val="24"/>
        </w:rPr>
        <w:t xml:space="preserve"> en la guía para </w:t>
      </w:r>
      <w:r w:rsidRPr="000050E5">
        <w:rPr>
          <w:rFonts w:ascii="Century Gothic" w:eastAsiaTheme="majorEastAsia" w:hAnsi="Century Gothic" w:cstheme="majorBidi"/>
          <w:sz w:val="24"/>
          <w:szCs w:val="24"/>
        </w:rPr>
        <w:t>para el diseño de la Matriz de Indicadores para Resultados</w:t>
      </w:r>
      <w:r>
        <w:rPr>
          <w:rFonts w:ascii="Century Gothic" w:eastAsiaTheme="majorEastAsia" w:hAnsi="Century Gothic" w:cstheme="majorBidi"/>
          <w:sz w:val="24"/>
          <w:szCs w:val="24"/>
        </w:rPr>
        <w:t>:</w:t>
      </w:r>
    </w:p>
    <w:p w14:paraId="1396E441" w14:textId="77777777" w:rsidR="000050E5" w:rsidRDefault="000050E5" w:rsidP="001319AC">
      <w:pPr>
        <w:overflowPunct w:val="0"/>
        <w:autoSpaceDE w:val="0"/>
        <w:autoSpaceDN w:val="0"/>
        <w:adjustRightInd w:val="0"/>
        <w:spacing w:after="240"/>
        <w:ind w:left="284" w:right="333"/>
        <w:jc w:val="both"/>
        <w:textAlignment w:val="baseline"/>
        <w:rPr>
          <w:rFonts w:ascii="Century Gothic" w:eastAsiaTheme="majorEastAsia" w:hAnsi="Century Gothic" w:cstheme="majorBidi"/>
          <w:sz w:val="24"/>
          <w:szCs w:val="24"/>
        </w:rPr>
      </w:pPr>
      <w:r w:rsidRPr="000050E5">
        <w:rPr>
          <w:rFonts w:ascii="Century Gothic" w:eastAsiaTheme="majorEastAsia" w:hAnsi="Century Gothic" w:cstheme="majorBidi"/>
          <w:sz w:val="24"/>
          <w:szCs w:val="24"/>
        </w:rPr>
        <w:t>Los indicadores de desempeño, indicadores de la MIR, deberán contar con una ficha técnica, la cual deberá contener los siguientes elementos mínimos para su adecu</w:t>
      </w:r>
      <w:r>
        <w:rPr>
          <w:rFonts w:ascii="Century Gothic" w:eastAsiaTheme="majorEastAsia" w:hAnsi="Century Gothic" w:cstheme="majorBidi"/>
          <w:sz w:val="24"/>
          <w:szCs w:val="24"/>
        </w:rPr>
        <w:t xml:space="preserve">ado seguimiento y evaluación: </w:t>
      </w:r>
    </w:p>
    <w:p w14:paraId="1EBF477D" w14:textId="77777777" w:rsidR="000050E5" w:rsidRDefault="000050E5" w:rsidP="001319AC">
      <w:pPr>
        <w:pStyle w:val="Prrafodelista"/>
        <w:numPr>
          <w:ilvl w:val="0"/>
          <w:numId w:val="5"/>
        </w:numPr>
        <w:overflowPunct w:val="0"/>
        <w:autoSpaceDE w:val="0"/>
        <w:autoSpaceDN w:val="0"/>
        <w:adjustRightInd w:val="0"/>
        <w:spacing w:after="120"/>
        <w:ind w:left="714" w:right="335" w:hanging="357"/>
        <w:contextualSpacing w:val="0"/>
        <w:jc w:val="both"/>
        <w:textAlignment w:val="baseline"/>
        <w:rPr>
          <w:rFonts w:ascii="Century Gothic" w:eastAsiaTheme="majorEastAsia" w:hAnsi="Century Gothic" w:cstheme="majorBidi"/>
          <w:sz w:val="24"/>
          <w:szCs w:val="24"/>
        </w:rPr>
      </w:pPr>
      <w:r>
        <w:rPr>
          <w:rFonts w:ascii="Century Gothic" w:eastAsiaTheme="majorEastAsia" w:hAnsi="Century Gothic" w:cstheme="majorBidi"/>
          <w:sz w:val="24"/>
          <w:szCs w:val="24"/>
        </w:rPr>
        <w:t>Dimensión a medir.</w:t>
      </w:r>
    </w:p>
    <w:p w14:paraId="2B2650E4" w14:textId="77777777" w:rsidR="000050E5" w:rsidRDefault="000050E5" w:rsidP="001319AC">
      <w:pPr>
        <w:pStyle w:val="Prrafodelista"/>
        <w:numPr>
          <w:ilvl w:val="0"/>
          <w:numId w:val="5"/>
        </w:numPr>
        <w:overflowPunct w:val="0"/>
        <w:autoSpaceDE w:val="0"/>
        <w:autoSpaceDN w:val="0"/>
        <w:adjustRightInd w:val="0"/>
        <w:spacing w:after="120"/>
        <w:ind w:left="714" w:right="335" w:hanging="357"/>
        <w:contextualSpacing w:val="0"/>
        <w:jc w:val="both"/>
        <w:textAlignment w:val="baseline"/>
        <w:rPr>
          <w:rFonts w:ascii="Century Gothic" w:eastAsiaTheme="majorEastAsia" w:hAnsi="Century Gothic" w:cstheme="majorBidi"/>
          <w:sz w:val="24"/>
          <w:szCs w:val="24"/>
        </w:rPr>
      </w:pPr>
      <w:r>
        <w:rPr>
          <w:rFonts w:ascii="Century Gothic" w:eastAsiaTheme="majorEastAsia" w:hAnsi="Century Gothic" w:cstheme="majorBidi"/>
          <w:sz w:val="24"/>
          <w:szCs w:val="24"/>
        </w:rPr>
        <w:t>Nombre del indicador.</w:t>
      </w:r>
    </w:p>
    <w:p w14:paraId="77FA036E" w14:textId="77777777" w:rsidR="000050E5" w:rsidRDefault="000050E5" w:rsidP="001319AC">
      <w:pPr>
        <w:pStyle w:val="Prrafodelista"/>
        <w:numPr>
          <w:ilvl w:val="0"/>
          <w:numId w:val="5"/>
        </w:numPr>
        <w:overflowPunct w:val="0"/>
        <w:autoSpaceDE w:val="0"/>
        <w:autoSpaceDN w:val="0"/>
        <w:adjustRightInd w:val="0"/>
        <w:spacing w:after="120"/>
        <w:ind w:left="714" w:right="335" w:hanging="357"/>
        <w:contextualSpacing w:val="0"/>
        <w:jc w:val="both"/>
        <w:textAlignment w:val="baseline"/>
        <w:rPr>
          <w:rFonts w:ascii="Century Gothic" w:eastAsiaTheme="majorEastAsia" w:hAnsi="Century Gothic" w:cstheme="majorBidi"/>
          <w:sz w:val="24"/>
          <w:szCs w:val="24"/>
        </w:rPr>
      </w:pPr>
      <w:r>
        <w:rPr>
          <w:rFonts w:ascii="Century Gothic" w:eastAsiaTheme="majorEastAsia" w:hAnsi="Century Gothic" w:cstheme="majorBidi"/>
          <w:sz w:val="24"/>
          <w:szCs w:val="24"/>
        </w:rPr>
        <w:t>Definición.</w:t>
      </w:r>
    </w:p>
    <w:p w14:paraId="4D62938A" w14:textId="77777777" w:rsidR="000050E5" w:rsidRDefault="000050E5" w:rsidP="001319AC">
      <w:pPr>
        <w:pStyle w:val="Prrafodelista"/>
        <w:numPr>
          <w:ilvl w:val="0"/>
          <w:numId w:val="5"/>
        </w:numPr>
        <w:overflowPunct w:val="0"/>
        <w:autoSpaceDE w:val="0"/>
        <w:autoSpaceDN w:val="0"/>
        <w:adjustRightInd w:val="0"/>
        <w:spacing w:after="120"/>
        <w:ind w:left="714" w:right="335" w:hanging="357"/>
        <w:contextualSpacing w:val="0"/>
        <w:jc w:val="both"/>
        <w:textAlignment w:val="baseline"/>
        <w:rPr>
          <w:rFonts w:ascii="Century Gothic" w:eastAsiaTheme="majorEastAsia" w:hAnsi="Century Gothic" w:cstheme="majorBidi"/>
          <w:sz w:val="24"/>
          <w:szCs w:val="24"/>
        </w:rPr>
      </w:pPr>
      <w:r>
        <w:rPr>
          <w:rFonts w:ascii="Century Gothic" w:eastAsiaTheme="majorEastAsia" w:hAnsi="Century Gothic" w:cstheme="majorBidi"/>
          <w:sz w:val="24"/>
          <w:szCs w:val="24"/>
        </w:rPr>
        <w:t>Método de cálculo.</w:t>
      </w:r>
    </w:p>
    <w:p w14:paraId="59C2E348" w14:textId="77777777" w:rsidR="000050E5" w:rsidRDefault="000050E5" w:rsidP="001319AC">
      <w:pPr>
        <w:pStyle w:val="Prrafodelista"/>
        <w:numPr>
          <w:ilvl w:val="0"/>
          <w:numId w:val="5"/>
        </w:numPr>
        <w:overflowPunct w:val="0"/>
        <w:autoSpaceDE w:val="0"/>
        <w:autoSpaceDN w:val="0"/>
        <w:adjustRightInd w:val="0"/>
        <w:spacing w:after="120"/>
        <w:ind w:left="714" w:right="335" w:hanging="357"/>
        <w:contextualSpacing w:val="0"/>
        <w:jc w:val="both"/>
        <w:textAlignment w:val="baseline"/>
        <w:rPr>
          <w:rFonts w:ascii="Century Gothic" w:eastAsiaTheme="majorEastAsia" w:hAnsi="Century Gothic" w:cstheme="majorBidi"/>
          <w:sz w:val="24"/>
          <w:szCs w:val="24"/>
        </w:rPr>
      </w:pPr>
      <w:r>
        <w:rPr>
          <w:rFonts w:ascii="Century Gothic" w:eastAsiaTheme="majorEastAsia" w:hAnsi="Century Gothic" w:cstheme="majorBidi"/>
          <w:sz w:val="24"/>
          <w:szCs w:val="24"/>
        </w:rPr>
        <w:t>Unidad de medida.</w:t>
      </w:r>
    </w:p>
    <w:p w14:paraId="24962C4E" w14:textId="77777777" w:rsidR="000050E5" w:rsidRDefault="000050E5" w:rsidP="001319AC">
      <w:pPr>
        <w:pStyle w:val="Prrafodelista"/>
        <w:numPr>
          <w:ilvl w:val="0"/>
          <w:numId w:val="5"/>
        </w:numPr>
        <w:overflowPunct w:val="0"/>
        <w:autoSpaceDE w:val="0"/>
        <w:autoSpaceDN w:val="0"/>
        <w:adjustRightInd w:val="0"/>
        <w:spacing w:after="120"/>
        <w:ind w:left="714" w:right="335" w:hanging="357"/>
        <w:contextualSpacing w:val="0"/>
        <w:jc w:val="both"/>
        <w:textAlignment w:val="baseline"/>
        <w:rPr>
          <w:rFonts w:ascii="Century Gothic" w:eastAsiaTheme="majorEastAsia" w:hAnsi="Century Gothic" w:cstheme="majorBidi"/>
          <w:sz w:val="24"/>
          <w:szCs w:val="24"/>
        </w:rPr>
      </w:pPr>
      <w:r>
        <w:rPr>
          <w:rFonts w:ascii="Century Gothic" w:eastAsiaTheme="majorEastAsia" w:hAnsi="Century Gothic" w:cstheme="majorBidi"/>
          <w:sz w:val="24"/>
          <w:szCs w:val="24"/>
        </w:rPr>
        <w:t>Frecuencia de medición.</w:t>
      </w:r>
    </w:p>
    <w:p w14:paraId="302E7C70" w14:textId="77777777" w:rsidR="000050E5" w:rsidRDefault="000050E5" w:rsidP="001319AC">
      <w:pPr>
        <w:pStyle w:val="Prrafodelista"/>
        <w:numPr>
          <w:ilvl w:val="0"/>
          <w:numId w:val="5"/>
        </w:numPr>
        <w:overflowPunct w:val="0"/>
        <w:autoSpaceDE w:val="0"/>
        <w:autoSpaceDN w:val="0"/>
        <w:adjustRightInd w:val="0"/>
        <w:spacing w:after="120"/>
        <w:ind w:left="714" w:right="335" w:hanging="357"/>
        <w:contextualSpacing w:val="0"/>
        <w:jc w:val="both"/>
        <w:textAlignment w:val="baseline"/>
        <w:rPr>
          <w:rFonts w:ascii="Century Gothic" w:eastAsiaTheme="majorEastAsia" w:hAnsi="Century Gothic" w:cstheme="majorBidi"/>
          <w:sz w:val="24"/>
          <w:szCs w:val="24"/>
        </w:rPr>
      </w:pPr>
      <w:r>
        <w:rPr>
          <w:rFonts w:ascii="Century Gothic" w:eastAsiaTheme="majorEastAsia" w:hAnsi="Century Gothic" w:cstheme="majorBidi"/>
          <w:sz w:val="24"/>
          <w:szCs w:val="24"/>
        </w:rPr>
        <w:t>Línea base.</w:t>
      </w:r>
    </w:p>
    <w:p w14:paraId="02688ED6" w14:textId="77777777" w:rsidR="000050E5" w:rsidRDefault="000050E5" w:rsidP="001319AC">
      <w:pPr>
        <w:pStyle w:val="Prrafodelista"/>
        <w:numPr>
          <w:ilvl w:val="0"/>
          <w:numId w:val="5"/>
        </w:numPr>
        <w:overflowPunct w:val="0"/>
        <w:autoSpaceDE w:val="0"/>
        <w:autoSpaceDN w:val="0"/>
        <w:adjustRightInd w:val="0"/>
        <w:spacing w:after="120"/>
        <w:ind w:left="714" w:right="335" w:hanging="357"/>
        <w:contextualSpacing w:val="0"/>
        <w:jc w:val="both"/>
        <w:textAlignment w:val="baseline"/>
        <w:rPr>
          <w:rFonts w:ascii="Century Gothic" w:eastAsiaTheme="majorEastAsia" w:hAnsi="Century Gothic" w:cstheme="majorBidi"/>
          <w:sz w:val="24"/>
          <w:szCs w:val="24"/>
        </w:rPr>
      </w:pPr>
      <w:r>
        <w:rPr>
          <w:rFonts w:ascii="Century Gothic" w:eastAsiaTheme="majorEastAsia" w:hAnsi="Century Gothic" w:cstheme="majorBidi"/>
          <w:sz w:val="24"/>
          <w:szCs w:val="24"/>
        </w:rPr>
        <w:t>Metas.</w:t>
      </w:r>
    </w:p>
    <w:p w14:paraId="003C596D" w14:textId="77777777" w:rsidR="000050E5" w:rsidRDefault="000050E5" w:rsidP="001319AC">
      <w:pPr>
        <w:pStyle w:val="Prrafodelista"/>
        <w:numPr>
          <w:ilvl w:val="0"/>
          <w:numId w:val="5"/>
        </w:numPr>
        <w:overflowPunct w:val="0"/>
        <w:autoSpaceDE w:val="0"/>
        <w:autoSpaceDN w:val="0"/>
        <w:adjustRightInd w:val="0"/>
        <w:spacing w:after="120"/>
        <w:ind w:left="714" w:right="335" w:hanging="357"/>
        <w:contextualSpacing w:val="0"/>
        <w:jc w:val="both"/>
        <w:textAlignment w:val="baseline"/>
        <w:rPr>
          <w:rFonts w:ascii="Century Gothic" w:eastAsiaTheme="majorEastAsia" w:hAnsi="Century Gothic" w:cstheme="majorBidi"/>
          <w:sz w:val="24"/>
          <w:szCs w:val="24"/>
        </w:rPr>
      </w:pPr>
      <w:r>
        <w:rPr>
          <w:rFonts w:ascii="Century Gothic" w:eastAsiaTheme="majorEastAsia" w:hAnsi="Century Gothic" w:cstheme="majorBidi"/>
          <w:sz w:val="24"/>
          <w:szCs w:val="24"/>
        </w:rPr>
        <w:t>Sentido del indicador.</w:t>
      </w:r>
    </w:p>
    <w:p w14:paraId="263F4820" w14:textId="77777777" w:rsidR="00F51BE5" w:rsidRPr="000050E5" w:rsidRDefault="000050E5" w:rsidP="001319AC">
      <w:pPr>
        <w:pStyle w:val="Prrafodelista"/>
        <w:numPr>
          <w:ilvl w:val="0"/>
          <w:numId w:val="5"/>
        </w:numPr>
        <w:overflowPunct w:val="0"/>
        <w:autoSpaceDE w:val="0"/>
        <w:autoSpaceDN w:val="0"/>
        <w:adjustRightInd w:val="0"/>
        <w:spacing w:after="240"/>
        <w:ind w:right="333"/>
        <w:jc w:val="both"/>
        <w:textAlignment w:val="baseline"/>
        <w:rPr>
          <w:rFonts w:ascii="Century Gothic" w:eastAsiaTheme="majorEastAsia" w:hAnsi="Century Gothic" w:cstheme="majorBidi"/>
          <w:sz w:val="24"/>
          <w:szCs w:val="24"/>
        </w:rPr>
      </w:pPr>
      <w:r w:rsidRPr="000050E5">
        <w:rPr>
          <w:rFonts w:ascii="Century Gothic" w:eastAsiaTheme="majorEastAsia" w:hAnsi="Century Gothic" w:cstheme="majorBidi"/>
          <w:sz w:val="24"/>
          <w:szCs w:val="24"/>
        </w:rPr>
        <w:t>Parámetros de semaforización.</w:t>
      </w:r>
      <w:r w:rsidR="001319AC">
        <w:rPr>
          <w:rFonts w:ascii="Century Gothic" w:eastAsiaTheme="majorEastAsia" w:hAnsi="Century Gothic" w:cstheme="majorBidi"/>
          <w:sz w:val="24"/>
          <w:szCs w:val="24"/>
        </w:rPr>
        <w:t xml:space="preserve"> (SHCP, CONEVAL, </w:t>
      </w:r>
      <w:r w:rsidR="001319AC" w:rsidRPr="000050E5">
        <w:rPr>
          <w:rFonts w:ascii="Century Gothic" w:eastAsiaTheme="majorEastAsia" w:hAnsi="Century Gothic" w:cstheme="majorBidi"/>
          <w:sz w:val="24"/>
          <w:szCs w:val="24"/>
        </w:rPr>
        <w:t>SFP</w:t>
      </w:r>
      <w:r w:rsidR="001319AC">
        <w:rPr>
          <w:rFonts w:ascii="Century Gothic" w:eastAsiaTheme="majorEastAsia" w:hAnsi="Century Gothic" w:cstheme="majorBidi"/>
          <w:sz w:val="24"/>
          <w:szCs w:val="24"/>
        </w:rPr>
        <w:t>).</w:t>
      </w:r>
    </w:p>
    <w:p w14:paraId="64BEAD76" w14:textId="77777777" w:rsidR="00F51BE5" w:rsidRDefault="00E97C14" w:rsidP="00126F3A">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Ante este requerimiento la dependencia suministró como evidencia un documento en excel “Ficha Técnica d</w:t>
      </w:r>
      <w:r w:rsidRPr="00E97C14">
        <w:rPr>
          <w:rFonts w:ascii="Century Gothic" w:hAnsi="Century Gothic"/>
          <w:sz w:val="24"/>
          <w:szCs w:val="24"/>
        </w:rPr>
        <w:t>e Indicadores ( FTI )</w:t>
      </w:r>
      <w:r>
        <w:rPr>
          <w:rFonts w:ascii="Century Gothic" w:hAnsi="Century Gothic"/>
          <w:sz w:val="24"/>
          <w:szCs w:val="24"/>
        </w:rPr>
        <w:t>”, donde se pudo constatar que este contiene cada uno de los requisitos establecidos.</w:t>
      </w:r>
    </w:p>
    <w:p w14:paraId="02118081" w14:textId="77777777" w:rsidR="00E97C14" w:rsidRDefault="00E97C14" w:rsidP="00126F3A">
      <w:pPr>
        <w:overflowPunct w:val="0"/>
        <w:autoSpaceDE w:val="0"/>
        <w:autoSpaceDN w:val="0"/>
        <w:adjustRightInd w:val="0"/>
        <w:spacing w:after="240"/>
        <w:jc w:val="both"/>
        <w:textAlignment w:val="baseline"/>
        <w:rPr>
          <w:rFonts w:ascii="Century Gothic" w:hAnsi="Century Gothic"/>
          <w:sz w:val="24"/>
          <w:szCs w:val="24"/>
        </w:rPr>
      </w:pPr>
      <w:r>
        <w:rPr>
          <w:rFonts w:ascii="Century Gothic" w:hAnsi="Century Gothic"/>
          <w:sz w:val="24"/>
          <w:szCs w:val="24"/>
        </w:rPr>
        <w:t xml:space="preserve">Sólo se observó que en los parámetros de semaforización no se presentó dato. Sin embargo, se debe tener presente que dado que la MIR requiere ser restructurada y de igual forma sus indicadores se </w:t>
      </w:r>
      <w:r w:rsidR="00040240">
        <w:rPr>
          <w:rFonts w:ascii="Century Gothic" w:hAnsi="Century Gothic"/>
          <w:sz w:val="24"/>
          <w:szCs w:val="24"/>
        </w:rPr>
        <w:t>deben</w:t>
      </w:r>
      <w:r>
        <w:rPr>
          <w:rFonts w:ascii="Century Gothic" w:hAnsi="Century Gothic"/>
          <w:sz w:val="24"/>
          <w:szCs w:val="24"/>
        </w:rPr>
        <w:t xml:space="preserve"> desarrollar la ficha técnica para los indicadores que se generen.</w:t>
      </w:r>
    </w:p>
    <w:p w14:paraId="747B9945" w14:textId="77777777" w:rsidR="00A8030F" w:rsidRDefault="00A8030F" w:rsidP="00126F3A">
      <w:pPr>
        <w:overflowPunct w:val="0"/>
        <w:autoSpaceDE w:val="0"/>
        <w:autoSpaceDN w:val="0"/>
        <w:adjustRightInd w:val="0"/>
        <w:spacing w:after="240"/>
        <w:jc w:val="both"/>
        <w:textAlignment w:val="baseline"/>
        <w:rPr>
          <w:rFonts w:ascii="Century Gothic" w:hAnsi="Century Gothic"/>
          <w:sz w:val="24"/>
          <w:szCs w:val="24"/>
        </w:rPr>
      </w:pPr>
    </w:p>
    <w:p w14:paraId="44B3E60D" w14:textId="77777777" w:rsidR="00187129" w:rsidRPr="004E66F4" w:rsidRDefault="00187129" w:rsidP="00187129">
      <w:pPr>
        <w:rPr>
          <w:rFonts w:ascii="Century Gothic" w:eastAsiaTheme="majorEastAsia" w:hAnsi="Century Gothic" w:cstheme="majorBidi"/>
          <w:b/>
          <w:bCs/>
          <w:color w:val="0E4E7A"/>
          <w:sz w:val="28"/>
          <w:szCs w:val="26"/>
        </w:rPr>
      </w:pPr>
      <w:r>
        <w:rPr>
          <w:rFonts w:ascii="Century Gothic" w:eastAsiaTheme="majorEastAsia" w:hAnsi="Century Gothic" w:cstheme="majorBidi"/>
          <w:b/>
          <w:bCs/>
          <w:color w:val="0E4E7A"/>
          <w:sz w:val="28"/>
          <w:szCs w:val="26"/>
        </w:rPr>
        <w:lastRenderedPageBreak/>
        <w:br w:type="page"/>
      </w:r>
    </w:p>
    <w:p w14:paraId="448D668D" w14:textId="77777777" w:rsidR="00122F31" w:rsidRDefault="00252B54" w:rsidP="004C2FA9">
      <w:pPr>
        <w:pStyle w:val="Ttulo2"/>
        <w:spacing w:before="0" w:after="240"/>
        <w:ind w:left="284"/>
        <w:jc w:val="both"/>
        <w:rPr>
          <w:rFonts w:ascii="Century Gothic" w:hAnsi="Century Gothic"/>
          <w:color w:val="0E4E7A"/>
          <w:sz w:val="28"/>
        </w:rPr>
      </w:pPr>
      <w:bookmarkStart w:id="26" w:name="_Toc511859776"/>
      <w:r>
        <w:rPr>
          <w:rFonts w:ascii="Century Gothic" w:hAnsi="Century Gothic"/>
          <w:color w:val="0E4E7A"/>
          <w:sz w:val="28"/>
        </w:rPr>
        <w:lastRenderedPageBreak/>
        <w:t>2.1</w:t>
      </w:r>
      <w:r w:rsidR="00122F31">
        <w:rPr>
          <w:rFonts w:ascii="Century Gothic" w:hAnsi="Century Gothic"/>
          <w:color w:val="0E4E7A"/>
          <w:sz w:val="28"/>
        </w:rPr>
        <w:t>.</w:t>
      </w:r>
      <w:r w:rsidR="008D34E8">
        <w:rPr>
          <w:rFonts w:ascii="Century Gothic" w:hAnsi="Century Gothic"/>
          <w:color w:val="0E4E7A"/>
          <w:sz w:val="28"/>
        </w:rPr>
        <w:t>5</w:t>
      </w:r>
      <w:r w:rsidR="00122F31" w:rsidRPr="00745740">
        <w:rPr>
          <w:rFonts w:ascii="Century Gothic" w:hAnsi="Century Gothic"/>
          <w:color w:val="0E4E7A"/>
          <w:sz w:val="28"/>
        </w:rPr>
        <w:t xml:space="preserve"> </w:t>
      </w:r>
      <w:r w:rsidR="00122F31" w:rsidRPr="00122F31">
        <w:rPr>
          <w:rFonts w:ascii="Century Gothic" w:hAnsi="Century Gothic"/>
          <w:color w:val="0E4E7A"/>
          <w:sz w:val="28"/>
        </w:rPr>
        <w:t>Análisis de posibles complementariedades y coincidencias con otros programas federales</w:t>
      </w:r>
      <w:r w:rsidR="00122F31" w:rsidRPr="00745740">
        <w:rPr>
          <w:rFonts w:ascii="Century Gothic" w:hAnsi="Century Gothic"/>
          <w:color w:val="0E4E7A"/>
          <w:sz w:val="28"/>
        </w:rPr>
        <w:t>.</w:t>
      </w:r>
      <w:bookmarkEnd w:id="24"/>
      <w:bookmarkEnd w:id="26"/>
    </w:p>
    <w:p w14:paraId="7FA4034A" w14:textId="77777777" w:rsidR="0071175D" w:rsidRDefault="00F61C8A" w:rsidP="004C2FA9">
      <w:pPr>
        <w:spacing w:after="240"/>
        <w:jc w:val="both"/>
        <w:rPr>
          <w:rFonts w:ascii="Century Gothic" w:hAnsi="Century Gothic"/>
          <w:sz w:val="24"/>
          <w:szCs w:val="24"/>
        </w:rPr>
      </w:pPr>
      <w:r>
        <w:rPr>
          <w:rFonts w:ascii="Century Gothic" w:hAnsi="Century Gothic"/>
          <w:sz w:val="24"/>
          <w:szCs w:val="24"/>
        </w:rPr>
        <w:t xml:space="preserve">El objetivo de este apartado es identificar otros programas que podrían </w:t>
      </w:r>
      <w:r w:rsidR="0071175D">
        <w:rPr>
          <w:rFonts w:ascii="Century Gothic" w:hAnsi="Century Gothic"/>
          <w:sz w:val="24"/>
          <w:szCs w:val="24"/>
        </w:rPr>
        <w:t>funcionar en dos sentidos con el programa evaluado:</w:t>
      </w:r>
    </w:p>
    <w:p w14:paraId="521F2671" w14:textId="77777777" w:rsidR="0071175D" w:rsidRPr="00C42B26" w:rsidRDefault="0071175D" w:rsidP="004C2FA9">
      <w:pPr>
        <w:pStyle w:val="Prrafodelista"/>
        <w:numPr>
          <w:ilvl w:val="0"/>
          <w:numId w:val="15"/>
        </w:numPr>
        <w:spacing w:after="240"/>
        <w:ind w:left="714" w:hanging="357"/>
        <w:contextualSpacing w:val="0"/>
        <w:jc w:val="both"/>
        <w:rPr>
          <w:rFonts w:ascii="Century Gothic" w:hAnsi="Century Gothic"/>
          <w:color w:val="A6A6A6" w:themeColor="background1" w:themeShade="A6"/>
          <w:sz w:val="24"/>
          <w:szCs w:val="24"/>
        </w:rPr>
      </w:pPr>
      <w:r>
        <w:rPr>
          <w:rFonts w:ascii="Century Gothic" w:hAnsi="Century Gothic"/>
          <w:sz w:val="24"/>
          <w:szCs w:val="24"/>
        </w:rPr>
        <w:t>C</w:t>
      </w:r>
      <w:r w:rsidR="00F61C8A" w:rsidRPr="0071175D">
        <w:rPr>
          <w:rFonts w:ascii="Century Gothic" w:hAnsi="Century Gothic"/>
          <w:sz w:val="24"/>
          <w:szCs w:val="24"/>
        </w:rPr>
        <w:t>omplementar</w:t>
      </w:r>
      <w:r>
        <w:rPr>
          <w:rFonts w:ascii="Century Gothic" w:hAnsi="Century Gothic"/>
          <w:sz w:val="24"/>
          <w:szCs w:val="24"/>
        </w:rPr>
        <w:t xml:space="preserve">iedad: el programa puede realizar una función que permita el uso de recursos provenientes de otros programas o fondos con los que se puede potenciar el impacto social. </w:t>
      </w:r>
    </w:p>
    <w:p w14:paraId="1012A0EF" w14:textId="77777777" w:rsidR="00F61C8A" w:rsidRPr="004C2FA9" w:rsidRDefault="00F61C8A" w:rsidP="004C2FA9">
      <w:pPr>
        <w:pStyle w:val="Prrafodelista"/>
        <w:numPr>
          <w:ilvl w:val="0"/>
          <w:numId w:val="15"/>
        </w:numPr>
        <w:spacing w:after="240"/>
        <w:contextualSpacing w:val="0"/>
        <w:jc w:val="both"/>
        <w:rPr>
          <w:rFonts w:ascii="Century Gothic" w:hAnsi="Century Gothic"/>
          <w:sz w:val="24"/>
          <w:szCs w:val="24"/>
        </w:rPr>
      </w:pPr>
      <w:r w:rsidRPr="0071175D">
        <w:rPr>
          <w:rFonts w:ascii="Century Gothic" w:hAnsi="Century Gothic"/>
          <w:sz w:val="24"/>
          <w:szCs w:val="24"/>
        </w:rPr>
        <w:t xml:space="preserve"> </w:t>
      </w:r>
      <w:r w:rsidR="0071175D">
        <w:rPr>
          <w:rFonts w:ascii="Century Gothic" w:hAnsi="Century Gothic"/>
          <w:sz w:val="24"/>
          <w:szCs w:val="24"/>
        </w:rPr>
        <w:t xml:space="preserve">Coincidencias: los operadores de un programa tendrían que realizar, de acuerdo a las normas establecidas, una planeación que  contemple una revisión de los programas que aporten apoyos similares para, de ese modo, evitar al máximo posibles sesgos de </w:t>
      </w:r>
      <w:r w:rsidR="0071175D" w:rsidRPr="004C2FA9">
        <w:rPr>
          <w:rFonts w:ascii="Century Gothic" w:hAnsi="Century Gothic"/>
          <w:sz w:val="24"/>
          <w:szCs w:val="24"/>
        </w:rPr>
        <w:t>inclusión o exclusión</w:t>
      </w:r>
      <w:r w:rsidRPr="004C2FA9">
        <w:rPr>
          <w:rFonts w:ascii="Century Gothic" w:hAnsi="Century Gothic"/>
          <w:sz w:val="24"/>
          <w:szCs w:val="24"/>
        </w:rPr>
        <w:t>.</w:t>
      </w:r>
    </w:p>
    <w:p w14:paraId="35B4A92C" w14:textId="77777777" w:rsidR="004E66F4" w:rsidRPr="004C2FA9" w:rsidRDefault="00654D80" w:rsidP="004C2FA9">
      <w:pPr>
        <w:spacing w:after="240"/>
        <w:jc w:val="both"/>
        <w:rPr>
          <w:rFonts w:ascii="Century Gothic" w:hAnsi="Century Gothic"/>
          <w:b/>
          <w:sz w:val="24"/>
          <w:szCs w:val="24"/>
        </w:rPr>
      </w:pPr>
      <w:bookmarkStart w:id="27" w:name="_Toc436337331"/>
      <w:bookmarkStart w:id="28" w:name="_Toc505364430"/>
      <w:r>
        <w:rPr>
          <w:rFonts w:ascii="Century Gothic" w:hAnsi="Century Gothic"/>
          <w:sz w:val="24"/>
          <w:szCs w:val="24"/>
        </w:rPr>
        <w:t xml:space="preserve">En la </w:t>
      </w:r>
      <w:r w:rsidRPr="00FB57C6">
        <w:rPr>
          <w:rFonts w:ascii="Century Gothic" w:hAnsi="Century Gothic"/>
          <w:i/>
          <w:sz w:val="24"/>
          <w:szCs w:val="24"/>
        </w:rPr>
        <w:t>cédula</w:t>
      </w:r>
      <w:r>
        <w:rPr>
          <w:rFonts w:ascii="Century Gothic" w:hAnsi="Century Gothic"/>
          <w:sz w:val="24"/>
          <w:szCs w:val="24"/>
        </w:rPr>
        <w:t xml:space="preserve">, </w:t>
      </w:r>
      <w:r w:rsidRPr="002C57B7">
        <w:rPr>
          <w:rFonts w:ascii="Century Gothic" w:hAnsi="Century Gothic"/>
          <w:b/>
          <w:sz w:val="24"/>
          <w:szCs w:val="24"/>
        </w:rPr>
        <w:t>la SEIDUR no identificó otro tipo de programas con los cuales el programa de Infraestructura no Habitacional pueda tener complementariedad o coincidencias</w:t>
      </w:r>
      <w:r>
        <w:rPr>
          <w:rFonts w:ascii="Century Gothic" w:hAnsi="Century Gothic"/>
          <w:sz w:val="24"/>
          <w:szCs w:val="24"/>
        </w:rPr>
        <w:t>. Sin embargo, al investigar se encontró que hay instituciones que ejecutan programas destinados al mejoramiento de la infraestructura.</w:t>
      </w:r>
    </w:p>
    <w:p w14:paraId="6ECAC73C" w14:textId="77777777" w:rsidR="00DD1893" w:rsidRDefault="00654D80" w:rsidP="004C2FA9">
      <w:pPr>
        <w:spacing w:after="240"/>
        <w:jc w:val="both"/>
        <w:rPr>
          <w:rFonts w:ascii="Century Gothic" w:hAnsi="Century Gothic"/>
          <w:sz w:val="24"/>
          <w:szCs w:val="24"/>
        </w:rPr>
      </w:pPr>
      <w:r w:rsidRPr="00654D80">
        <w:rPr>
          <w:rFonts w:ascii="Century Gothic" w:hAnsi="Century Gothic"/>
          <w:sz w:val="24"/>
          <w:szCs w:val="24"/>
        </w:rPr>
        <w:t xml:space="preserve">En el caso de la infraestructura deportiva </w:t>
      </w:r>
      <w:r>
        <w:rPr>
          <w:rFonts w:ascii="Century Gothic" w:hAnsi="Century Gothic"/>
          <w:sz w:val="24"/>
          <w:szCs w:val="24"/>
        </w:rPr>
        <w:t xml:space="preserve">a nivel federal se cuenta con la </w:t>
      </w:r>
      <w:r w:rsidRPr="00DD1893">
        <w:rPr>
          <w:rFonts w:ascii="Century Gothic" w:hAnsi="Century Gothic"/>
          <w:b/>
          <w:sz w:val="24"/>
          <w:szCs w:val="24"/>
        </w:rPr>
        <w:t>CONADE</w:t>
      </w:r>
      <w:r>
        <w:rPr>
          <w:rFonts w:ascii="Century Gothic" w:hAnsi="Century Gothic"/>
          <w:sz w:val="24"/>
          <w:szCs w:val="24"/>
        </w:rPr>
        <w:t>, quien c</w:t>
      </w:r>
      <w:r w:rsidRPr="00654D80">
        <w:rPr>
          <w:rFonts w:ascii="Century Gothic" w:hAnsi="Century Gothic"/>
          <w:sz w:val="24"/>
          <w:szCs w:val="24"/>
        </w:rPr>
        <w:t>onjuntamente con lo</w:t>
      </w:r>
      <w:r>
        <w:rPr>
          <w:rFonts w:ascii="Century Gothic" w:hAnsi="Century Gothic"/>
          <w:sz w:val="24"/>
          <w:szCs w:val="24"/>
        </w:rPr>
        <w:t>s gobiernos de los Estados apoya</w:t>
      </w:r>
      <w:r w:rsidRPr="00654D80">
        <w:rPr>
          <w:rFonts w:ascii="Century Gothic" w:hAnsi="Century Gothic"/>
          <w:sz w:val="24"/>
          <w:szCs w:val="24"/>
        </w:rPr>
        <w:t xml:space="preserve"> el desarrollo de proyectos de infraestructura deportiva con base en un fondo especial y bajo un esquema de inversión mixta</w:t>
      </w:r>
      <w:r>
        <w:rPr>
          <w:rFonts w:ascii="Century Gothic" w:hAnsi="Century Gothic"/>
          <w:sz w:val="24"/>
          <w:szCs w:val="24"/>
        </w:rPr>
        <w:t>.</w:t>
      </w:r>
      <w:r w:rsidR="00DD1893">
        <w:rPr>
          <w:rFonts w:ascii="Century Gothic" w:hAnsi="Century Gothic"/>
          <w:sz w:val="24"/>
          <w:szCs w:val="24"/>
        </w:rPr>
        <w:t xml:space="preserve"> Para esto cuen</w:t>
      </w:r>
      <w:r>
        <w:rPr>
          <w:rFonts w:ascii="Century Gothic" w:hAnsi="Century Gothic"/>
          <w:sz w:val="24"/>
          <w:szCs w:val="24"/>
        </w:rPr>
        <w:t xml:space="preserve">ta con el </w:t>
      </w:r>
      <w:r w:rsidR="00DD1893" w:rsidRPr="00DD1893">
        <w:rPr>
          <w:rFonts w:ascii="Century Gothic" w:hAnsi="Century Gothic"/>
          <w:sz w:val="24"/>
          <w:szCs w:val="24"/>
        </w:rPr>
        <w:t>Programa de cultura física y deporte</w:t>
      </w:r>
      <w:r w:rsidR="00DD1893">
        <w:rPr>
          <w:rFonts w:ascii="Century Gothic" w:hAnsi="Century Gothic"/>
          <w:sz w:val="24"/>
          <w:szCs w:val="24"/>
        </w:rPr>
        <w:t>, el cual coincide y se complementa con lo que ofrece el estado de Colima.</w:t>
      </w:r>
    </w:p>
    <w:p w14:paraId="744A4939" w14:textId="77777777" w:rsidR="00DD1893" w:rsidRDefault="00DD1893" w:rsidP="00DD1893">
      <w:pPr>
        <w:pStyle w:val="Prrafodelista"/>
        <w:numPr>
          <w:ilvl w:val="0"/>
          <w:numId w:val="22"/>
        </w:numPr>
        <w:spacing w:after="240"/>
        <w:ind w:left="714" w:hanging="357"/>
        <w:contextualSpacing w:val="0"/>
        <w:jc w:val="both"/>
        <w:rPr>
          <w:rFonts w:ascii="Century Gothic" w:hAnsi="Century Gothic"/>
          <w:sz w:val="24"/>
          <w:szCs w:val="24"/>
        </w:rPr>
      </w:pPr>
      <w:r w:rsidRPr="00B53F8B">
        <w:rPr>
          <w:rFonts w:ascii="Century Gothic" w:hAnsi="Century Gothic"/>
          <w:b/>
          <w:sz w:val="24"/>
          <w:szCs w:val="24"/>
        </w:rPr>
        <w:t>Programa de cultura física y deporte</w:t>
      </w:r>
      <w:r>
        <w:rPr>
          <w:rFonts w:ascii="Century Gothic" w:hAnsi="Century Gothic"/>
          <w:sz w:val="24"/>
          <w:szCs w:val="24"/>
        </w:rPr>
        <w:t>: Uno de sus objetivos específicos es:</w:t>
      </w:r>
    </w:p>
    <w:p w14:paraId="60E7F66F" w14:textId="77777777" w:rsidR="00654D80" w:rsidRPr="00DD1893" w:rsidRDefault="00DD1893" w:rsidP="00DD1893">
      <w:pPr>
        <w:pStyle w:val="Prrafodelista"/>
        <w:spacing w:after="240"/>
        <w:jc w:val="both"/>
        <w:rPr>
          <w:rFonts w:ascii="Century Gothic" w:hAnsi="Century Gothic"/>
          <w:sz w:val="24"/>
          <w:szCs w:val="24"/>
        </w:rPr>
      </w:pPr>
      <w:r w:rsidRPr="00DD1893">
        <w:rPr>
          <w:rFonts w:ascii="Century Gothic" w:hAnsi="Century Gothic"/>
          <w:sz w:val="24"/>
          <w:szCs w:val="24"/>
        </w:rPr>
        <w:t xml:space="preserve">Impulsar la infraestructura deportiva del país, a través de apoyos para la </w:t>
      </w:r>
      <w:r w:rsidRPr="00B53F8B">
        <w:rPr>
          <w:rFonts w:ascii="Century Gothic" w:hAnsi="Century Gothic"/>
          <w:b/>
          <w:sz w:val="24"/>
          <w:szCs w:val="24"/>
        </w:rPr>
        <w:t>construcción, modernización, ampliación, rehabilitación y mejoramiento</w:t>
      </w:r>
      <w:r w:rsidRPr="00DD1893">
        <w:rPr>
          <w:rFonts w:ascii="Century Gothic" w:hAnsi="Century Gothic"/>
          <w:sz w:val="24"/>
          <w:szCs w:val="24"/>
        </w:rPr>
        <w:t>, así como el equipamiento de las instalaciones deportivas</w:t>
      </w:r>
      <w:r>
        <w:rPr>
          <w:rFonts w:ascii="Century Gothic" w:hAnsi="Century Gothic"/>
          <w:sz w:val="24"/>
          <w:szCs w:val="24"/>
        </w:rPr>
        <w:t xml:space="preserve"> </w:t>
      </w:r>
      <w:r w:rsidRPr="00DD1893">
        <w:rPr>
          <w:rFonts w:ascii="Century Gothic" w:hAnsi="Century Gothic"/>
          <w:sz w:val="24"/>
          <w:szCs w:val="24"/>
        </w:rPr>
        <w:t>orientadas a la práctica del Deporte y la Cultura Física</w:t>
      </w:r>
      <w:r>
        <w:rPr>
          <w:rFonts w:ascii="Century Gothic" w:hAnsi="Century Gothic"/>
          <w:sz w:val="24"/>
          <w:szCs w:val="24"/>
        </w:rPr>
        <w:t>. (DOF, 2017).</w:t>
      </w:r>
    </w:p>
    <w:p w14:paraId="3DE5DB5D" w14:textId="77777777" w:rsidR="004C2FA9" w:rsidRDefault="00DD1893" w:rsidP="004C2FA9">
      <w:pPr>
        <w:spacing w:after="240"/>
        <w:jc w:val="both"/>
        <w:rPr>
          <w:rFonts w:ascii="Century Gothic" w:hAnsi="Century Gothic"/>
          <w:sz w:val="24"/>
          <w:szCs w:val="24"/>
        </w:rPr>
      </w:pPr>
      <w:r>
        <w:rPr>
          <w:rFonts w:ascii="Century Gothic" w:hAnsi="Century Gothic"/>
          <w:sz w:val="24"/>
          <w:szCs w:val="24"/>
        </w:rPr>
        <w:t xml:space="preserve">Así mismo, este programa también ofrece apoyos para fomentar la actividad física, lo cual es complementario con los apoyos de la </w:t>
      </w:r>
      <w:r>
        <w:rPr>
          <w:rFonts w:ascii="Century Gothic" w:hAnsi="Century Gothic"/>
          <w:sz w:val="24"/>
          <w:szCs w:val="24"/>
        </w:rPr>
        <w:lastRenderedPageBreak/>
        <w:t>infraestructura, pues se promueve su uso potenciando el impacto, pues otro de sus objetivos específicos establece:</w:t>
      </w:r>
    </w:p>
    <w:p w14:paraId="361D4CDD" w14:textId="77777777" w:rsidR="00DD1893" w:rsidRDefault="00DD1893" w:rsidP="00DD1893">
      <w:pPr>
        <w:spacing w:after="240"/>
        <w:ind w:left="284" w:right="333"/>
        <w:jc w:val="both"/>
        <w:rPr>
          <w:rFonts w:ascii="Century Gothic" w:hAnsi="Century Gothic"/>
          <w:sz w:val="24"/>
          <w:szCs w:val="24"/>
        </w:rPr>
      </w:pPr>
      <w:r w:rsidRPr="00DD1893">
        <w:rPr>
          <w:rFonts w:ascii="Century Gothic" w:hAnsi="Century Gothic"/>
          <w:sz w:val="24"/>
          <w:szCs w:val="24"/>
        </w:rPr>
        <w:t xml:space="preserve">Promover la cultura física otorgando apoyos económicos a los Órganos de Cultura Física y Deporte y Organismos Afines, que impulsen la </w:t>
      </w:r>
      <w:r w:rsidRPr="00DD1893">
        <w:rPr>
          <w:rFonts w:ascii="Century Gothic" w:hAnsi="Century Gothic"/>
          <w:b/>
          <w:sz w:val="24"/>
          <w:szCs w:val="24"/>
        </w:rPr>
        <w:t>masificación de actividades físicas, recreativas, deportivas y el deporte social,</w:t>
      </w:r>
      <w:r w:rsidRPr="00DD1893">
        <w:rPr>
          <w:rFonts w:ascii="Century Gothic" w:hAnsi="Century Gothic"/>
          <w:sz w:val="24"/>
          <w:szCs w:val="24"/>
        </w:rPr>
        <w:t xml:space="preserve"> de manera habitual, organizada y sistemática.</w:t>
      </w:r>
      <w:r>
        <w:rPr>
          <w:rFonts w:ascii="Century Gothic" w:hAnsi="Century Gothic"/>
          <w:sz w:val="24"/>
          <w:szCs w:val="24"/>
        </w:rPr>
        <w:t xml:space="preserve"> (DOF, 2017).</w:t>
      </w:r>
    </w:p>
    <w:p w14:paraId="1D1A781A" w14:textId="77777777" w:rsidR="00B53F8B" w:rsidRDefault="00B53F8B" w:rsidP="004C2FA9">
      <w:pPr>
        <w:spacing w:after="240"/>
        <w:jc w:val="both"/>
        <w:rPr>
          <w:rFonts w:ascii="Century Gothic" w:hAnsi="Century Gothic"/>
          <w:sz w:val="24"/>
          <w:szCs w:val="24"/>
        </w:rPr>
      </w:pPr>
      <w:r>
        <w:rPr>
          <w:rFonts w:ascii="Century Gothic" w:hAnsi="Century Gothic"/>
          <w:sz w:val="24"/>
          <w:szCs w:val="24"/>
        </w:rPr>
        <w:t>En lo que respecta a infraestructura cultural, a nivel federal se cuenta con el programa:</w:t>
      </w:r>
    </w:p>
    <w:p w14:paraId="1B7E51AB" w14:textId="77777777" w:rsidR="00DD1893" w:rsidRPr="00B53F8B" w:rsidRDefault="00B53F8B" w:rsidP="00B53F8B">
      <w:pPr>
        <w:pStyle w:val="Prrafodelista"/>
        <w:numPr>
          <w:ilvl w:val="0"/>
          <w:numId w:val="22"/>
        </w:numPr>
        <w:spacing w:after="240"/>
        <w:jc w:val="both"/>
        <w:rPr>
          <w:rFonts w:ascii="Century Gothic" w:hAnsi="Century Gothic"/>
          <w:sz w:val="24"/>
          <w:szCs w:val="24"/>
        </w:rPr>
      </w:pPr>
      <w:r w:rsidRPr="00B53F8B">
        <w:rPr>
          <w:rFonts w:ascii="Century Gothic" w:hAnsi="Century Gothic"/>
          <w:b/>
          <w:sz w:val="24"/>
          <w:szCs w:val="24"/>
        </w:rPr>
        <w:t>Apoyo a la Infraestructura Cultural de los Estados – PAICE</w:t>
      </w:r>
      <w:r w:rsidRPr="00B53F8B">
        <w:rPr>
          <w:rFonts w:ascii="Century Gothic" w:hAnsi="Century Gothic"/>
          <w:sz w:val="24"/>
          <w:szCs w:val="24"/>
        </w:rPr>
        <w:t>:</w:t>
      </w:r>
    </w:p>
    <w:p w14:paraId="580FC6E4" w14:textId="77777777" w:rsidR="00B53F8B" w:rsidRDefault="00B53F8B" w:rsidP="00B53F8B">
      <w:pPr>
        <w:spacing w:after="240"/>
        <w:ind w:left="284" w:right="333"/>
        <w:jc w:val="both"/>
        <w:rPr>
          <w:rFonts w:ascii="Century Gothic" w:hAnsi="Century Gothic"/>
          <w:sz w:val="24"/>
          <w:szCs w:val="24"/>
        </w:rPr>
      </w:pPr>
      <w:r w:rsidRPr="00B53F8B">
        <w:rPr>
          <w:rFonts w:ascii="Century Gothic" w:hAnsi="Century Gothic"/>
          <w:sz w:val="24"/>
          <w:szCs w:val="24"/>
        </w:rPr>
        <w:t>Destina recursos económicos para construir, rehabilitar, remodelar y equipar, espacios destinados al quehacer artístico y cultural como: casas de cultura, centros de formación artística, bibliotecas, museos, archivos y teatros, entre otros, a nivel nacional</w:t>
      </w:r>
      <w:r>
        <w:rPr>
          <w:rFonts w:ascii="Century Gothic" w:hAnsi="Century Gothic"/>
          <w:sz w:val="24"/>
          <w:szCs w:val="24"/>
        </w:rPr>
        <w:t>.</w:t>
      </w:r>
    </w:p>
    <w:p w14:paraId="704DF463" w14:textId="77777777" w:rsidR="0008725F" w:rsidRDefault="0008725F" w:rsidP="0008725F">
      <w:pPr>
        <w:spacing w:after="240"/>
        <w:ind w:left="284" w:right="335"/>
        <w:jc w:val="both"/>
        <w:rPr>
          <w:rFonts w:ascii="Century Gothic" w:hAnsi="Century Gothic"/>
          <w:sz w:val="24"/>
          <w:szCs w:val="24"/>
        </w:rPr>
      </w:pPr>
      <w:r w:rsidRPr="0008725F">
        <w:rPr>
          <w:rFonts w:ascii="Century Gothic" w:hAnsi="Century Gothic"/>
          <w:sz w:val="24"/>
          <w:szCs w:val="24"/>
        </w:rPr>
        <w:t xml:space="preserve">El Apoyo a la Infraestructura Cultural de los Estados genera las condiciones para </w:t>
      </w:r>
      <w:r w:rsidRPr="0008725F">
        <w:rPr>
          <w:rFonts w:ascii="Century Gothic" w:hAnsi="Century Gothic"/>
          <w:b/>
          <w:sz w:val="24"/>
          <w:szCs w:val="24"/>
        </w:rPr>
        <w:t>fomentar una mayor inversión de los tres órdenes de gobierno, bajo esquemas de cofinanciamiento y corresponsabilidad</w:t>
      </w:r>
      <w:r w:rsidRPr="0008725F">
        <w:rPr>
          <w:rFonts w:ascii="Century Gothic" w:hAnsi="Century Gothic"/>
          <w:sz w:val="24"/>
          <w:szCs w:val="24"/>
        </w:rPr>
        <w:t xml:space="preserve"> para la construcción, rehabilitación, remodelación y equipamiento de espacios destinados al desarrollo de actividades artísticas y culturales.</w:t>
      </w:r>
    </w:p>
    <w:p w14:paraId="79A578D1" w14:textId="77777777" w:rsidR="00DD1893" w:rsidRPr="00654D80" w:rsidRDefault="00B53F8B" w:rsidP="004C2FA9">
      <w:pPr>
        <w:spacing w:after="240"/>
        <w:jc w:val="both"/>
        <w:rPr>
          <w:rFonts w:ascii="Century Gothic" w:hAnsi="Century Gothic"/>
          <w:sz w:val="24"/>
          <w:szCs w:val="24"/>
        </w:rPr>
      </w:pPr>
      <w:r w:rsidRPr="00B53F8B">
        <w:rPr>
          <w:rFonts w:ascii="Century Gothic" w:hAnsi="Century Gothic"/>
          <w:sz w:val="24"/>
          <w:szCs w:val="24"/>
        </w:rPr>
        <w:t xml:space="preserve">El PAICE atiende a las </w:t>
      </w:r>
      <w:r w:rsidRPr="00B53F8B">
        <w:rPr>
          <w:rFonts w:ascii="Century Gothic" w:hAnsi="Century Gothic"/>
          <w:b/>
          <w:sz w:val="24"/>
          <w:szCs w:val="24"/>
        </w:rPr>
        <w:t>entidades federativas</w:t>
      </w:r>
      <w:r w:rsidRPr="00B53F8B">
        <w:rPr>
          <w:rFonts w:ascii="Century Gothic" w:hAnsi="Century Gothic"/>
          <w:sz w:val="24"/>
          <w:szCs w:val="24"/>
        </w:rPr>
        <w:t>, sus municipios y delegaciones políticas, universidades públicas estatales, así como a todas aquellas organizaciones de la sociedad civil que tengan como parte de sus funciones sustantivas la promoción y desarrollo de las artes y la cultura.</w:t>
      </w:r>
    </w:p>
    <w:p w14:paraId="5C18D7B2" w14:textId="77777777" w:rsidR="004C2FA9" w:rsidRDefault="00B53F8B" w:rsidP="004C2FA9">
      <w:pPr>
        <w:spacing w:after="240"/>
        <w:jc w:val="both"/>
        <w:rPr>
          <w:rFonts w:ascii="Century Gothic" w:hAnsi="Century Gothic"/>
          <w:b/>
          <w:sz w:val="24"/>
          <w:szCs w:val="24"/>
        </w:rPr>
      </w:pPr>
      <w:r>
        <w:rPr>
          <w:rFonts w:ascii="Century Gothic" w:hAnsi="Century Gothic"/>
          <w:b/>
          <w:sz w:val="24"/>
          <w:szCs w:val="24"/>
        </w:rPr>
        <w:t>Los tipos de apoyo que otorga son:</w:t>
      </w:r>
    </w:p>
    <w:p w14:paraId="4017A58D" w14:textId="77777777" w:rsidR="00B53F8B" w:rsidRPr="00B53F8B" w:rsidRDefault="00B53F8B" w:rsidP="00B53F8B">
      <w:pPr>
        <w:numPr>
          <w:ilvl w:val="0"/>
          <w:numId w:val="24"/>
        </w:numPr>
        <w:shd w:val="clear" w:color="auto" w:fill="FFFFFF"/>
        <w:spacing w:after="120"/>
        <w:ind w:left="714" w:hanging="357"/>
        <w:jc w:val="both"/>
        <w:rPr>
          <w:rFonts w:ascii="Century Gothic" w:hAnsi="Century Gothic"/>
          <w:sz w:val="24"/>
          <w:szCs w:val="24"/>
        </w:rPr>
      </w:pPr>
      <w:r w:rsidRPr="00B53F8B">
        <w:rPr>
          <w:rFonts w:ascii="Century Gothic" w:hAnsi="Century Gothic"/>
          <w:sz w:val="24"/>
          <w:szCs w:val="24"/>
        </w:rPr>
        <w:t>Construcción:</w:t>
      </w:r>
      <w:r>
        <w:rPr>
          <w:rFonts w:ascii="Century Gothic" w:hAnsi="Century Gothic"/>
          <w:sz w:val="24"/>
          <w:szCs w:val="24"/>
        </w:rPr>
        <w:t xml:space="preserve"> </w:t>
      </w:r>
      <w:r w:rsidRPr="00B53F8B">
        <w:rPr>
          <w:rFonts w:ascii="Century Gothic" w:hAnsi="Century Gothic"/>
          <w:sz w:val="24"/>
          <w:szCs w:val="24"/>
        </w:rPr>
        <w:t>Edificación de inmuebles dedicados al quehacer cultural.</w:t>
      </w:r>
    </w:p>
    <w:p w14:paraId="6636DC8D" w14:textId="77777777" w:rsidR="00B53F8B" w:rsidRPr="00B53F8B" w:rsidRDefault="00B53F8B" w:rsidP="00B53F8B">
      <w:pPr>
        <w:numPr>
          <w:ilvl w:val="0"/>
          <w:numId w:val="24"/>
        </w:numPr>
        <w:shd w:val="clear" w:color="auto" w:fill="FFFFFF"/>
        <w:spacing w:after="120"/>
        <w:ind w:left="714" w:hanging="357"/>
        <w:jc w:val="both"/>
        <w:rPr>
          <w:rFonts w:ascii="Century Gothic" w:hAnsi="Century Gothic"/>
          <w:sz w:val="24"/>
          <w:szCs w:val="24"/>
        </w:rPr>
      </w:pPr>
      <w:r w:rsidRPr="00B53F8B">
        <w:rPr>
          <w:rFonts w:ascii="Century Gothic" w:hAnsi="Century Gothic"/>
          <w:sz w:val="24"/>
          <w:szCs w:val="24"/>
        </w:rPr>
        <w:t>Rehabilitación:</w:t>
      </w:r>
      <w:r>
        <w:rPr>
          <w:rFonts w:ascii="Century Gothic" w:hAnsi="Century Gothic"/>
          <w:sz w:val="24"/>
          <w:szCs w:val="24"/>
        </w:rPr>
        <w:t xml:space="preserve"> </w:t>
      </w:r>
      <w:r w:rsidRPr="00B53F8B">
        <w:rPr>
          <w:rFonts w:ascii="Century Gothic" w:hAnsi="Century Gothic"/>
          <w:sz w:val="24"/>
          <w:szCs w:val="24"/>
        </w:rPr>
        <w:t>Recuperación de un inmueble para el desarrollo de actividades artísticas y culturales.</w:t>
      </w:r>
    </w:p>
    <w:p w14:paraId="61B7EE41" w14:textId="77777777" w:rsidR="00B53F8B" w:rsidRPr="00B53F8B" w:rsidRDefault="00B53F8B" w:rsidP="00B53F8B">
      <w:pPr>
        <w:numPr>
          <w:ilvl w:val="0"/>
          <w:numId w:val="24"/>
        </w:numPr>
        <w:shd w:val="clear" w:color="auto" w:fill="FFFFFF"/>
        <w:spacing w:after="120"/>
        <w:ind w:left="714" w:hanging="357"/>
        <w:jc w:val="both"/>
        <w:rPr>
          <w:rFonts w:ascii="Century Gothic" w:hAnsi="Century Gothic"/>
          <w:sz w:val="24"/>
          <w:szCs w:val="24"/>
        </w:rPr>
      </w:pPr>
      <w:r w:rsidRPr="00B53F8B">
        <w:rPr>
          <w:rFonts w:ascii="Century Gothic" w:hAnsi="Century Gothic"/>
          <w:sz w:val="24"/>
          <w:szCs w:val="24"/>
        </w:rPr>
        <w:t>Remodelación:</w:t>
      </w:r>
      <w:r>
        <w:rPr>
          <w:rFonts w:ascii="Century Gothic" w:hAnsi="Century Gothic"/>
          <w:sz w:val="24"/>
          <w:szCs w:val="24"/>
        </w:rPr>
        <w:t xml:space="preserve"> </w:t>
      </w:r>
      <w:r w:rsidRPr="00B53F8B">
        <w:rPr>
          <w:rFonts w:ascii="Century Gothic" w:hAnsi="Century Gothic"/>
          <w:sz w:val="24"/>
          <w:szCs w:val="24"/>
        </w:rPr>
        <w:t>Modificación del espacio para adecuarlo a nuevas o más actividades artísticas y culturales.</w:t>
      </w:r>
    </w:p>
    <w:p w14:paraId="683C1611" w14:textId="77777777" w:rsidR="00B53F8B" w:rsidRPr="00B53F8B" w:rsidRDefault="00B53F8B" w:rsidP="00B53F8B">
      <w:pPr>
        <w:numPr>
          <w:ilvl w:val="0"/>
          <w:numId w:val="24"/>
        </w:numPr>
        <w:shd w:val="clear" w:color="auto" w:fill="FFFFFF"/>
        <w:spacing w:after="240"/>
        <w:ind w:left="714" w:hanging="357"/>
        <w:jc w:val="both"/>
        <w:rPr>
          <w:rFonts w:ascii="Century Gothic" w:hAnsi="Century Gothic"/>
          <w:sz w:val="24"/>
          <w:szCs w:val="24"/>
        </w:rPr>
      </w:pPr>
      <w:r w:rsidRPr="00B53F8B">
        <w:rPr>
          <w:rFonts w:ascii="Century Gothic" w:hAnsi="Century Gothic"/>
          <w:sz w:val="24"/>
          <w:szCs w:val="24"/>
        </w:rPr>
        <w:lastRenderedPageBreak/>
        <w:t>Equipamiento:</w:t>
      </w:r>
      <w:r>
        <w:rPr>
          <w:rFonts w:ascii="Century Gothic" w:hAnsi="Century Gothic"/>
          <w:sz w:val="24"/>
          <w:szCs w:val="24"/>
        </w:rPr>
        <w:t xml:space="preserve"> </w:t>
      </w:r>
      <w:r w:rsidRPr="00B53F8B">
        <w:rPr>
          <w:rFonts w:ascii="Century Gothic" w:hAnsi="Century Gothic"/>
          <w:sz w:val="24"/>
          <w:szCs w:val="24"/>
        </w:rPr>
        <w:t>Adquisición o modernización del equipo, herramental y/o mobiliario para mejorar la funcionalidad de los servicios y actividades culturales a las que está destinado el espacio.</w:t>
      </w:r>
    </w:p>
    <w:p w14:paraId="64277DF0" w14:textId="77777777" w:rsidR="00B53F8B" w:rsidRPr="004C2FA9" w:rsidRDefault="0008725F" w:rsidP="004C2FA9">
      <w:pPr>
        <w:spacing w:after="240"/>
        <w:jc w:val="both"/>
        <w:rPr>
          <w:rFonts w:ascii="Century Gothic" w:hAnsi="Century Gothic"/>
          <w:b/>
          <w:sz w:val="24"/>
          <w:szCs w:val="24"/>
        </w:rPr>
      </w:pPr>
      <w:r>
        <w:rPr>
          <w:rFonts w:ascii="Century Gothic" w:hAnsi="Century Gothic" w:cs="Tahoma"/>
          <w:sz w:val="24"/>
          <w:szCs w:val="24"/>
        </w:rPr>
        <w:t>Como se puede observar, existen varios programas con los que el programa “Infraestructura no Habitacional” coincide y que además se puede complementar, ya que el objeto es común en todos, brindar condiciones adecuadas para el aprovechamiento de estos espacios y generar un entorno adecuado para la población.</w:t>
      </w:r>
    </w:p>
    <w:p w14:paraId="5A175260" w14:textId="77777777" w:rsidR="00774DE9" w:rsidRDefault="00774DE9">
      <w:pPr>
        <w:rPr>
          <w:rFonts w:ascii="Century Gothic" w:hAnsi="Century Gothic"/>
          <w:b/>
          <w:color w:val="0E4E7A"/>
          <w:sz w:val="28"/>
        </w:rPr>
      </w:pPr>
      <w:r>
        <w:rPr>
          <w:rFonts w:ascii="Century Gothic" w:hAnsi="Century Gothic"/>
          <w:b/>
          <w:color w:val="0E4E7A"/>
          <w:sz w:val="28"/>
        </w:rPr>
        <w:br w:type="page"/>
      </w:r>
    </w:p>
    <w:p w14:paraId="4BC0262F" w14:textId="77777777" w:rsidR="00491E3E" w:rsidRPr="001F1248" w:rsidRDefault="008D34E8" w:rsidP="001F1248">
      <w:pPr>
        <w:pStyle w:val="Ttulo1"/>
        <w:spacing w:before="0" w:after="240"/>
        <w:rPr>
          <w:rFonts w:ascii="Century Gothic" w:hAnsi="Century Gothic"/>
          <w:b/>
          <w:color w:val="0E4E7A"/>
        </w:rPr>
      </w:pPr>
      <w:bookmarkStart w:id="29" w:name="_Toc511859777"/>
      <w:r w:rsidRPr="001F1248">
        <w:rPr>
          <w:rFonts w:ascii="Century Gothic" w:hAnsi="Century Gothic"/>
          <w:b/>
          <w:color w:val="0E4E7A"/>
        </w:rPr>
        <w:lastRenderedPageBreak/>
        <w:t>2</w:t>
      </w:r>
      <w:r w:rsidR="00122F31" w:rsidRPr="001F1248">
        <w:rPr>
          <w:rFonts w:ascii="Century Gothic" w:hAnsi="Century Gothic"/>
          <w:b/>
          <w:color w:val="0E4E7A"/>
        </w:rPr>
        <w:t>.</w:t>
      </w:r>
      <w:bookmarkEnd w:id="27"/>
      <w:r w:rsidR="00252B54" w:rsidRPr="001F1248">
        <w:rPr>
          <w:rFonts w:ascii="Century Gothic" w:hAnsi="Century Gothic"/>
          <w:b/>
          <w:color w:val="0E4E7A"/>
        </w:rPr>
        <w:t>2</w:t>
      </w:r>
      <w:r w:rsidRPr="001F1248">
        <w:rPr>
          <w:rFonts w:ascii="Century Gothic" w:hAnsi="Century Gothic"/>
          <w:b/>
          <w:color w:val="0E4E7A"/>
        </w:rPr>
        <w:t xml:space="preserve">. </w:t>
      </w:r>
      <w:r w:rsidR="00D07F2E" w:rsidRPr="001F1248">
        <w:rPr>
          <w:rFonts w:ascii="Century Gothic" w:hAnsi="Century Gothic"/>
          <w:b/>
          <w:color w:val="0E4E7A"/>
        </w:rPr>
        <w:t>Planeación y orientación a resultados</w:t>
      </w:r>
      <w:bookmarkEnd w:id="28"/>
      <w:bookmarkEnd w:id="29"/>
    </w:p>
    <w:p w14:paraId="2585B5D6" w14:textId="77777777" w:rsidR="00940A4E" w:rsidRPr="001F1248" w:rsidRDefault="00252B54" w:rsidP="001F1248">
      <w:pPr>
        <w:pStyle w:val="Ttulo2"/>
        <w:spacing w:before="0" w:after="240"/>
        <w:rPr>
          <w:rFonts w:ascii="Century Gothic" w:hAnsi="Century Gothic"/>
          <w:color w:val="0E4E7A"/>
          <w:sz w:val="28"/>
        </w:rPr>
      </w:pPr>
      <w:bookmarkStart w:id="30" w:name="_Toc505364431"/>
      <w:bookmarkStart w:id="31" w:name="_Toc511859778"/>
      <w:r w:rsidRPr="001F1248">
        <w:rPr>
          <w:rFonts w:ascii="Century Gothic" w:hAnsi="Century Gothic"/>
          <w:color w:val="0E4E7A"/>
          <w:sz w:val="28"/>
        </w:rPr>
        <w:t>2.2</w:t>
      </w:r>
      <w:r w:rsidR="008D34E8" w:rsidRPr="001F1248">
        <w:rPr>
          <w:rFonts w:ascii="Century Gothic" w:hAnsi="Century Gothic"/>
          <w:color w:val="0E4E7A"/>
          <w:sz w:val="28"/>
        </w:rPr>
        <w:t>.1</w:t>
      </w:r>
      <w:r w:rsidR="00B347E1" w:rsidRPr="001F1248">
        <w:rPr>
          <w:rFonts w:ascii="Century Gothic" w:hAnsi="Century Gothic"/>
          <w:color w:val="0E4E7A"/>
          <w:sz w:val="28"/>
        </w:rPr>
        <w:t xml:space="preserve"> </w:t>
      </w:r>
      <w:r w:rsidR="00940A4E" w:rsidRPr="001F1248">
        <w:rPr>
          <w:rFonts w:ascii="Century Gothic" w:hAnsi="Century Gothic"/>
          <w:color w:val="0E4E7A"/>
          <w:sz w:val="28"/>
        </w:rPr>
        <w:t>Instrumentos de planeación.</w:t>
      </w:r>
      <w:bookmarkEnd w:id="30"/>
      <w:bookmarkEnd w:id="31"/>
    </w:p>
    <w:p w14:paraId="159DA7A4" w14:textId="77777777" w:rsidR="00F61C8A" w:rsidRDefault="009563A5" w:rsidP="002F6D4A">
      <w:pPr>
        <w:spacing w:after="240"/>
        <w:jc w:val="both"/>
        <w:rPr>
          <w:rFonts w:ascii="Century Gothic" w:hAnsi="Century Gothic"/>
          <w:sz w:val="24"/>
          <w:szCs w:val="24"/>
        </w:rPr>
      </w:pPr>
      <w:r>
        <w:rPr>
          <w:rFonts w:ascii="Century Gothic" w:hAnsi="Century Gothic"/>
          <w:sz w:val="24"/>
          <w:szCs w:val="24"/>
        </w:rPr>
        <w:t>En este apartado se analiza si para el desarrollo del programa se cuenta con planes de trabajo o un plan estratégico donde se establezca los resultados que se desean lograr.</w:t>
      </w:r>
    </w:p>
    <w:p w14:paraId="5C34EA56" w14:textId="77777777" w:rsidR="009563A5" w:rsidRDefault="009563A5" w:rsidP="002F6D4A">
      <w:pPr>
        <w:spacing w:after="240"/>
        <w:jc w:val="both"/>
        <w:rPr>
          <w:rFonts w:ascii="Century Gothic" w:hAnsi="Century Gothic"/>
          <w:sz w:val="24"/>
          <w:szCs w:val="24"/>
        </w:rPr>
      </w:pPr>
      <w:r>
        <w:rPr>
          <w:rFonts w:ascii="Century Gothic" w:hAnsi="Century Gothic"/>
          <w:sz w:val="24"/>
          <w:szCs w:val="24"/>
        </w:rPr>
        <w:t xml:space="preserve">Ante </w:t>
      </w:r>
      <w:r w:rsidR="00881EB5">
        <w:rPr>
          <w:rFonts w:ascii="Century Gothic" w:hAnsi="Century Gothic"/>
          <w:sz w:val="24"/>
          <w:szCs w:val="24"/>
        </w:rPr>
        <w:t>lo cual</w:t>
      </w:r>
      <w:r>
        <w:rPr>
          <w:rFonts w:ascii="Century Gothic" w:hAnsi="Century Gothic"/>
          <w:sz w:val="24"/>
          <w:szCs w:val="24"/>
        </w:rPr>
        <w:t xml:space="preserve"> la SEIDUR manifestó: “</w:t>
      </w:r>
      <w:r w:rsidRPr="009563A5">
        <w:rPr>
          <w:rFonts w:ascii="Century Gothic" w:hAnsi="Century Gothic"/>
          <w:sz w:val="24"/>
          <w:szCs w:val="24"/>
        </w:rPr>
        <w:t xml:space="preserve">El programa 99 de infraestructura no habitacional </w:t>
      </w:r>
      <w:r w:rsidRPr="00A227AC">
        <w:rPr>
          <w:rFonts w:ascii="Century Gothic" w:hAnsi="Century Gothic"/>
          <w:b/>
          <w:sz w:val="24"/>
          <w:szCs w:val="24"/>
        </w:rPr>
        <w:t>no cuenta como tal con un plan estratégico</w:t>
      </w:r>
      <w:r w:rsidRPr="009563A5">
        <w:rPr>
          <w:rFonts w:ascii="Century Gothic" w:hAnsi="Century Gothic"/>
          <w:sz w:val="24"/>
          <w:szCs w:val="24"/>
        </w:rPr>
        <w:t>, sin embargo se cuenta con la MIR del programa a través de la cual se establecen fines, propósitos, metas actividades etc., para  medir el logro</w:t>
      </w:r>
      <w:r>
        <w:rPr>
          <w:rStyle w:val="Refdenotaalpie"/>
          <w:rFonts w:ascii="Century Gothic" w:hAnsi="Century Gothic"/>
          <w:sz w:val="24"/>
          <w:szCs w:val="24"/>
        </w:rPr>
        <w:footnoteReference w:id="13"/>
      </w:r>
      <w:r>
        <w:rPr>
          <w:rFonts w:ascii="Century Gothic" w:hAnsi="Century Gothic"/>
          <w:sz w:val="24"/>
          <w:szCs w:val="24"/>
        </w:rPr>
        <w:t>”</w:t>
      </w:r>
      <w:r w:rsidRPr="009563A5">
        <w:rPr>
          <w:rFonts w:ascii="Century Gothic" w:hAnsi="Century Gothic"/>
          <w:sz w:val="24"/>
          <w:szCs w:val="24"/>
        </w:rPr>
        <w:t>.</w:t>
      </w:r>
    </w:p>
    <w:p w14:paraId="750EC213" w14:textId="77777777" w:rsidR="002F6D4A" w:rsidRDefault="002F6D4A" w:rsidP="002F6D4A">
      <w:pPr>
        <w:spacing w:after="240"/>
        <w:jc w:val="both"/>
        <w:rPr>
          <w:rFonts w:ascii="Century Gothic" w:hAnsi="Century Gothic"/>
          <w:sz w:val="24"/>
          <w:szCs w:val="24"/>
        </w:rPr>
      </w:pPr>
      <w:r>
        <w:rPr>
          <w:rFonts w:ascii="Century Gothic" w:hAnsi="Century Gothic"/>
          <w:sz w:val="24"/>
          <w:szCs w:val="24"/>
        </w:rPr>
        <w:t>Al constatar con la MIR suministrada como evidencia, esta contiene los respectivos indicadores para nivel fin y propósito, sin embargo, las metas establecidas no se hicieron bajo un diagnóstico o proceso que de referente al logro que se quiere alcanzar, pues esta es muy general, sólo dice 100%.</w:t>
      </w:r>
    </w:p>
    <w:p w14:paraId="52385520" w14:textId="77777777" w:rsidR="009563A5" w:rsidRDefault="002F6D4A" w:rsidP="002F6D4A">
      <w:pPr>
        <w:spacing w:after="240"/>
        <w:jc w:val="both"/>
        <w:rPr>
          <w:rFonts w:ascii="Century Gothic" w:hAnsi="Century Gothic"/>
          <w:sz w:val="24"/>
          <w:szCs w:val="24"/>
        </w:rPr>
      </w:pPr>
      <w:r>
        <w:rPr>
          <w:rFonts w:ascii="Century Gothic" w:hAnsi="Century Gothic"/>
          <w:sz w:val="24"/>
          <w:szCs w:val="24"/>
        </w:rPr>
        <w:t>Es importante tener presente que l</w:t>
      </w:r>
      <w:r w:rsidRPr="002F6D4A">
        <w:rPr>
          <w:rFonts w:ascii="Century Gothic" w:hAnsi="Century Gothic"/>
          <w:sz w:val="24"/>
          <w:szCs w:val="24"/>
        </w:rPr>
        <w:t xml:space="preserve">a planeación, es el instrumento fundamental para </w:t>
      </w:r>
      <w:r w:rsidRPr="002F6D4A">
        <w:rPr>
          <w:rFonts w:ascii="Century Gothic" w:hAnsi="Century Gothic"/>
          <w:b/>
          <w:sz w:val="24"/>
          <w:szCs w:val="24"/>
        </w:rPr>
        <w:t>organizar las acciones de gobierno</w:t>
      </w:r>
      <w:r w:rsidRPr="002F6D4A">
        <w:rPr>
          <w:rFonts w:ascii="Century Gothic" w:hAnsi="Century Gothic"/>
          <w:sz w:val="24"/>
          <w:szCs w:val="24"/>
        </w:rPr>
        <w:t xml:space="preserve">, </w:t>
      </w:r>
      <w:r w:rsidRPr="002F6D4A">
        <w:rPr>
          <w:rFonts w:ascii="Century Gothic" w:hAnsi="Century Gothic"/>
          <w:b/>
          <w:sz w:val="24"/>
          <w:szCs w:val="24"/>
        </w:rPr>
        <w:t>identificar retos, oportunidades, metas, objetivos, elaborar diagnósticos de la situación económica y social del Estado</w:t>
      </w:r>
      <w:r w:rsidRPr="002F6D4A">
        <w:rPr>
          <w:rFonts w:ascii="Century Gothic" w:hAnsi="Century Gothic"/>
          <w:sz w:val="24"/>
          <w:szCs w:val="24"/>
        </w:rPr>
        <w:t xml:space="preserve"> y responder</w:t>
      </w:r>
      <w:r>
        <w:rPr>
          <w:rFonts w:ascii="Century Gothic" w:hAnsi="Century Gothic"/>
          <w:sz w:val="24"/>
          <w:szCs w:val="24"/>
        </w:rPr>
        <w:t xml:space="preserve"> </w:t>
      </w:r>
      <w:r w:rsidRPr="002F6D4A">
        <w:rPr>
          <w:rFonts w:ascii="Century Gothic" w:hAnsi="Century Gothic"/>
          <w:sz w:val="24"/>
          <w:szCs w:val="24"/>
        </w:rPr>
        <w:t>de forma ordenada, racional y sistemática, a las demandas y aspiraciones de la sociedad.</w:t>
      </w:r>
    </w:p>
    <w:p w14:paraId="5626A123" w14:textId="77777777" w:rsidR="002F6D4A" w:rsidRDefault="002F6D4A" w:rsidP="002F6D4A">
      <w:pPr>
        <w:spacing w:after="240"/>
        <w:jc w:val="both"/>
        <w:rPr>
          <w:rFonts w:ascii="Century Gothic" w:hAnsi="Century Gothic"/>
          <w:sz w:val="24"/>
          <w:szCs w:val="24"/>
        </w:rPr>
      </w:pPr>
      <w:r>
        <w:rPr>
          <w:rFonts w:ascii="Century Gothic" w:hAnsi="Century Gothic"/>
          <w:sz w:val="24"/>
          <w:szCs w:val="24"/>
        </w:rPr>
        <w:t xml:space="preserve">Por lo tanto el Plan de Desarrollo </w:t>
      </w:r>
      <w:r w:rsidRPr="002F6D4A">
        <w:rPr>
          <w:rFonts w:ascii="Century Gothic" w:hAnsi="Century Gothic"/>
          <w:sz w:val="24"/>
          <w:szCs w:val="24"/>
        </w:rPr>
        <w:t>se convierte en el principal instrumento de planeación estableciendo los ejes de orientación y desarrollo.</w:t>
      </w:r>
      <w:r>
        <w:rPr>
          <w:rFonts w:ascii="Century Gothic" w:hAnsi="Century Gothic"/>
          <w:sz w:val="24"/>
          <w:szCs w:val="24"/>
        </w:rPr>
        <w:t xml:space="preserve"> Teniendo presente lo que establece la Ley de Planeación del estado de Colima, derivado del Plan de Desarrollo se derivan los “</w:t>
      </w:r>
      <w:r w:rsidR="00605787">
        <w:rPr>
          <w:rFonts w:ascii="Century Gothic" w:hAnsi="Century Gothic"/>
          <w:b/>
          <w:sz w:val="24"/>
          <w:szCs w:val="24"/>
        </w:rPr>
        <w:t>P</w:t>
      </w:r>
      <w:r w:rsidRPr="002F6D4A">
        <w:rPr>
          <w:rFonts w:ascii="Century Gothic" w:hAnsi="Century Gothic"/>
          <w:b/>
          <w:sz w:val="24"/>
          <w:szCs w:val="24"/>
        </w:rPr>
        <w:t>rogramas operativos anuales</w:t>
      </w:r>
      <w:r>
        <w:rPr>
          <w:rFonts w:ascii="Century Gothic" w:hAnsi="Century Gothic"/>
          <w:sz w:val="24"/>
          <w:szCs w:val="24"/>
        </w:rPr>
        <w:t xml:space="preserve">” y </w:t>
      </w:r>
      <w:r w:rsidRPr="002F6D4A">
        <w:rPr>
          <w:rFonts w:ascii="Century Gothic" w:hAnsi="Century Gothic"/>
          <w:sz w:val="24"/>
          <w:szCs w:val="24"/>
        </w:rPr>
        <w:t>tendrán la duración del año para el que fueron expedidos</w:t>
      </w:r>
      <w:r>
        <w:rPr>
          <w:rFonts w:ascii="Century Gothic" w:hAnsi="Century Gothic"/>
          <w:sz w:val="24"/>
          <w:szCs w:val="24"/>
        </w:rPr>
        <w:t xml:space="preserve"> (Artículo 51, numeral 4).</w:t>
      </w:r>
    </w:p>
    <w:p w14:paraId="2300A6DD" w14:textId="77777777" w:rsidR="00605787" w:rsidRDefault="00605787" w:rsidP="002F6D4A">
      <w:pPr>
        <w:spacing w:after="240"/>
        <w:jc w:val="both"/>
        <w:rPr>
          <w:rFonts w:ascii="Century Gothic" w:hAnsi="Century Gothic"/>
          <w:sz w:val="24"/>
          <w:szCs w:val="24"/>
        </w:rPr>
      </w:pPr>
      <w:r>
        <w:rPr>
          <w:rFonts w:ascii="Century Gothic" w:hAnsi="Century Gothic"/>
          <w:sz w:val="24"/>
          <w:szCs w:val="24"/>
        </w:rPr>
        <w:t>Así mismo en el artículo 56 establece:</w:t>
      </w:r>
    </w:p>
    <w:p w14:paraId="6B0E3C62" w14:textId="77777777" w:rsidR="00605787" w:rsidRPr="00605787" w:rsidRDefault="00605787" w:rsidP="00605787">
      <w:pPr>
        <w:spacing w:after="240"/>
        <w:ind w:left="284" w:right="335"/>
        <w:jc w:val="both"/>
        <w:rPr>
          <w:rFonts w:ascii="Century Gothic" w:hAnsi="Century Gothic"/>
          <w:sz w:val="24"/>
          <w:szCs w:val="24"/>
        </w:rPr>
      </w:pPr>
      <w:r w:rsidRPr="00605787">
        <w:rPr>
          <w:rFonts w:ascii="Century Gothic" w:hAnsi="Century Gothic"/>
          <w:sz w:val="24"/>
          <w:szCs w:val="24"/>
        </w:rPr>
        <w:t>1. Los programas operativos anuales son aquellos que se emiten para llevar a cabo acciones concretas de corto plazo</w:t>
      </w:r>
      <w:r>
        <w:rPr>
          <w:rFonts w:ascii="Century Gothic" w:hAnsi="Century Gothic"/>
          <w:sz w:val="24"/>
          <w:szCs w:val="24"/>
        </w:rPr>
        <w:t xml:space="preserve"> </w:t>
      </w:r>
      <w:r w:rsidRPr="00605787">
        <w:rPr>
          <w:rFonts w:ascii="Century Gothic" w:hAnsi="Century Gothic"/>
          <w:sz w:val="24"/>
          <w:szCs w:val="24"/>
        </w:rPr>
        <w:t>y que permiten la asignación de recursos humanos, materiales y económicos para hacer posible el cumplimiento</w:t>
      </w:r>
      <w:r>
        <w:rPr>
          <w:rFonts w:ascii="Century Gothic" w:hAnsi="Century Gothic"/>
          <w:sz w:val="24"/>
          <w:szCs w:val="24"/>
        </w:rPr>
        <w:t xml:space="preserve"> </w:t>
      </w:r>
      <w:r w:rsidRPr="00605787">
        <w:rPr>
          <w:rFonts w:ascii="Century Gothic" w:hAnsi="Century Gothic"/>
          <w:sz w:val="24"/>
          <w:szCs w:val="24"/>
        </w:rPr>
        <w:t>de proyectos específicos.</w:t>
      </w:r>
    </w:p>
    <w:p w14:paraId="1C2F5C1D" w14:textId="77777777" w:rsidR="00605787" w:rsidRPr="00605787" w:rsidRDefault="00605787" w:rsidP="00605787">
      <w:pPr>
        <w:spacing w:after="240"/>
        <w:ind w:left="284" w:right="335"/>
        <w:jc w:val="both"/>
        <w:rPr>
          <w:rFonts w:ascii="Century Gothic" w:hAnsi="Century Gothic"/>
          <w:sz w:val="24"/>
          <w:szCs w:val="24"/>
        </w:rPr>
      </w:pPr>
      <w:r w:rsidRPr="00605787">
        <w:rPr>
          <w:rFonts w:ascii="Century Gothic" w:hAnsi="Century Gothic"/>
          <w:sz w:val="24"/>
          <w:szCs w:val="24"/>
        </w:rPr>
        <w:lastRenderedPageBreak/>
        <w:t>2. Los programas operativos anuales s</w:t>
      </w:r>
      <w:r w:rsidRPr="00353C80">
        <w:rPr>
          <w:rFonts w:ascii="Century Gothic" w:hAnsi="Century Gothic"/>
          <w:b/>
          <w:sz w:val="24"/>
          <w:szCs w:val="24"/>
        </w:rPr>
        <w:t xml:space="preserve">on instrumentos necesarios para la ejecución del Plan Estatal </w:t>
      </w:r>
      <w:r w:rsidRPr="00605787">
        <w:rPr>
          <w:rFonts w:ascii="Century Gothic" w:hAnsi="Century Gothic"/>
          <w:sz w:val="24"/>
          <w:szCs w:val="24"/>
        </w:rPr>
        <w:t>o del Plan</w:t>
      </w:r>
      <w:r>
        <w:rPr>
          <w:rFonts w:ascii="Century Gothic" w:hAnsi="Century Gothic"/>
          <w:sz w:val="24"/>
          <w:szCs w:val="24"/>
        </w:rPr>
        <w:t xml:space="preserve"> </w:t>
      </w:r>
      <w:r w:rsidRPr="00605787">
        <w:rPr>
          <w:rFonts w:ascii="Century Gothic" w:hAnsi="Century Gothic"/>
          <w:sz w:val="24"/>
          <w:szCs w:val="24"/>
        </w:rPr>
        <w:t>Municipal, así como de los programas sectoriales, regionales, especiales e institucionales, conforme a las</w:t>
      </w:r>
      <w:r>
        <w:rPr>
          <w:rFonts w:ascii="Century Gothic" w:hAnsi="Century Gothic"/>
          <w:sz w:val="24"/>
          <w:szCs w:val="24"/>
        </w:rPr>
        <w:t xml:space="preserve"> </w:t>
      </w:r>
      <w:r w:rsidRPr="00605787">
        <w:rPr>
          <w:rFonts w:ascii="Century Gothic" w:hAnsi="Century Gothic"/>
          <w:sz w:val="24"/>
          <w:szCs w:val="24"/>
        </w:rPr>
        <w:t>prioridades definidas en cada ejercicio fiscal.</w:t>
      </w:r>
    </w:p>
    <w:p w14:paraId="5FED7636" w14:textId="77777777" w:rsidR="00605787" w:rsidRDefault="00605787" w:rsidP="00605787">
      <w:pPr>
        <w:spacing w:after="240"/>
        <w:ind w:left="284" w:right="335"/>
        <w:jc w:val="both"/>
        <w:rPr>
          <w:rFonts w:ascii="Century Gothic" w:hAnsi="Century Gothic"/>
          <w:sz w:val="24"/>
          <w:szCs w:val="24"/>
        </w:rPr>
      </w:pPr>
      <w:r w:rsidRPr="00605787">
        <w:rPr>
          <w:rFonts w:ascii="Century Gothic" w:hAnsi="Century Gothic"/>
          <w:sz w:val="24"/>
          <w:szCs w:val="24"/>
        </w:rPr>
        <w:t xml:space="preserve">3. Los programas operativos anuales serán un </w:t>
      </w:r>
      <w:r w:rsidRPr="00353C80">
        <w:rPr>
          <w:rFonts w:ascii="Century Gothic" w:hAnsi="Century Gothic"/>
          <w:b/>
          <w:sz w:val="24"/>
          <w:szCs w:val="24"/>
        </w:rPr>
        <w:t>elemento para la definición de los proyectos de Presupuesto</w:t>
      </w:r>
      <w:r w:rsidRPr="00605787">
        <w:rPr>
          <w:rFonts w:ascii="Century Gothic" w:hAnsi="Century Gothic"/>
          <w:sz w:val="24"/>
          <w:szCs w:val="24"/>
        </w:rPr>
        <w:t xml:space="preserve"> de</w:t>
      </w:r>
      <w:r>
        <w:rPr>
          <w:rFonts w:ascii="Century Gothic" w:hAnsi="Century Gothic"/>
          <w:sz w:val="24"/>
          <w:szCs w:val="24"/>
        </w:rPr>
        <w:t xml:space="preserve"> </w:t>
      </w:r>
      <w:r w:rsidRPr="00605787">
        <w:rPr>
          <w:rFonts w:ascii="Century Gothic" w:hAnsi="Century Gothic"/>
          <w:sz w:val="24"/>
          <w:szCs w:val="24"/>
        </w:rPr>
        <w:t>Egresos del Estado y de los municipios en el ámbito de su competencia.</w:t>
      </w:r>
    </w:p>
    <w:p w14:paraId="33DCDFDE" w14:textId="77777777" w:rsidR="00353C80" w:rsidRDefault="00353C80" w:rsidP="002F6D4A">
      <w:pPr>
        <w:spacing w:after="240"/>
        <w:jc w:val="both"/>
        <w:rPr>
          <w:rFonts w:ascii="Century Gothic" w:hAnsi="Century Gothic"/>
          <w:sz w:val="24"/>
          <w:szCs w:val="24"/>
        </w:rPr>
      </w:pPr>
      <w:r>
        <w:rPr>
          <w:rFonts w:ascii="Century Gothic" w:hAnsi="Century Gothic"/>
          <w:sz w:val="24"/>
          <w:szCs w:val="24"/>
        </w:rPr>
        <w:t xml:space="preserve">De igual forma en el artículo 63 se establece que para el seguimiento y control  </w:t>
      </w:r>
      <w:r w:rsidRPr="00353C80">
        <w:rPr>
          <w:rFonts w:ascii="Century Gothic" w:hAnsi="Century Gothic"/>
          <w:sz w:val="24"/>
          <w:szCs w:val="24"/>
        </w:rPr>
        <w:t>dentro del Sistema Estatal,</w:t>
      </w:r>
      <w:r>
        <w:rPr>
          <w:rFonts w:ascii="Century Gothic" w:hAnsi="Century Gothic"/>
          <w:sz w:val="24"/>
          <w:szCs w:val="24"/>
        </w:rPr>
        <w:t xml:space="preserve"> los </w:t>
      </w:r>
      <w:r w:rsidRPr="00353C80">
        <w:rPr>
          <w:rFonts w:ascii="Century Gothic" w:hAnsi="Century Gothic"/>
          <w:sz w:val="24"/>
          <w:szCs w:val="24"/>
        </w:rPr>
        <w:t>Programas operativos anuales deben considerar:</w:t>
      </w:r>
      <w:r>
        <w:rPr>
          <w:rFonts w:ascii="Century Gothic" w:hAnsi="Century Gothic"/>
          <w:b/>
          <w:sz w:val="24"/>
          <w:szCs w:val="24"/>
        </w:rPr>
        <w:t xml:space="preserve"> </w:t>
      </w:r>
      <w:r w:rsidRPr="00353C80">
        <w:rPr>
          <w:rFonts w:ascii="Century Gothic" w:hAnsi="Century Gothic"/>
          <w:b/>
          <w:sz w:val="24"/>
          <w:szCs w:val="24"/>
        </w:rPr>
        <w:t>a) Matrices</w:t>
      </w:r>
      <w:r>
        <w:rPr>
          <w:rFonts w:ascii="Century Gothic" w:hAnsi="Century Gothic"/>
          <w:b/>
          <w:sz w:val="24"/>
          <w:szCs w:val="24"/>
        </w:rPr>
        <w:t xml:space="preserve"> de indicadores para resultados.</w:t>
      </w:r>
    </w:p>
    <w:p w14:paraId="3B8510DB" w14:textId="77777777" w:rsidR="00353C80" w:rsidRDefault="00353C80" w:rsidP="002F6D4A">
      <w:pPr>
        <w:spacing w:after="240"/>
        <w:jc w:val="both"/>
        <w:rPr>
          <w:rFonts w:ascii="Century Gothic" w:hAnsi="Century Gothic"/>
          <w:sz w:val="24"/>
          <w:szCs w:val="24"/>
        </w:rPr>
      </w:pPr>
      <w:r>
        <w:rPr>
          <w:rFonts w:ascii="Century Gothic" w:hAnsi="Century Gothic"/>
          <w:sz w:val="24"/>
          <w:szCs w:val="24"/>
        </w:rPr>
        <w:t xml:space="preserve">Bajo este entendido, se debe contar con los </w:t>
      </w:r>
      <w:r>
        <w:rPr>
          <w:rFonts w:ascii="Century Gothic" w:hAnsi="Century Gothic"/>
          <w:b/>
          <w:sz w:val="24"/>
          <w:szCs w:val="24"/>
        </w:rPr>
        <w:t>P</w:t>
      </w:r>
      <w:r w:rsidRPr="002F6D4A">
        <w:rPr>
          <w:rFonts w:ascii="Century Gothic" w:hAnsi="Century Gothic"/>
          <w:b/>
          <w:sz w:val="24"/>
          <w:szCs w:val="24"/>
        </w:rPr>
        <w:t>rogramas operativos anuales</w:t>
      </w:r>
      <w:r>
        <w:rPr>
          <w:rFonts w:ascii="Century Gothic" w:hAnsi="Century Gothic"/>
          <w:b/>
          <w:sz w:val="24"/>
          <w:szCs w:val="24"/>
        </w:rPr>
        <w:t xml:space="preserve">, </w:t>
      </w:r>
      <w:r>
        <w:rPr>
          <w:rFonts w:ascii="Century Gothic" w:hAnsi="Century Gothic"/>
          <w:sz w:val="24"/>
          <w:szCs w:val="24"/>
        </w:rPr>
        <w:t>como principal instrumento de planeación y un elemento fundamental de estos es la MIR. Sin embargo al momento de la evaluación se suministró sólo la MIR.</w:t>
      </w:r>
    </w:p>
    <w:p w14:paraId="7AE466CA" w14:textId="77777777" w:rsidR="00940A4E" w:rsidRPr="0012591A" w:rsidRDefault="008D34E8" w:rsidP="00F32232">
      <w:pPr>
        <w:pStyle w:val="Ttulo2"/>
        <w:spacing w:before="0" w:after="240"/>
        <w:rPr>
          <w:rFonts w:ascii="Century Gothic" w:hAnsi="Century Gothic"/>
          <w:color w:val="0E4E7A"/>
          <w:sz w:val="28"/>
          <w:szCs w:val="28"/>
        </w:rPr>
      </w:pPr>
      <w:bookmarkStart w:id="32" w:name="_Toc505364432"/>
      <w:bookmarkStart w:id="33" w:name="_Toc511859779"/>
      <w:r w:rsidRPr="0012591A">
        <w:rPr>
          <w:rFonts w:ascii="Century Gothic" w:hAnsi="Century Gothic"/>
          <w:color w:val="0E4E7A"/>
          <w:sz w:val="28"/>
          <w:szCs w:val="28"/>
        </w:rPr>
        <w:t>2.</w:t>
      </w:r>
      <w:r w:rsidR="00252B54" w:rsidRPr="0012591A">
        <w:rPr>
          <w:rFonts w:ascii="Century Gothic" w:hAnsi="Century Gothic"/>
          <w:color w:val="0E4E7A"/>
          <w:sz w:val="28"/>
          <w:szCs w:val="28"/>
        </w:rPr>
        <w:t>2</w:t>
      </w:r>
      <w:r w:rsidR="00D07F2E" w:rsidRPr="0012591A">
        <w:rPr>
          <w:rFonts w:ascii="Century Gothic" w:hAnsi="Century Gothic"/>
          <w:color w:val="0E4E7A"/>
          <w:sz w:val="28"/>
          <w:szCs w:val="28"/>
        </w:rPr>
        <w:t>.</w:t>
      </w:r>
      <w:r w:rsidRPr="0012591A">
        <w:rPr>
          <w:rFonts w:ascii="Century Gothic" w:hAnsi="Century Gothic"/>
          <w:color w:val="0E4E7A"/>
          <w:sz w:val="28"/>
          <w:szCs w:val="28"/>
        </w:rPr>
        <w:t>2</w:t>
      </w:r>
      <w:r w:rsidR="00D07F2E" w:rsidRPr="0012591A">
        <w:rPr>
          <w:rFonts w:ascii="Century Gothic" w:hAnsi="Century Gothic"/>
          <w:color w:val="0E4E7A"/>
          <w:sz w:val="28"/>
          <w:szCs w:val="28"/>
        </w:rPr>
        <w:t xml:space="preserve"> </w:t>
      </w:r>
      <w:r w:rsidR="00940A4E" w:rsidRPr="0012591A">
        <w:rPr>
          <w:rFonts w:ascii="Century Gothic" w:hAnsi="Century Gothic"/>
          <w:color w:val="0E4E7A"/>
          <w:sz w:val="28"/>
          <w:szCs w:val="28"/>
        </w:rPr>
        <w:t>De la orientación hacia resultados y esquemas o procesos de evaluación.</w:t>
      </w:r>
      <w:bookmarkEnd w:id="32"/>
      <w:bookmarkEnd w:id="33"/>
    </w:p>
    <w:p w14:paraId="27484D4B" w14:textId="77777777" w:rsidR="00261E9B" w:rsidRPr="00475843" w:rsidRDefault="00F32232" w:rsidP="00475843">
      <w:pPr>
        <w:spacing w:after="240"/>
        <w:jc w:val="both"/>
        <w:rPr>
          <w:rFonts w:ascii="Century Gothic" w:eastAsia="Times New Roman" w:hAnsi="Century Gothic" w:cs="Times New Roman"/>
          <w:color w:val="000000"/>
          <w:sz w:val="24"/>
          <w:szCs w:val="24"/>
          <w:lang w:val="es-ES_tradnl" w:eastAsia="es-ES_tradnl"/>
        </w:rPr>
      </w:pPr>
      <w:r>
        <w:rPr>
          <w:rFonts w:ascii="Century Gothic" w:eastAsia="Times New Roman" w:hAnsi="Century Gothic" w:cs="Times New Roman"/>
          <w:color w:val="000000"/>
          <w:sz w:val="24"/>
          <w:szCs w:val="24"/>
          <w:lang w:val="es-ES_tradnl" w:eastAsia="es-ES_tradnl"/>
        </w:rPr>
        <w:t xml:space="preserve">El análisis de esta sección se centra en si el programa ha sido evaluado y si se utiliza </w:t>
      </w:r>
      <w:r w:rsidRPr="00475843">
        <w:rPr>
          <w:rFonts w:ascii="Century Gothic" w:eastAsia="Times New Roman" w:hAnsi="Century Gothic" w:cs="Times New Roman"/>
          <w:color w:val="000000"/>
          <w:sz w:val="24"/>
          <w:szCs w:val="24"/>
          <w:lang w:val="es-ES_tradnl" w:eastAsia="es-ES_tradnl"/>
        </w:rPr>
        <w:t>dicha información para definir sus acciones o actividades y como se han atendido las recomendaciones derivadas del informe.</w:t>
      </w:r>
    </w:p>
    <w:p w14:paraId="1BC9FE1B" w14:textId="77777777" w:rsidR="00373906" w:rsidRPr="00475843" w:rsidRDefault="00881EB5" w:rsidP="00475843">
      <w:pPr>
        <w:spacing w:after="240"/>
        <w:jc w:val="both"/>
        <w:rPr>
          <w:rFonts w:ascii="Century Gothic" w:hAnsi="Century Gothic"/>
          <w:sz w:val="24"/>
          <w:szCs w:val="24"/>
          <w:lang w:val="es-ES_tradnl" w:eastAsia="es-ES_tradnl"/>
        </w:rPr>
      </w:pPr>
      <w:r w:rsidRPr="00475843">
        <w:rPr>
          <w:rFonts w:ascii="Century Gothic" w:hAnsi="Century Gothic"/>
          <w:sz w:val="24"/>
          <w:szCs w:val="24"/>
          <w:lang w:val="es-ES_tradnl" w:eastAsia="es-ES_tradnl"/>
        </w:rPr>
        <w:t xml:space="preserve">Dado que el programa fue creado a partir de la planeación del año 2017, como tal no se </w:t>
      </w:r>
      <w:r w:rsidR="00373906" w:rsidRPr="00475843">
        <w:rPr>
          <w:rFonts w:ascii="Century Gothic" w:hAnsi="Century Gothic"/>
          <w:sz w:val="24"/>
          <w:szCs w:val="24"/>
          <w:lang w:val="es-ES_tradnl" w:eastAsia="es-ES_tradnl"/>
        </w:rPr>
        <w:t>cuenta con evaluaciones de</w:t>
      </w:r>
      <w:r w:rsidRPr="00475843">
        <w:rPr>
          <w:rFonts w:ascii="Century Gothic" w:hAnsi="Century Gothic"/>
          <w:sz w:val="24"/>
          <w:szCs w:val="24"/>
          <w:lang w:val="es-ES_tradnl" w:eastAsia="es-ES_tradnl"/>
        </w:rPr>
        <w:t xml:space="preserve"> este, </w:t>
      </w:r>
      <w:r w:rsidR="00373906" w:rsidRPr="00475843">
        <w:rPr>
          <w:rFonts w:ascii="Century Gothic" w:hAnsi="Century Gothic"/>
          <w:sz w:val="24"/>
          <w:szCs w:val="24"/>
          <w:lang w:val="es-ES_tradnl" w:eastAsia="es-ES_tradnl"/>
        </w:rPr>
        <w:t>siendo en particular este documento el primer paso para atender este tema.</w:t>
      </w:r>
    </w:p>
    <w:p w14:paraId="2F260CB4" w14:textId="77777777" w:rsidR="00466855" w:rsidRPr="00475843" w:rsidRDefault="00466855" w:rsidP="00475843">
      <w:pPr>
        <w:spacing w:after="240"/>
        <w:jc w:val="both"/>
        <w:rPr>
          <w:rFonts w:ascii="Century Gothic" w:hAnsi="Century Gothic"/>
          <w:sz w:val="24"/>
          <w:szCs w:val="24"/>
          <w:lang w:val="es-ES_tradnl" w:eastAsia="es-ES_tradnl"/>
        </w:rPr>
      </w:pPr>
      <w:r w:rsidRPr="00475843">
        <w:rPr>
          <w:rFonts w:ascii="Century Gothic" w:hAnsi="Century Gothic"/>
          <w:sz w:val="24"/>
          <w:szCs w:val="24"/>
          <w:lang w:val="es-ES_tradnl" w:eastAsia="es-ES_tradnl"/>
        </w:rPr>
        <w:t xml:space="preserve">Aunque a nivel programa </w:t>
      </w:r>
      <w:r w:rsidR="007C4B47" w:rsidRPr="00475843">
        <w:rPr>
          <w:rFonts w:ascii="Century Gothic" w:hAnsi="Century Gothic"/>
          <w:sz w:val="24"/>
          <w:szCs w:val="24"/>
          <w:lang w:val="es-ES_tradnl" w:eastAsia="es-ES_tradnl"/>
        </w:rPr>
        <w:t>aún</w:t>
      </w:r>
      <w:r w:rsidRPr="00475843">
        <w:rPr>
          <w:rFonts w:ascii="Century Gothic" w:hAnsi="Century Gothic"/>
          <w:sz w:val="24"/>
          <w:szCs w:val="24"/>
          <w:lang w:val="es-ES_tradnl" w:eastAsia="es-ES_tradnl"/>
        </w:rPr>
        <w:t xml:space="preserve"> n</w:t>
      </w:r>
      <w:r w:rsidR="007C4B47">
        <w:rPr>
          <w:rFonts w:ascii="Century Gothic" w:hAnsi="Century Gothic"/>
          <w:sz w:val="24"/>
          <w:szCs w:val="24"/>
          <w:lang w:val="es-ES_tradnl" w:eastAsia="es-ES_tradnl"/>
        </w:rPr>
        <w:t>o</w:t>
      </w:r>
      <w:r w:rsidRPr="00475843">
        <w:rPr>
          <w:rFonts w:ascii="Century Gothic" w:hAnsi="Century Gothic"/>
          <w:sz w:val="24"/>
          <w:szCs w:val="24"/>
          <w:lang w:val="es-ES_tradnl" w:eastAsia="es-ES_tradnl"/>
        </w:rPr>
        <w:t xml:space="preserve"> se cuente con evaluaciones </w:t>
      </w:r>
      <w:r w:rsidR="00C8685C" w:rsidRPr="00475843">
        <w:rPr>
          <w:rFonts w:ascii="Century Gothic" w:hAnsi="Century Gothic"/>
          <w:sz w:val="24"/>
          <w:szCs w:val="24"/>
          <w:lang w:val="es-ES_tradnl" w:eastAsia="es-ES_tradnl"/>
        </w:rPr>
        <w:t>el Órgano Superior de Auditoría y Fiscalización Gubernamental del Estado de Colima</w:t>
      </w:r>
      <w:r w:rsidR="00881EB5" w:rsidRPr="00475843">
        <w:rPr>
          <w:rFonts w:ascii="Century Gothic" w:hAnsi="Century Gothic"/>
          <w:sz w:val="24"/>
          <w:szCs w:val="24"/>
          <w:lang w:val="es-ES_tradnl" w:eastAsia="es-ES_tradnl"/>
        </w:rPr>
        <w:t xml:space="preserve"> </w:t>
      </w:r>
      <w:r w:rsidR="00C8685C" w:rsidRPr="00475843">
        <w:rPr>
          <w:rFonts w:ascii="Century Gothic" w:hAnsi="Century Gothic"/>
          <w:sz w:val="24"/>
          <w:szCs w:val="24"/>
          <w:lang w:val="es-ES_tradnl" w:eastAsia="es-ES_tradnl"/>
        </w:rPr>
        <w:t>(</w:t>
      </w:r>
      <w:r w:rsidR="00881EB5" w:rsidRPr="00475843">
        <w:rPr>
          <w:rFonts w:ascii="Century Gothic" w:hAnsi="Century Gothic"/>
          <w:sz w:val="24"/>
          <w:szCs w:val="24"/>
          <w:lang w:val="es-ES_tradnl" w:eastAsia="es-ES_tradnl"/>
        </w:rPr>
        <w:t>OSAFIC</w:t>
      </w:r>
      <w:r w:rsidR="00C8685C" w:rsidRPr="00475843">
        <w:rPr>
          <w:rFonts w:ascii="Century Gothic" w:hAnsi="Century Gothic"/>
          <w:sz w:val="24"/>
          <w:szCs w:val="24"/>
          <w:lang w:val="es-ES_tradnl" w:eastAsia="es-ES_tradnl"/>
        </w:rPr>
        <w:t>)</w:t>
      </w:r>
      <w:r w:rsidR="00373906" w:rsidRPr="00475843">
        <w:rPr>
          <w:rFonts w:ascii="Century Gothic" w:hAnsi="Century Gothic"/>
          <w:sz w:val="24"/>
          <w:szCs w:val="24"/>
          <w:lang w:val="es-ES_tradnl" w:eastAsia="es-ES_tradnl"/>
        </w:rPr>
        <w:t xml:space="preserve"> </w:t>
      </w:r>
      <w:r w:rsidRPr="00475843">
        <w:rPr>
          <w:rFonts w:ascii="Century Gothic" w:hAnsi="Century Gothic"/>
          <w:sz w:val="24"/>
          <w:szCs w:val="24"/>
          <w:lang w:val="es-ES_tradnl" w:eastAsia="es-ES_tradnl"/>
        </w:rPr>
        <w:t>realiza evaluaciones al desempeño de algunos fondos, entre ellos está el FAFEF por el cual se financia este programa. Sin embargo la SEIDUR manifiesta: “La evaluación realizada por el OSAFIC únicamente entrega resultados. El monto autorizado y su distribución por obra, actividad y municipio. No marca mejoras ni metas a corto mediano y largo plazo”.</w:t>
      </w:r>
    </w:p>
    <w:p w14:paraId="61C22663" w14:textId="77777777" w:rsidR="00466855" w:rsidRPr="00475843" w:rsidRDefault="00466855" w:rsidP="00475843">
      <w:pPr>
        <w:spacing w:after="240"/>
        <w:jc w:val="both"/>
        <w:rPr>
          <w:rFonts w:ascii="Century Gothic" w:hAnsi="Century Gothic"/>
          <w:sz w:val="24"/>
          <w:szCs w:val="24"/>
          <w:lang w:val="es-ES_tradnl" w:eastAsia="es-ES_tradnl"/>
        </w:rPr>
      </w:pPr>
      <w:r w:rsidRPr="00475843">
        <w:rPr>
          <w:rFonts w:ascii="Century Gothic" w:hAnsi="Century Gothic"/>
          <w:sz w:val="24"/>
          <w:szCs w:val="24"/>
          <w:lang w:val="es-ES_tradnl" w:eastAsia="es-ES_tradnl"/>
        </w:rPr>
        <w:t xml:space="preserve">Al analizar la evaluación realizada en 2016, esta tiene como objetivo: </w:t>
      </w:r>
    </w:p>
    <w:p w14:paraId="70478B5D" w14:textId="77777777" w:rsidR="0012591A" w:rsidRPr="00466855" w:rsidRDefault="00466855" w:rsidP="00475843">
      <w:pPr>
        <w:spacing w:after="240"/>
        <w:ind w:left="284" w:right="333"/>
        <w:jc w:val="both"/>
        <w:rPr>
          <w:rFonts w:ascii="Century Gothic" w:eastAsia="Times New Roman" w:hAnsi="Century Gothic" w:cs="Times New Roman"/>
          <w:color w:val="000000"/>
          <w:sz w:val="24"/>
          <w:szCs w:val="24"/>
          <w:lang w:val="es-ES_tradnl" w:eastAsia="es-ES_tradnl"/>
        </w:rPr>
      </w:pPr>
      <w:r w:rsidRPr="00475843">
        <w:rPr>
          <w:rFonts w:ascii="Century Gothic" w:eastAsia="Times New Roman" w:hAnsi="Century Gothic" w:cs="Times New Roman"/>
          <w:color w:val="000000"/>
          <w:sz w:val="24"/>
          <w:szCs w:val="24"/>
          <w:lang w:val="es-ES_tradnl" w:eastAsia="es-ES_tradnl"/>
        </w:rPr>
        <w:lastRenderedPageBreak/>
        <w:t>“Realizar el análisis de la información del FAFEF proporcionada por la Secret</w:t>
      </w:r>
      <w:r w:rsidRPr="00466855">
        <w:rPr>
          <w:rFonts w:ascii="Century Gothic" w:eastAsia="Times New Roman" w:hAnsi="Century Gothic" w:cs="Times New Roman"/>
          <w:color w:val="000000"/>
          <w:sz w:val="24"/>
          <w:szCs w:val="24"/>
          <w:lang w:val="es-ES_tradnl" w:eastAsia="es-ES_tradnl"/>
        </w:rPr>
        <w:t>aría de</w:t>
      </w:r>
      <w:r>
        <w:rPr>
          <w:rFonts w:ascii="Century Gothic" w:eastAsia="Times New Roman" w:hAnsi="Century Gothic" w:cs="Times New Roman"/>
          <w:color w:val="000000"/>
          <w:sz w:val="24"/>
          <w:szCs w:val="24"/>
          <w:lang w:val="es-ES_tradnl" w:eastAsia="es-ES_tradnl"/>
        </w:rPr>
        <w:t xml:space="preserve"> </w:t>
      </w:r>
      <w:r w:rsidRPr="00466855">
        <w:rPr>
          <w:rFonts w:ascii="Century Gothic" w:eastAsia="Times New Roman" w:hAnsi="Century Gothic" w:cs="Times New Roman"/>
          <w:color w:val="000000"/>
          <w:sz w:val="24"/>
          <w:szCs w:val="24"/>
          <w:lang w:val="es-ES_tradnl" w:eastAsia="es-ES_tradnl"/>
        </w:rPr>
        <w:t>Planeación y Finanzas y la Secretaria de Infraestructura y Desarrollo Urbano del Gobierno</w:t>
      </w:r>
      <w:r>
        <w:rPr>
          <w:rFonts w:ascii="Century Gothic" w:eastAsia="Times New Roman" w:hAnsi="Century Gothic" w:cs="Times New Roman"/>
          <w:color w:val="000000"/>
          <w:sz w:val="24"/>
          <w:szCs w:val="24"/>
          <w:lang w:val="es-ES_tradnl" w:eastAsia="es-ES_tradnl"/>
        </w:rPr>
        <w:t xml:space="preserve"> </w:t>
      </w:r>
      <w:r w:rsidRPr="00466855">
        <w:rPr>
          <w:rFonts w:ascii="Century Gothic" w:eastAsia="Times New Roman" w:hAnsi="Century Gothic" w:cs="Times New Roman"/>
          <w:color w:val="000000"/>
          <w:sz w:val="24"/>
          <w:szCs w:val="24"/>
          <w:lang w:val="es-ES_tradnl" w:eastAsia="es-ES_tradnl"/>
        </w:rPr>
        <w:t>del Estado de los programas de Deuda Pública y de inversión en infraestructura física</w:t>
      </w:r>
      <w:r>
        <w:rPr>
          <w:rFonts w:ascii="Century Gothic" w:eastAsia="Times New Roman" w:hAnsi="Century Gothic" w:cs="Times New Roman"/>
          <w:color w:val="000000"/>
          <w:sz w:val="24"/>
          <w:szCs w:val="24"/>
          <w:lang w:val="es-ES_tradnl" w:eastAsia="es-ES_tradnl"/>
        </w:rPr>
        <w:t>” (OSAFIG, 2016)</w:t>
      </w:r>
      <w:r w:rsidR="003B32A5">
        <w:rPr>
          <w:rStyle w:val="Refdenotaalpie"/>
          <w:rFonts w:ascii="Century Gothic" w:eastAsia="Times New Roman" w:hAnsi="Century Gothic" w:cs="Times New Roman"/>
          <w:color w:val="000000"/>
          <w:sz w:val="24"/>
          <w:szCs w:val="24"/>
          <w:lang w:val="es-ES_tradnl" w:eastAsia="es-ES_tradnl"/>
        </w:rPr>
        <w:footnoteReference w:id="14"/>
      </w:r>
      <w:r w:rsidR="003B32A5">
        <w:rPr>
          <w:rFonts w:ascii="Century Gothic" w:eastAsia="Times New Roman" w:hAnsi="Century Gothic" w:cs="Times New Roman"/>
          <w:color w:val="000000"/>
          <w:sz w:val="24"/>
          <w:szCs w:val="24"/>
          <w:lang w:val="es-ES_tradnl" w:eastAsia="es-ES_tradnl"/>
        </w:rPr>
        <w:t>.</w:t>
      </w:r>
    </w:p>
    <w:p w14:paraId="03BA621B" w14:textId="77777777" w:rsidR="0012591A" w:rsidRDefault="00466855" w:rsidP="0000243F">
      <w:pPr>
        <w:spacing w:after="240"/>
        <w:jc w:val="both"/>
        <w:rPr>
          <w:rFonts w:ascii="Century Gothic" w:eastAsia="Times New Roman" w:hAnsi="Century Gothic" w:cs="Times New Roman"/>
          <w:color w:val="000000"/>
          <w:sz w:val="24"/>
          <w:szCs w:val="24"/>
          <w:lang w:val="es-ES_tradnl" w:eastAsia="es-ES_tradnl"/>
        </w:rPr>
      </w:pPr>
      <w:r>
        <w:rPr>
          <w:rFonts w:ascii="Century Gothic" w:eastAsia="Times New Roman" w:hAnsi="Century Gothic" w:cs="Times New Roman"/>
          <w:color w:val="000000"/>
          <w:sz w:val="24"/>
          <w:szCs w:val="24"/>
          <w:lang w:val="es-ES_tradnl" w:eastAsia="es-ES_tradnl"/>
        </w:rPr>
        <w:t>Sin embargo no se profundiza en un análisis que permita dar recomendaciones (Aspectos Susceptibles de Mejora) en pro de la planeación y eficiencia de los recursos</w:t>
      </w:r>
      <w:r w:rsidR="00A96FDA">
        <w:rPr>
          <w:rFonts w:ascii="Century Gothic" w:eastAsia="Times New Roman" w:hAnsi="Century Gothic" w:cs="Times New Roman"/>
          <w:color w:val="000000"/>
          <w:sz w:val="24"/>
          <w:szCs w:val="24"/>
          <w:lang w:val="es-ES_tradnl" w:eastAsia="es-ES_tradnl"/>
        </w:rPr>
        <w:t>, pues el análisis se centra más en cómo se distribuyó el recurso, en que obras y que este dentro de la normatividad</w:t>
      </w:r>
      <w:r w:rsidR="0000243F">
        <w:rPr>
          <w:rFonts w:ascii="Century Gothic" w:eastAsia="Times New Roman" w:hAnsi="Century Gothic" w:cs="Times New Roman"/>
          <w:color w:val="000000"/>
          <w:sz w:val="24"/>
          <w:szCs w:val="24"/>
          <w:lang w:val="es-ES_tradnl" w:eastAsia="es-ES_tradnl"/>
        </w:rPr>
        <w:t xml:space="preserve"> y emiten un dictamen:</w:t>
      </w:r>
    </w:p>
    <w:p w14:paraId="205247E7" w14:textId="77777777" w:rsidR="00466855" w:rsidRDefault="00A96FDA" w:rsidP="0000243F">
      <w:pPr>
        <w:spacing w:after="240"/>
        <w:ind w:left="284" w:right="333"/>
        <w:jc w:val="both"/>
        <w:rPr>
          <w:rFonts w:ascii="Century Gothic" w:eastAsia="Times New Roman" w:hAnsi="Century Gothic" w:cs="Times New Roman"/>
          <w:color w:val="000000"/>
          <w:sz w:val="24"/>
          <w:szCs w:val="24"/>
          <w:lang w:val="es-ES_tradnl" w:eastAsia="es-ES_tradnl"/>
        </w:rPr>
      </w:pPr>
      <w:r w:rsidRPr="0000243F">
        <w:rPr>
          <w:rFonts w:ascii="Century Gothic" w:eastAsia="Times New Roman" w:hAnsi="Century Gothic" w:cs="Times New Roman"/>
          <w:color w:val="000000"/>
          <w:sz w:val="24"/>
          <w:szCs w:val="24"/>
          <w:lang w:val="es-ES_tradnl" w:eastAsia="es-ES_tradnl"/>
        </w:rPr>
        <w:t>El OSAFIG considera que en términos generales, el Fondo de Aportaciones para el Fortalecimiento de las Entidades Federativas (FAFEF), se destinó al pago de deuda pública e infraestructura física con la finalidad de coadyuvar al fortalecimiento financiero de la entidad y a la inversión pública del Estado cumpliendo con los objetivos y fines del mismo, en virtud de lo antes expuesto se emite un Dictamen Positivo</w:t>
      </w:r>
      <w:r w:rsidR="0000243F">
        <w:rPr>
          <w:rFonts w:ascii="Century Gothic" w:eastAsia="Times New Roman" w:hAnsi="Century Gothic" w:cs="Times New Roman"/>
          <w:color w:val="000000"/>
          <w:sz w:val="24"/>
          <w:szCs w:val="24"/>
          <w:lang w:val="es-ES_tradnl" w:eastAsia="es-ES_tradnl"/>
        </w:rPr>
        <w:t>. (OSAFIG, 2016).</w:t>
      </w:r>
    </w:p>
    <w:p w14:paraId="0F9D3533" w14:textId="77777777" w:rsidR="00466855" w:rsidRDefault="0000243F" w:rsidP="00F32232">
      <w:pPr>
        <w:spacing w:after="240"/>
        <w:jc w:val="both"/>
        <w:rPr>
          <w:rFonts w:ascii="Century Gothic" w:eastAsia="Times New Roman" w:hAnsi="Century Gothic" w:cs="Times New Roman"/>
          <w:color w:val="000000"/>
          <w:sz w:val="24"/>
          <w:szCs w:val="24"/>
          <w:lang w:val="es-ES_tradnl" w:eastAsia="es-ES_tradnl"/>
        </w:rPr>
      </w:pPr>
      <w:r>
        <w:rPr>
          <w:rFonts w:ascii="Century Gothic" w:eastAsia="Times New Roman" w:hAnsi="Century Gothic" w:cs="Times New Roman"/>
          <w:color w:val="000000"/>
          <w:sz w:val="24"/>
          <w:szCs w:val="24"/>
          <w:lang w:val="es-ES_tradnl" w:eastAsia="es-ES_tradnl"/>
        </w:rPr>
        <w:t>Así, se concluye que la SEIDUR tiene una tarea pendiente una vez concluida esta evaluación, de la cual se derivará una serie de recomendaciones que deben ser atendidas en pro de un mejor desempeño del programa presupuestario.</w:t>
      </w:r>
    </w:p>
    <w:p w14:paraId="1D0E958F" w14:textId="77777777" w:rsidR="00940A4E" w:rsidRDefault="00252B54" w:rsidP="00C06AC0">
      <w:pPr>
        <w:pStyle w:val="Ttulo2"/>
        <w:spacing w:before="0" w:after="240"/>
        <w:ind w:left="284"/>
        <w:rPr>
          <w:rFonts w:ascii="Century Gothic" w:hAnsi="Century Gothic"/>
          <w:color w:val="0E4E7A"/>
          <w:sz w:val="28"/>
        </w:rPr>
      </w:pPr>
      <w:bookmarkStart w:id="34" w:name="_Toc505364433"/>
      <w:bookmarkStart w:id="35" w:name="_Toc511859780"/>
      <w:r>
        <w:rPr>
          <w:rFonts w:ascii="Century Gothic" w:hAnsi="Century Gothic"/>
          <w:color w:val="0E4E7A"/>
          <w:sz w:val="28"/>
        </w:rPr>
        <w:t>2.2</w:t>
      </w:r>
      <w:r w:rsidR="00940A4E">
        <w:rPr>
          <w:rFonts w:ascii="Century Gothic" w:hAnsi="Century Gothic"/>
          <w:color w:val="0E4E7A"/>
          <w:sz w:val="28"/>
        </w:rPr>
        <w:t>.</w:t>
      </w:r>
      <w:r>
        <w:rPr>
          <w:rFonts w:ascii="Century Gothic" w:hAnsi="Century Gothic"/>
          <w:color w:val="0E4E7A"/>
          <w:sz w:val="28"/>
        </w:rPr>
        <w:t>3</w:t>
      </w:r>
      <w:r w:rsidR="00940A4E" w:rsidRPr="00745740">
        <w:rPr>
          <w:rFonts w:ascii="Century Gothic" w:hAnsi="Century Gothic"/>
          <w:color w:val="0E4E7A"/>
          <w:sz w:val="28"/>
        </w:rPr>
        <w:t xml:space="preserve"> </w:t>
      </w:r>
      <w:r w:rsidR="00940A4E" w:rsidRPr="00940A4E">
        <w:rPr>
          <w:rFonts w:ascii="Century Gothic" w:hAnsi="Century Gothic"/>
          <w:color w:val="0E4E7A"/>
          <w:sz w:val="28"/>
        </w:rPr>
        <w:t>De la generación de información</w:t>
      </w:r>
      <w:r w:rsidR="00940A4E">
        <w:rPr>
          <w:rFonts w:ascii="Century Gothic" w:hAnsi="Century Gothic"/>
          <w:color w:val="0E4E7A"/>
          <w:sz w:val="28"/>
        </w:rPr>
        <w:t>.</w:t>
      </w:r>
      <w:bookmarkEnd w:id="34"/>
      <w:bookmarkEnd w:id="35"/>
    </w:p>
    <w:p w14:paraId="538C52FC" w14:textId="77777777" w:rsidR="00DA5758" w:rsidRDefault="004B27DB" w:rsidP="00C06AC0">
      <w:pPr>
        <w:spacing w:after="240"/>
        <w:jc w:val="both"/>
        <w:rPr>
          <w:rFonts w:ascii="Century Gothic" w:eastAsia="Times New Roman" w:hAnsi="Century Gothic" w:cs="Times New Roman"/>
          <w:color w:val="000000"/>
          <w:sz w:val="24"/>
          <w:szCs w:val="24"/>
          <w:lang w:eastAsia="es-ES_tradnl"/>
        </w:rPr>
      </w:pPr>
      <w:r>
        <w:rPr>
          <w:rFonts w:ascii="Century Gothic" w:eastAsia="Times New Roman" w:hAnsi="Century Gothic" w:cs="Times New Roman"/>
          <w:color w:val="000000"/>
          <w:sz w:val="24"/>
          <w:szCs w:val="24"/>
          <w:lang w:eastAsia="es-ES_tradnl"/>
        </w:rPr>
        <w:t>Esto es referente a si el programa recolecta información de l</w:t>
      </w:r>
      <w:r w:rsidRPr="004B27DB">
        <w:rPr>
          <w:rFonts w:ascii="Century Gothic" w:eastAsia="Times New Roman" w:hAnsi="Century Gothic" w:cs="Times New Roman"/>
          <w:color w:val="000000"/>
          <w:sz w:val="24"/>
          <w:szCs w:val="24"/>
          <w:lang w:eastAsia="es-ES_tradnl"/>
        </w:rPr>
        <w:t>as características socioeconómicas de las personas que no son beneficiarias</w:t>
      </w:r>
      <w:r>
        <w:rPr>
          <w:rFonts w:ascii="Century Gothic" w:eastAsia="Times New Roman" w:hAnsi="Century Gothic" w:cs="Times New Roman"/>
          <w:color w:val="000000"/>
          <w:sz w:val="24"/>
          <w:szCs w:val="24"/>
          <w:lang w:eastAsia="es-ES_tradnl"/>
        </w:rPr>
        <w:t>, l</w:t>
      </w:r>
      <w:r w:rsidRPr="004B27DB">
        <w:rPr>
          <w:rFonts w:ascii="Century Gothic" w:eastAsia="Times New Roman" w:hAnsi="Century Gothic" w:cs="Times New Roman"/>
          <w:color w:val="000000"/>
          <w:sz w:val="24"/>
          <w:szCs w:val="24"/>
          <w:lang w:eastAsia="es-ES_tradnl"/>
        </w:rPr>
        <w:t>os tipos y montos de apoyo otorgados</w:t>
      </w:r>
      <w:r>
        <w:rPr>
          <w:rFonts w:ascii="Century Gothic" w:eastAsia="Times New Roman" w:hAnsi="Century Gothic" w:cs="Times New Roman"/>
          <w:color w:val="000000"/>
          <w:sz w:val="24"/>
          <w:szCs w:val="24"/>
          <w:lang w:eastAsia="es-ES_tradnl"/>
        </w:rPr>
        <w:t xml:space="preserve"> y de cómo estos contribuyen</w:t>
      </w:r>
      <w:r w:rsidRPr="004B27DB">
        <w:rPr>
          <w:rFonts w:ascii="Century Gothic" w:eastAsia="Times New Roman" w:hAnsi="Century Gothic" w:cs="Times New Roman"/>
          <w:color w:val="000000"/>
          <w:sz w:val="24"/>
          <w:szCs w:val="24"/>
          <w:lang w:eastAsia="es-ES_tradnl"/>
        </w:rPr>
        <w:t xml:space="preserve"> a los objetivos del programa sectorial, </w:t>
      </w:r>
      <w:r>
        <w:rPr>
          <w:rFonts w:ascii="Century Gothic" w:eastAsia="Times New Roman" w:hAnsi="Century Gothic" w:cs="Times New Roman"/>
          <w:color w:val="000000"/>
          <w:sz w:val="24"/>
          <w:szCs w:val="24"/>
          <w:lang w:eastAsia="es-ES_tradnl"/>
        </w:rPr>
        <w:t>estatal</w:t>
      </w:r>
      <w:r w:rsidRPr="004B27DB">
        <w:rPr>
          <w:rFonts w:ascii="Century Gothic" w:eastAsia="Times New Roman" w:hAnsi="Century Gothic" w:cs="Times New Roman"/>
          <w:color w:val="000000"/>
          <w:sz w:val="24"/>
          <w:szCs w:val="24"/>
          <w:lang w:eastAsia="es-ES_tradnl"/>
        </w:rPr>
        <w:t xml:space="preserve"> o nacional</w:t>
      </w:r>
      <w:r>
        <w:rPr>
          <w:rFonts w:ascii="Century Gothic" w:eastAsia="Times New Roman" w:hAnsi="Century Gothic" w:cs="Times New Roman"/>
          <w:color w:val="000000"/>
          <w:sz w:val="24"/>
          <w:szCs w:val="24"/>
          <w:lang w:eastAsia="es-ES_tradnl"/>
        </w:rPr>
        <w:t>.</w:t>
      </w:r>
    </w:p>
    <w:p w14:paraId="495864B0" w14:textId="77777777" w:rsidR="00D10EF4" w:rsidRDefault="00D10EF4" w:rsidP="00D10EF4">
      <w:pPr>
        <w:spacing w:after="240"/>
        <w:jc w:val="both"/>
        <w:rPr>
          <w:rFonts w:ascii="Century Gothic" w:eastAsia="Times New Roman" w:hAnsi="Century Gothic" w:cs="Times New Roman"/>
          <w:color w:val="000000"/>
          <w:sz w:val="24"/>
          <w:szCs w:val="24"/>
          <w:lang w:eastAsia="es-ES_tradnl"/>
        </w:rPr>
      </w:pPr>
      <w:r>
        <w:rPr>
          <w:rFonts w:ascii="Century Gothic" w:eastAsia="Times New Roman" w:hAnsi="Century Gothic" w:cs="Times New Roman"/>
          <w:color w:val="000000"/>
          <w:sz w:val="24"/>
          <w:szCs w:val="24"/>
          <w:lang w:eastAsia="es-ES_tradnl"/>
        </w:rPr>
        <w:t>Ante ello la SEIDUR manifestó:</w:t>
      </w:r>
    </w:p>
    <w:p w14:paraId="5F1B974A" w14:textId="77777777" w:rsidR="004B27DB" w:rsidRDefault="00D10EF4" w:rsidP="00D10EF4">
      <w:pPr>
        <w:spacing w:after="240"/>
        <w:ind w:left="284" w:right="333"/>
        <w:jc w:val="both"/>
        <w:rPr>
          <w:rFonts w:ascii="Century Gothic" w:eastAsia="Times New Roman" w:hAnsi="Century Gothic" w:cs="Times New Roman"/>
          <w:color w:val="000000"/>
          <w:sz w:val="24"/>
          <w:szCs w:val="24"/>
          <w:lang w:eastAsia="es-ES_tradnl"/>
        </w:rPr>
      </w:pPr>
      <w:r w:rsidRPr="00D10EF4">
        <w:rPr>
          <w:rFonts w:ascii="Century Gothic" w:eastAsia="Times New Roman" w:hAnsi="Century Gothic" w:cs="Times New Roman"/>
          <w:color w:val="000000"/>
          <w:sz w:val="24"/>
          <w:szCs w:val="24"/>
          <w:lang w:eastAsia="es-ES_tradnl"/>
        </w:rPr>
        <w:t xml:space="preserve">Si, el Programa, así como la totalidad de los programas ejecutados por la Secretaría son monitoreados durante todo el proceso de la obra, por lo que son adecuados los mecanismos, teniendo un alcance suficiente </w:t>
      </w:r>
      <w:r w:rsidRPr="00D10EF4">
        <w:rPr>
          <w:rFonts w:ascii="Century Gothic" w:eastAsia="Times New Roman" w:hAnsi="Century Gothic" w:cs="Times New Roman"/>
          <w:color w:val="000000"/>
          <w:sz w:val="24"/>
          <w:szCs w:val="24"/>
          <w:lang w:eastAsia="es-ES_tradnl"/>
        </w:rPr>
        <w:lastRenderedPageBreak/>
        <w:t>para recabar los datos suficientes y generar información adecuada para las distintas necesidades de la Dependencia</w:t>
      </w:r>
      <w:r>
        <w:rPr>
          <w:rStyle w:val="Refdenotaalpie"/>
          <w:rFonts w:ascii="Century Gothic" w:eastAsia="Times New Roman" w:hAnsi="Century Gothic" w:cs="Times New Roman"/>
          <w:color w:val="000000"/>
          <w:sz w:val="24"/>
          <w:szCs w:val="24"/>
          <w:lang w:eastAsia="es-ES_tradnl"/>
        </w:rPr>
        <w:footnoteReference w:id="15"/>
      </w:r>
      <w:r w:rsidRPr="00D10EF4">
        <w:rPr>
          <w:rFonts w:ascii="Century Gothic" w:eastAsia="Times New Roman" w:hAnsi="Century Gothic" w:cs="Times New Roman"/>
          <w:color w:val="000000"/>
          <w:sz w:val="24"/>
          <w:szCs w:val="24"/>
          <w:lang w:eastAsia="es-ES_tradnl"/>
        </w:rPr>
        <w:t>.</w:t>
      </w:r>
    </w:p>
    <w:p w14:paraId="4087EC8A" w14:textId="77777777" w:rsidR="00D10EF4" w:rsidRDefault="00D10EF4" w:rsidP="00D10EF4">
      <w:pPr>
        <w:spacing w:after="240"/>
        <w:jc w:val="both"/>
        <w:rPr>
          <w:rFonts w:ascii="Century Gothic" w:hAnsi="Century Gothic"/>
          <w:sz w:val="24"/>
        </w:rPr>
      </w:pPr>
      <w:r>
        <w:rPr>
          <w:rFonts w:ascii="Century Gothic" w:eastAsia="Times New Roman" w:hAnsi="Century Gothic" w:cs="Times New Roman"/>
          <w:color w:val="000000"/>
          <w:sz w:val="24"/>
          <w:szCs w:val="24"/>
          <w:lang w:eastAsia="es-ES_tradnl"/>
        </w:rPr>
        <w:t xml:space="preserve">En la evidencia suministrada que son las Actas de entrega recepción de la obras, </w:t>
      </w:r>
      <w:r>
        <w:rPr>
          <w:rFonts w:ascii="Century Gothic" w:hAnsi="Century Gothic"/>
          <w:sz w:val="24"/>
        </w:rPr>
        <w:t>se pudo evidenciar que estas contienen datos tales como: número de contrato, convenio, nombre de la obra, ubicación, descripción de los trabajos realizados, inversión, y están firmado por el encargado de recibir la obra por parte de la SEIDUR (Director de obra pública) y de quien la entrega (Empresa contratista).</w:t>
      </w:r>
    </w:p>
    <w:p w14:paraId="398A513C" w14:textId="77777777" w:rsidR="00D10EF4" w:rsidRDefault="00516321" w:rsidP="00C06AC0">
      <w:pPr>
        <w:spacing w:after="240"/>
        <w:jc w:val="both"/>
        <w:rPr>
          <w:rFonts w:ascii="Century Gothic" w:eastAsia="Times New Roman" w:hAnsi="Century Gothic" w:cs="Times New Roman"/>
          <w:color w:val="000000"/>
          <w:sz w:val="24"/>
          <w:szCs w:val="24"/>
          <w:lang w:eastAsia="es-ES_tradnl"/>
        </w:rPr>
      </w:pPr>
      <w:r>
        <w:rPr>
          <w:rFonts w:ascii="Century Gothic" w:eastAsia="Times New Roman" w:hAnsi="Century Gothic" w:cs="Times New Roman"/>
          <w:color w:val="000000"/>
          <w:sz w:val="24"/>
          <w:szCs w:val="24"/>
          <w:lang w:eastAsia="es-ES_tradnl"/>
        </w:rPr>
        <w:t>Sin embargo, dicha información no está sistematizada y tampoco se evidencio que se cuente con información sobre l</w:t>
      </w:r>
      <w:r w:rsidRPr="00516321">
        <w:rPr>
          <w:rFonts w:ascii="Century Gothic" w:eastAsia="Times New Roman" w:hAnsi="Century Gothic" w:cs="Times New Roman"/>
          <w:color w:val="000000"/>
          <w:sz w:val="24"/>
          <w:szCs w:val="24"/>
          <w:lang w:eastAsia="es-ES_tradnl"/>
        </w:rPr>
        <w:t>as características socioeconómicas de las personas que no son beneficiarias</w:t>
      </w:r>
      <w:r>
        <w:rPr>
          <w:rFonts w:ascii="Century Gothic" w:eastAsia="Times New Roman" w:hAnsi="Century Gothic" w:cs="Times New Roman"/>
          <w:color w:val="000000"/>
          <w:sz w:val="24"/>
          <w:szCs w:val="24"/>
          <w:lang w:eastAsia="es-ES_tradnl"/>
        </w:rPr>
        <w:t xml:space="preserve"> de cada una de las obras.</w:t>
      </w:r>
    </w:p>
    <w:p w14:paraId="0A5B423E" w14:textId="77777777" w:rsidR="00516321" w:rsidRDefault="00516321" w:rsidP="00C06AC0">
      <w:pPr>
        <w:spacing w:after="240"/>
        <w:jc w:val="both"/>
        <w:rPr>
          <w:rFonts w:ascii="Century Gothic" w:eastAsia="Times New Roman" w:hAnsi="Century Gothic" w:cs="Times New Roman"/>
          <w:color w:val="000000"/>
          <w:sz w:val="24"/>
          <w:szCs w:val="24"/>
          <w:lang w:eastAsia="es-ES_tradnl"/>
        </w:rPr>
      </w:pPr>
      <w:r>
        <w:rPr>
          <w:rFonts w:ascii="Century Gothic" w:eastAsia="Times New Roman" w:hAnsi="Century Gothic" w:cs="Times New Roman"/>
          <w:color w:val="000000"/>
          <w:sz w:val="24"/>
          <w:szCs w:val="24"/>
          <w:lang w:eastAsia="es-ES_tradnl"/>
        </w:rPr>
        <w:t>Por lo cual se replantea nuevamente la recomendación de la necesidad de realizar un diagnóstico integral de las condiciones, características y requerimientos en infraestructura no habitacional en el estado de Colima. Esto será de vital importancia para una adecuada planeación y posterior evaluación de la contribución del programa a logro de estas necesidades.</w:t>
      </w:r>
    </w:p>
    <w:p w14:paraId="6A08F706" w14:textId="77777777" w:rsidR="00940A4E" w:rsidRPr="00475843" w:rsidRDefault="008D34E8" w:rsidP="00D67045">
      <w:pPr>
        <w:pStyle w:val="Ttulo1"/>
        <w:spacing w:before="0" w:after="240"/>
        <w:rPr>
          <w:rFonts w:ascii="Century Gothic" w:hAnsi="Century Gothic"/>
          <w:b/>
        </w:rPr>
      </w:pPr>
      <w:bookmarkStart w:id="36" w:name="_Toc505364434"/>
      <w:bookmarkStart w:id="37" w:name="_Toc511859781"/>
      <w:r w:rsidRPr="00475843">
        <w:rPr>
          <w:rFonts w:ascii="Century Gothic" w:hAnsi="Century Gothic"/>
          <w:b/>
        </w:rPr>
        <w:t>2.</w:t>
      </w:r>
      <w:r w:rsidR="00252B54" w:rsidRPr="00475843">
        <w:rPr>
          <w:rFonts w:ascii="Century Gothic" w:hAnsi="Century Gothic"/>
          <w:b/>
        </w:rPr>
        <w:t>3</w:t>
      </w:r>
      <w:r w:rsidR="00940A4E" w:rsidRPr="00475843">
        <w:rPr>
          <w:rFonts w:ascii="Century Gothic" w:hAnsi="Century Gothic"/>
          <w:b/>
        </w:rPr>
        <w:t xml:space="preserve">. </w:t>
      </w:r>
      <w:r w:rsidR="00677BB7" w:rsidRPr="00475843">
        <w:rPr>
          <w:rFonts w:ascii="Century Gothic" w:hAnsi="Century Gothic"/>
          <w:b/>
        </w:rPr>
        <w:t>Cobertura y focalización</w:t>
      </w:r>
      <w:bookmarkEnd w:id="36"/>
      <w:bookmarkEnd w:id="37"/>
    </w:p>
    <w:p w14:paraId="74F98B5A" w14:textId="77777777" w:rsidR="00940A4E" w:rsidRPr="00475843" w:rsidRDefault="00252B54" w:rsidP="00D67045">
      <w:pPr>
        <w:pStyle w:val="Ttulo2"/>
        <w:spacing w:before="0" w:after="240"/>
        <w:rPr>
          <w:rFonts w:ascii="Century Gothic" w:hAnsi="Century Gothic"/>
          <w:color w:val="0E4E7A"/>
          <w:sz w:val="28"/>
        </w:rPr>
      </w:pPr>
      <w:bookmarkStart w:id="38" w:name="_Toc505364435"/>
      <w:bookmarkStart w:id="39" w:name="_Toc511859782"/>
      <w:r w:rsidRPr="00475843">
        <w:rPr>
          <w:rFonts w:ascii="Century Gothic" w:hAnsi="Century Gothic"/>
          <w:color w:val="0E4E7A"/>
          <w:sz w:val="28"/>
        </w:rPr>
        <w:t>2.3</w:t>
      </w:r>
      <w:r w:rsidR="00940A4E" w:rsidRPr="00475843">
        <w:rPr>
          <w:rFonts w:ascii="Century Gothic" w:hAnsi="Century Gothic"/>
          <w:color w:val="0E4E7A"/>
          <w:sz w:val="28"/>
        </w:rPr>
        <w:t>.1. Análisis de cobertura.</w:t>
      </w:r>
      <w:bookmarkEnd w:id="38"/>
      <w:bookmarkEnd w:id="39"/>
    </w:p>
    <w:p w14:paraId="2463E44C" w14:textId="77777777" w:rsidR="009D7161" w:rsidRDefault="00D67045" w:rsidP="00D67045">
      <w:pPr>
        <w:spacing w:after="240"/>
        <w:jc w:val="both"/>
        <w:rPr>
          <w:rFonts w:ascii="Century Gothic" w:hAnsi="Century Gothic"/>
          <w:sz w:val="24"/>
        </w:rPr>
      </w:pPr>
      <w:r w:rsidRPr="00D67045">
        <w:rPr>
          <w:rFonts w:ascii="Century Gothic" w:hAnsi="Century Gothic"/>
          <w:sz w:val="24"/>
        </w:rPr>
        <w:t xml:space="preserve">Este apartado </w:t>
      </w:r>
      <w:r>
        <w:rPr>
          <w:rFonts w:ascii="Century Gothic" w:hAnsi="Century Gothic"/>
          <w:sz w:val="24"/>
        </w:rPr>
        <w:t xml:space="preserve">tiene como </w:t>
      </w:r>
      <w:r w:rsidRPr="00D67045">
        <w:rPr>
          <w:rFonts w:ascii="Century Gothic" w:hAnsi="Century Gothic"/>
          <w:sz w:val="24"/>
        </w:rPr>
        <w:t>propósito evaluar</w:t>
      </w:r>
      <w:r>
        <w:rPr>
          <w:rFonts w:ascii="Century Gothic" w:hAnsi="Century Gothic"/>
          <w:sz w:val="24"/>
        </w:rPr>
        <w:t xml:space="preserve"> si el programa </w:t>
      </w:r>
      <w:r w:rsidRPr="00D67045">
        <w:rPr>
          <w:rFonts w:ascii="Century Gothic" w:hAnsi="Century Gothic"/>
          <w:sz w:val="24"/>
        </w:rPr>
        <w:t>cuenta con mecanismos para identificar su población objetivo</w:t>
      </w:r>
      <w:r>
        <w:rPr>
          <w:rFonts w:ascii="Century Gothic" w:hAnsi="Century Gothic"/>
          <w:sz w:val="24"/>
        </w:rPr>
        <w:t xml:space="preserve"> </w:t>
      </w:r>
      <w:r w:rsidRPr="00D67045">
        <w:rPr>
          <w:rFonts w:ascii="Century Gothic" w:hAnsi="Century Gothic"/>
          <w:sz w:val="24"/>
        </w:rPr>
        <w:t xml:space="preserve">y una estrategia de cobertura para </w:t>
      </w:r>
      <w:r>
        <w:rPr>
          <w:rFonts w:ascii="Century Gothic" w:hAnsi="Century Gothic"/>
          <w:sz w:val="24"/>
        </w:rPr>
        <w:t>atender a la población objetivo.</w:t>
      </w:r>
    </w:p>
    <w:p w14:paraId="273A00F7" w14:textId="77777777" w:rsidR="00D67045" w:rsidRDefault="008E2CDE" w:rsidP="00D67045">
      <w:pPr>
        <w:spacing w:after="240"/>
        <w:jc w:val="both"/>
        <w:rPr>
          <w:rFonts w:ascii="Century Gothic" w:hAnsi="Century Gothic"/>
          <w:sz w:val="24"/>
        </w:rPr>
      </w:pPr>
      <w:r>
        <w:rPr>
          <w:rFonts w:ascii="Century Gothic" w:hAnsi="Century Gothic"/>
          <w:sz w:val="24"/>
        </w:rPr>
        <w:t>En el caso de la infraestructura deportiva la SEIDUR manifestó: “</w:t>
      </w:r>
      <w:r w:rsidRPr="008E2CDE">
        <w:rPr>
          <w:rFonts w:ascii="Century Gothic" w:hAnsi="Century Gothic"/>
          <w:sz w:val="24"/>
        </w:rPr>
        <w:t>Para la realización del el programa, se cuenta con estadísticas proporcionadas por el INCODE que muestran el acceso de deportistas con el que cuenta la unidad Morelos lo cual nos marca la población objetivo a la que se satisface con el programa</w:t>
      </w:r>
      <w:r>
        <w:rPr>
          <w:rFonts w:ascii="Century Gothic" w:hAnsi="Century Gothic"/>
          <w:sz w:val="24"/>
        </w:rPr>
        <w:t>”</w:t>
      </w:r>
      <w:r>
        <w:rPr>
          <w:rStyle w:val="Refdenotaalpie"/>
          <w:rFonts w:ascii="Century Gothic" w:hAnsi="Century Gothic"/>
          <w:sz w:val="24"/>
        </w:rPr>
        <w:footnoteReference w:id="16"/>
      </w:r>
      <w:r>
        <w:rPr>
          <w:rFonts w:ascii="Century Gothic" w:hAnsi="Century Gothic"/>
          <w:sz w:val="24"/>
        </w:rPr>
        <w:t>.</w:t>
      </w:r>
    </w:p>
    <w:p w14:paraId="7743D6E6" w14:textId="77777777" w:rsidR="00D67045" w:rsidRDefault="00E80313" w:rsidP="00D67045">
      <w:pPr>
        <w:spacing w:after="240"/>
        <w:jc w:val="both"/>
        <w:rPr>
          <w:rFonts w:ascii="Century Gothic" w:hAnsi="Century Gothic"/>
          <w:sz w:val="24"/>
        </w:rPr>
      </w:pPr>
      <w:r>
        <w:rPr>
          <w:rFonts w:ascii="Century Gothic" w:hAnsi="Century Gothic"/>
          <w:sz w:val="24"/>
        </w:rPr>
        <w:lastRenderedPageBreak/>
        <w:t>Para el año 2017 se registra los siguientes acceso</w:t>
      </w:r>
      <w:r w:rsidR="00ED58DA">
        <w:rPr>
          <w:rFonts w:ascii="Century Gothic" w:hAnsi="Century Gothic"/>
          <w:sz w:val="24"/>
        </w:rPr>
        <w:t>s</w:t>
      </w:r>
      <w:r>
        <w:rPr>
          <w:rFonts w:ascii="Century Gothic" w:hAnsi="Century Gothic"/>
          <w:sz w:val="24"/>
        </w:rPr>
        <w:t xml:space="preserve"> en específico a esta unidad deportiva:</w:t>
      </w:r>
    </w:p>
    <w:tbl>
      <w:tblPr>
        <w:tblStyle w:val="Tablaconcuadrcula"/>
        <w:tblW w:w="0" w:type="auto"/>
        <w:jc w:val="center"/>
        <w:tblLook w:val="04A0" w:firstRow="1" w:lastRow="0" w:firstColumn="1" w:lastColumn="0" w:noHBand="0" w:noVBand="1"/>
      </w:tblPr>
      <w:tblGrid>
        <w:gridCol w:w="3936"/>
        <w:gridCol w:w="2409"/>
      </w:tblGrid>
      <w:tr w:rsidR="00E80313" w:rsidRPr="00E80313" w14:paraId="68257E4F" w14:textId="77777777" w:rsidTr="00ED58DA">
        <w:trPr>
          <w:jc w:val="center"/>
        </w:trPr>
        <w:tc>
          <w:tcPr>
            <w:tcW w:w="6345" w:type="dxa"/>
            <w:gridSpan w:val="2"/>
            <w:shd w:val="clear" w:color="auto" w:fill="0E4E7A"/>
            <w:vAlign w:val="center"/>
          </w:tcPr>
          <w:p w14:paraId="0098273A" w14:textId="77777777" w:rsidR="00E80313" w:rsidRPr="00E80313" w:rsidRDefault="003832EF" w:rsidP="00E80313">
            <w:pPr>
              <w:spacing w:after="120"/>
              <w:jc w:val="center"/>
              <w:rPr>
                <w:rFonts w:cstheme="minorHAnsi"/>
                <w:b/>
                <w:color w:val="FFFFFF" w:themeColor="background1"/>
                <w:szCs w:val="20"/>
              </w:rPr>
            </w:pPr>
            <w:r>
              <w:rPr>
                <w:rFonts w:cstheme="minorHAnsi"/>
                <w:b/>
                <w:color w:val="FFFFFF" w:themeColor="background1"/>
                <w:szCs w:val="20"/>
              </w:rPr>
              <w:t>Cuadro 2.13</w:t>
            </w:r>
            <w:r w:rsidR="00E80313" w:rsidRPr="00E80313">
              <w:rPr>
                <w:rFonts w:cstheme="minorHAnsi"/>
                <w:b/>
                <w:color w:val="FFFFFF" w:themeColor="background1"/>
                <w:szCs w:val="20"/>
              </w:rPr>
              <w:t>. Registros Asistentes Unidad Deportiva Morelos 2017.</w:t>
            </w:r>
          </w:p>
        </w:tc>
      </w:tr>
      <w:tr w:rsidR="00E80313" w:rsidRPr="00E80313" w14:paraId="229A26EA" w14:textId="77777777" w:rsidTr="00ED58DA">
        <w:trPr>
          <w:jc w:val="center"/>
        </w:trPr>
        <w:tc>
          <w:tcPr>
            <w:tcW w:w="3936" w:type="dxa"/>
            <w:shd w:val="clear" w:color="auto" w:fill="0E4E7A"/>
            <w:vAlign w:val="center"/>
          </w:tcPr>
          <w:p w14:paraId="016B9D48" w14:textId="77777777" w:rsidR="00E80313" w:rsidRPr="00E80313" w:rsidRDefault="00E80313" w:rsidP="00E80313">
            <w:pPr>
              <w:spacing w:after="120"/>
              <w:jc w:val="center"/>
              <w:rPr>
                <w:rFonts w:cstheme="minorHAnsi"/>
                <w:b/>
                <w:color w:val="FFFFFF" w:themeColor="background1"/>
                <w:szCs w:val="20"/>
              </w:rPr>
            </w:pPr>
            <w:r w:rsidRPr="00E80313">
              <w:rPr>
                <w:rFonts w:cstheme="minorHAnsi"/>
                <w:b/>
                <w:color w:val="FFFFFF" w:themeColor="background1"/>
                <w:szCs w:val="20"/>
              </w:rPr>
              <w:t>Instalación</w:t>
            </w:r>
          </w:p>
        </w:tc>
        <w:tc>
          <w:tcPr>
            <w:tcW w:w="2409" w:type="dxa"/>
            <w:shd w:val="clear" w:color="auto" w:fill="0E4E7A"/>
            <w:vAlign w:val="center"/>
          </w:tcPr>
          <w:p w14:paraId="187D8669" w14:textId="77777777" w:rsidR="00E80313" w:rsidRPr="00E80313" w:rsidRDefault="00E80313" w:rsidP="00E80313">
            <w:pPr>
              <w:spacing w:after="120"/>
              <w:jc w:val="center"/>
              <w:rPr>
                <w:rFonts w:cstheme="minorHAnsi"/>
                <w:b/>
                <w:color w:val="FFFFFF" w:themeColor="background1"/>
                <w:szCs w:val="20"/>
              </w:rPr>
            </w:pPr>
            <w:r w:rsidRPr="00E80313">
              <w:rPr>
                <w:rFonts w:cstheme="minorHAnsi"/>
                <w:b/>
                <w:color w:val="FFFFFF" w:themeColor="background1"/>
                <w:szCs w:val="20"/>
              </w:rPr>
              <w:t>Registros 2017</w:t>
            </w:r>
          </w:p>
        </w:tc>
      </w:tr>
      <w:tr w:rsidR="00E80313" w:rsidRPr="00E80313" w14:paraId="00905F12" w14:textId="77777777" w:rsidTr="00ED58DA">
        <w:trPr>
          <w:jc w:val="center"/>
        </w:trPr>
        <w:tc>
          <w:tcPr>
            <w:tcW w:w="3936" w:type="dxa"/>
          </w:tcPr>
          <w:p w14:paraId="0ED3A9E7" w14:textId="77777777" w:rsidR="00E80313" w:rsidRPr="00E80313" w:rsidRDefault="00E80313" w:rsidP="00E80313">
            <w:pPr>
              <w:spacing w:after="120"/>
              <w:jc w:val="both"/>
              <w:rPr>
                <w:rFonts w:cstheme="minorHAnsi"/>
                <w:szCs w:val="20"/>
              </w:rPr>
            </w:pPr>
            <w:r w:rsidRPr="00E80313">
              <w:rPr>
                <w:rFonts w:cstheme="minorHAnsi"/>
                <w:szCs w:val="20"/>
              </w:rPr>
              <w:t>Adultos rehabilitación alberca</w:t>
            </w:r>
          </w:p>
        </w:tc>
        <w:tc>
          <w:tcPr>
            <w:tcW w:w="2409" w:type="dxa"/>
          </w:tcPr>
          <w:p w14:paraId="6929B84D" w14:textId="77777777" w:rsidR="00E80313" w:rsidRPr="00E80313" w:rsidRDefault="00E80313" w:rsidP="00ED58DA">
            <w:pPr>
              <w:spacing w:after="120"/>
              <w:jc w:val="center"/>
              <w:rPr>
                <w:rFonts w:cstheme="minorHAnsi"/>
                <w:szCs w:val="20"/>
              </w:rPr>
            </w:pPr>
            <w:r>
              <w:rPr>
                <w:rFonts w:cstheme="minorHAnsi"/>
                <w:szCs w:val="20"/>
              </w:rPr>
              <w:t>7</w:t>
            </w:r>
            <w:r w:rsidR="00ED58DA">
              <w:rPr>
                <w:rFonts w:cstheme="minorHAnsi"/>
                <w:szCs w:val="20"/>
              </w:rPr>
              <w:t>,</w:t>
            </w:r>
            <w:r>
              <w:rPr>
                <w:rFonts w:cstheme="minorHAnsi"/>
                <w:szCs w:val="20"/>
              </w:rPr>
              <w:t>544</w:t>
            </w:r>
          </w:p>
        </w:tc>
      </w:tr>
      <w:tr w:rsidR="00E80313" w:rsidRPr="00E80313" w14:paraId="2CC72496" w14:textId="77777777" w:rsidTr="00ED58DA">
        <w:trPr>
          <w:jc w:val="center"/>
        </w:trPr>
        <w:tc>
          <w:tcPr>
            <w:tcW w:w="3936" w:type="dxa"/>
          </w:tcPr>
          <w:p w14:paraId="3D9BDF59" w14:textId="77777777" w:rsidR="00E80313" w:rsidRPr="00E80313" w:rsidRDefault="00E80313" w:rsidP="00E80313">
            <w:pPr>
              <w:spacing w:after="120"/>
              <w:jc w:val="both"/>
              <w:rPr>
                <w:rFonts w:cstheme="minorHAnsi"/>
                <w:szCs w:val="20"/>
              </w:rPr>
            </w:pPr>
            <w:r w:rsidRPr="00E80313">
              <w:rPr>
                <w:rFonts w:cstheme="minorHAnsi"/>
                <w:szCs w:val="20"/>
              </w:rPr>
              <w:t>Mamas alumnos clavados</w:t>
            </w:r>
          </w:p>
        </w:tc>
        <w:tc>
          <w:tcPr>
            <w:tcW w:w="2409" w:type="dxa"/>
          </w:tcPr>
          <w:p w14:paraId="1FD440D0" w14:textId="77777777" w:rsidR="00E80313" w:rsidRPr="00E80313" w:rsidRDefault="00E80313" w:rsidP="00ED58DA">
            <w:pPr>
              <w:spacing w:after="120"/>
              <w:jc w:val="center"/>
              <w:rPr>
                <w:rFonts w:cstheme="minorHAnsi"/>
                <w:szCs w:val="20"/>
              </w:rPr>
            </w:pPr>
            <w:r>
              <w:rPr>
                <w:rFonts w:cstheme="minorHAnsi"/>
                <w:szCs w:val="20"/>
              </w:rPr>
              <w:t>7</w:t>
            </w:r>
            <w:r w:rsidR="00ED58DA">
              <w:rPr>
                <w:rFonts w:cstheme="minorHAnsi"/>
                <w:szCs w:val="20"/>
              </w:rPr>
              <w:t>,</w:t>
            </w:r>
            <w:r>
              <w:rPr>
                <w:rFonts w:cstheme="minorHAnsi"/>
                <w:szCs w:val="20"/>
              </w:rPr>
              <w:t>260</w:t>
            </w:r>
          </w:p>
        </w:tc>
      </w:tr>
      <w:tr w:rsidR="00E80313" w:rsidRPr="00E80313" w14:paraId="479DD5E0" w14:textId="77777777" w:rsidTr="00ED58DA">
        <w:trPr>
          <w:jc w:val="center"/>
        </w:trPr>
        <w:tc>
          <w:tcPr>
            <w:tcW w:w="3936" w:type="dxa"/>
          </w:tcPr>
          <w:p w14:paraId="6ED34ABB" w14:textId="77777777" w:rsidR="00E80313" w:rsidRPr="00E80313" w:rsidRDefault="00E80313" w:rsidP="00E80313">
            <w:pPr>
              <w:spacing w:after="120"/>
              <w:jc w:val="both"/>
              <w:rPr>
                <w:rFonts w:cstheme="minorHAnsi"/>
                <w:szCs w:val="20"/>
              </w:rPr>
            </w:pPr>
            <w:r w:rsidRPr="00E80313">
              <w:rPr>
                <w:rFonts w:cstheme="minorHAnsi"/>
                <w:szCs w:val="20"/>
              </w:rPr>
              <w:t>Mamas alumnos natación</w:t>
            </w:r>
          </w:p>
        </w:tc>
        <w:tc>
          <w:tcPr>
            <w:tcW w:w="2409" w:type="dxa"/>
          </w:tcPr>
          <w:p w14:paraId="3AE6E9A3" w14:textId="77777777" w:rsidR="00E80313" w:rsidRPr="00E80313" w:rsidRDefault="00E80313" w:rsidP="00ED58DA">
            <w:pPr>
              <w:spacing w:after="120"/>
              <w:jc w:val="center"/>
              <w:rPr>
                <w:rFonts w:cstheme="minorHAnsi"/>
                <w:szCs w:val="20"/>
              </w:rPr>
            </w:pPr>
            <w:r>
              <w:rPr>
                <w:rFonts w:cstheme="minorHAnsi"/>
                <w:szCs w:val="20"/>
              </w:rPr>
              <w:t>9</w:t>
            </w:r>
            <w:r w:rsidR="00ED58DA">
              <w:rPr>
                <w:rFonts w:cstheme="minorHAnsi"/>
                <w:szCs w:val="20"/>
              </w:rPr>
              <w:t>,</w:t>
            </w:r>
            <w:r>
              <w:rPr>
                <w:rFonts w:cstheme="minorHAnsi"/>
                <w:szCs w:val="20"/>
              </w:rPr>
              <w:t>120</w:t>
            </w:r>
          </w:p>
        </w:tc>
      </w:tr>
      <w:tr w:rsidR="00E80313" w:rsidRPr="00E80313" w14:paraId="03FB0BDC" w14:textId="77777777" w:rsidTr="00ED58DA">
        <w:trPr>
          <w:jc w:val="center"/>
        </w:trPr>
        <w:tc>
          <w:tcPr>
            <w:tcW w:w="3936" w:type="dxa"/>
          </w:tcPr>
          <w:p w14:paraId="0D22CD0B" w14:textId="77777777" w:rsidR="00E80313" w:rsidRPr="00E80313" w:rsidRDefault="00E80313" w:rsidP="00E80313">
            <w:pPr>
              <w:spacing w:after="120"/>
              <w:jc w:val="both"/>
              <w:rPr>
                <w:rFonts w:cstheme="minorHAnsi"/>
                <w:szCs w:val="20"/>
              </w:rPr>
            </w:pPr>
            <w:r w:rsidRPr="00E80313">
              <w:rPr>
                <w:rFonts w:cstheme="minorHAnsi"/>
                <w:szCs w:val="20"/>
              </w:rPr>
              <w:t>Acreditaciones UC</w:t>
            </w:r>
          </w:p>
        </w:tc>
        <w:tc>
          <w:tcPr>
            <w:tcW w:w="2409" w:type="dxa"/>
          </w:tcPr>
          <w:p w14:paraId="0B20CA3C" w14:textId="77777777" w:rsidR="00E80313" w:rsidRPr="00E80313" w:rsidRDefault="00E80313" w:rsidP="00ED58DA">
            <w:pPr>
              <w:spacing w:after="120"/>
              <w:jc w:val="center"/>
              <w:rPr>
                <w:rFonts w:cstheme="minorHAnsi"/>
                <w:szCs w:val="20"/>
              </w:rPr>
            </w:pPr>
            <w:r>
              <w:rPr>
                <w:rFonts w:cstheme="minorHAnsi"/>
                <w:szCs w:val="20"/>
              </w:rPr>
              <w:t>9</w:t>
            </w:r>
            <w:r w:rsidR="00ED58DA">
              <w:rPr>
                <w:rFonts w:cstheme="minorHAnsi"/>
                <w:szCs w:val="20"/>
              </w:rPr>
              <w:t>,</w:t>
            </w:r>
            <w:r>
              <w:rPr>
                <w:rFonts w:cstheme="minorHAnsi"/>
                <w:szCs w:val="20"/>
              </w:rPr>
              <w:t>030</w:t>
            </w:r>
          </w:p>
        </w:tc>
      </w:tr>
      <w:tr w:rsidR="00E80313" w:rsidRPr="00E80313" w14:paraId="755247E4" w14:textId="77777777" w:rsidTr="00ED58DA">
        <w:trPr>
          <w:jc w:val="center"/>
        </w:trPr>
        <w:tc>
          <w:tcPr>
            <w:tcW w:w="3936" w:type="dxa"/>
          </w:tcPr>
          <w:p w14:paraId="5102A2E7" w14:textId="77777777" w:rsidR="00E80313" w:rsidRPr="00E80313" w:rsidRDefault="00E80313" w:rsidP="00E80313">
            <w:pPr>
              <w:spacing w:after="120"/>
              <w:jc w:val="both"/>
              <w:rPr>
                <w:rFonts w:cstheme="minorHAnsi"/>
                <w:szCs w:val="20"/>
              </w:rPr>
            </w:pPr>
            <w:r w:rsidRPr="00E80313">
              <w:rPr>
                <w:rFonts w:cstheme="minorHAnsi"/>
                <w:szCs w:val="20"/>
              </w:rPr>
              <w:t>Grupo ciclistas coliman</w:t>
            </w:r>
          </w:p>
        </w:tc>
        <w:tc>
          <w:tcPr>
            <w:tcW w:w="2409" w:type="dxa"/>
          </w:tcPr>
          <w:p w14:paraId="6D3069A8" w14:textId="77777777" w:rsidR="00E80313" w:rsidRPr="00E80313" w:rsidRDefault="00E80313" w:rsidP="00ED58DA">
            <w:pPr>
              <w:spacing w:after="120"/>
              <w:jc w:val="center"/>
              <w:rPr>
                <w:rFonts w:cstheme="minorHAnsi"/>
                <w:szCs w:val="20"/>
              </w:rPr>
            </w:pPr>
            <w:r>
              <w:rPr>
                <w:rFonts w:cstheme="minorHAnsi"/>
                <w:szCs w:val="20"/>
              </w:rPr>
              <w:t>2</w:t>
            </w:r>
            <w:r w:rsidR="00ED58DA">
              <w:rPr>
                <w:rFonts w:cstheme="minorHAnsi"/>
                <w:szCs w:val="20"/>
              </w:rPr>
              <w:t>,</w:t>
            </w:r>
            <w:r>
              <w:rPr>
                <w:rFonts w:cstheme="minorHAnsi"/>
                <w:szCs w:val="20"/>
              </w:rPr>
              <w:t>260</w:t>
            </w:r>
          </w:p>
        </w:tc>
      </w:tr>
      <w:tr w:rsidR="00E80313" w:rsidRPr="00E80313" w14:paraId="2FA1C4A1" w14:textId="77777777" w:rsidTr="00ED58DA">
        <w:trPr>
          <w:jc w:val="center"/>
        </w:trPr>
        <w:tc>
          <w:tcPr>
            <w:tcW w:w="3936" w:type="dxa"/>
          </w:tcPr>
          <w:p w14:paraId="709CEB63" w14:textId="77777777" w:rsidR="00E80313" w:rsidRPr="00E80313" w:rsidRDefault="00E80313" w:rsidP="00E80313">
            <w:pPr>
              <w:spacing w:after="120"/>
              <w:jc w:val="both"/>
              <w:rPr>
                <w:rFonts w:cstheme="minorHAnsi"/>
                <w:szCs w:val="20"/>
              </w:rPr>
            </w:pPr>
            <w:r w:rsidRPr="00E80313">
              <w:rPr>
                <w:rFonts w:cstheme="minorHAnsi"/>
                <w:szCs w:val="20"/>
              </w:rPr>
              <w:t>Alumnos del ISENCO</w:t>
            </w:r>
          </w:p>
        </w:tc>
        <w:tc>
          <w:tcPr>
            <w:tcW w:w="2409" w:type="dxa"/>
          </w:tcPr>
          <w:p w14:paraId="4EFF3504" w14:textId="77777777" w:rsidR="00E80313" w:rsidRPr="00E80313" w:rsidRDefault="00E80313" w:rsidP="00ED58DA">
            <w:pPr>
              <w:spacing w:after="120"/>
              <w:jc w:val="center"/>
              <w:rPr>
                <w:rFonts w:cstheme="minorHAnsi"/>
                <w:szCs w:val="20"/>
              </w:rPr>
            </w:pPr>
            <w:r>
              <w:rPr>
                <w:rFonts w:cstheme="minorHAnsi"/>
                <w:szCs w:val="20"/>
              </w:rPr>
              <w:t>27</w:t>
            </w:r>
            <w:r w:rsidR="00ED58DA">
              <w:rPr>
                <w:rFonts w:cstheme="minorHAnsi"/>
                <w:szCs w:val="20"/>
              </w:rPr>
              <w:t>,</w:t>
            </w:r>
            <w:r>
              <w:rPr>
                <w:rFonts w:cstheme="minorHAnsi"/>
                <w:szCs w:val="20"/>
              </w:rPr>
              <w:t>200</w:t>
            </w:r>
          </w:p>
        </w:tc>
      </w:tr>
      <w:tr w:rsidR="00E80313" w:rsidRPr="00E80313" w14:paraId="05FDA559" w14:textId="77777777" w:rsidTr="00ED58DA">
        <w:trPr>
          <w:jc w:val="center"/>
        </w:trPr>
        <w:tc>
          <w:tcPr>
            <w:tcW w:w="3936" w:type="dxa"/>
          </w:tcPr>
          <w:p w14:paraId="6C0116B9" w14:textId="77777777" w:rsidR="00E80313" w:rsidRPr="00E80313" w:rsidRDefault="00E80313" w:rsidP="00E80313">
            <w:pPr>
              <w:spacing w:after="120"/>
              <w:jc w:val="both"/>
              <w:rPr>
                <w:rFonts w:cstheme="minorHAnsi"/>
                <w:szCs w:val="20"/>
              </w:rPr>
            </w:pPr>
            <w:r w:rsidRPr="00E80313">
              <w:rPr>
                <w:rFonts w:cstheme="minorHAnsi"/>
                <w:szCs w:val="20"/>
              </w:rPr>
              <w:t>Liga Béisbol</w:t>
            </w:r>
          </w:p>
        </w:tc>
        <w:tc>
          <w:tcPr>
            <w:tcW w:w="2409" w:type="dxa"/>
          </w:tcPr>
          <w:p w14:paraId="00D1A6EE" w14:textId="77777777" w:rsidR="00E80313" w:rsidRPr="00E80313" w:rsidRDefault="00E80313" w:rsidP="00ED58DA">
            <w:pPr>
              <w:spacing w:after="120"/>
              <w:jc w:val="center"/>
              <w:rPr>
                <w:rFonts w:cstheme="minorHAnsi"/>
                <w:szCs w:val="20"/>
              </w:rPr>
            </w:pPr>
            <w:r>
              <w:rPr>
                <w:rFonts w:cstheme="minorHAnsi"/>
                <w:szCs w:val="20"/>
              </w:rPr>
              <w:t>7</w:t>
            </w:r>
            <w:r w:rsidR="00ED58DA">
              <w:rPr>
                <w:rFonts w:cstheme="minorHAnsi"/>
                <w:szCs w:val="20"/>
              </w:rPr>
              <w:t>,</w:t>
            </w:r>
            <w:r>
              <w:rPr>
                <w:rFonts w:cstheme="minorHAnsi"/>
                <w:szCs w:val="20"/>
              </w:rPr>
              <w:t>110</w:t>
            </w:r>
          </w:p>
        </w:tc>
      </w:tr>
      <w:tr w:rsidR="00E80313" w:rsidRPr="00E80313" w14:paraId="78C293B2" w14:textId="77777777" w:rsidTr="00ED58DA">
        <w:trPr>
          <w:jc w:val="center"/>
        </w:trPr>
        <w:tc>
          <w:tcPr>
            <w:tcW w:w="3936" w:type="dxa"/>
          </w:tcPr>
          <w:p w14:paraId="6EBCF33D" w14:textId="77777777" w:rsidR="00E80313" w:rsidRPr="00E80313" w:rsidRDefault="00E80313" w:rsidP="00E80313">
            <w:pPr>
              <w:spacing w:after="120"/>
              <w:jc w:val="both"/>
              <w:rPr>
                <w:rFonts w:cstheme="minorHAnsi"/>
                <w:szCs w:val="20"/>
              </w:rPr>
            </w:pPr>
            <w:r w:rsidRPr="00E80313">
              <w:rPr>
                <w:rFonts w:cstheme="minorHAnsi"/>
                <w:szCs w:val="20"/>
              </w:rPr>
              <w:t>Liga Amigo Basquetbol</w:t>
            </w:r>
          </w:p>
        </w:tc>
        <w:tc>
          <w:tcPr>
            <w:tcW w:w="2409" w:type="dxa"/>
          </w:tcPr>
          <w:p w14:paraId="61CC616E" w14:textId="77777777" w:rsidR="00E80313" w:rsidRPr="00E80313" w:rsidRDefault="00E80313" w:rsidP="00ED58DA">
            <w:pPr>
              <w:spacing w:after="120"/>
              <w:jc w:val="center"/>
              <w:rPr>
                <w:rFonts w:cstheme="minorHAnsi"/>
                <w:szCs w:val="20"/>
              </w:rPr>
            </w:pPr>
            <w:r>
              <w:rPr>
                <w:rFonts w:cstheme="minorHAnsi"/>
                <w:szCs w:val="20"/>
              </w:rPr>
              <w:t>5</w:t>
            </w:r>
            <w:r w:rsidR="00ED58DA">
              <w:rPr>
                <w:rFonts w:cstheme="minorHAnsi"/>
                <w:szCs w:val="20"/>
              </w:rPr>
              <w:t>,</w:t>
            </w:r>
            <w:r>
              <w:rPr>
                <w:rFonts w:cstheme="minorHAnsi"/>
                <w:szCs w:val="20"/>
              </w:rPr>
              <w:t>480</w:t>
            </w:r>
          </w:p>
        </w:tc>
      </w:tr>
      <w:tr w:rsidR="00E80313" w:rsidRPr="00E80313" w14:paraId="773AC3C7" w14:textId="77777777" w:rsidTr="00ED58DA">
        <w:trPr>
          <w:jc w:val="center"/>
        </w:trPr>
        <w:tc>
          <w:tcPr>
            <w:tcW w:w="3936" w:type="dxa"/>
          </w:tcPr>
          <w:p w14:paraId="5BA91297" w14:textId="77777777" w:rsidR="00E80313" w:rsidRPr="00E80313" w:rsidRDefault="00E80313" w:rsidP="00E80313">
            <w:pPr>
              <w:spacing w:after="120"/>
              <w:jc w:val="center"/>
              <w:rPr>
                <w:rFonts w:cstheme="minorHAnsi"/>
                <w:b/>
                <w:szCs w:val="20"/>
              </w:rPr>
            </w:pPr>
            <w:r w:rsidRPr="00E80313">
              <w:rPr>
                <w:rFonts w:cstheme="minorHAnsi"/>
                <w:b/>
                <w:szCs w:val="20"/>
              </w:rPr>
              <w:t>Total</w:t>
            </w:r>
          </w:p>
        </w:tc>
        <w:tc>
          <w:tcPr>
            <w:tcW w:w="2409" w:type="dxa"/>
          </w:tcPr>
          <w:p w14:paraId="003B1FAC" w14:textId="77777777" w:rsidR="00E80313" w:rsidRPr="00E80313" w:rsidRDefault="00ED58DA" w:rsidP="00E80313">
            <w:pPr>
              <w:spacing w:after="120"/>
              <w:jc w:val="center"/>
              <w:rPr>
                <w:rFonts w:cstheme="minorHAnsi"/>
                <w:b/>
                <w:szCs w:val="20"/>
              </w:rPr>
            </w:pPr>
            <w:r>
              <w:rPr>
                <w:rFonts w:cstheme="minorHAnsi"/>
                <w:b/>
                <w:szCs w:val="20"/>
              </w:rPr>
              <w:t>75,004</w:t>
            </w:r>
          </w:p>
        </w:tc>
      </w:tr>
      <w:tr w:rsidR="00E80313" w:rsidRPr="00E80313" w14:paraId="4D063A89" w14:textId="77777777" w:rsidTr="00ED58DA">
        <w:trPr>
          <w:jc w:val="center"/>
        </w:trPr>
        <w:tc>
          <w:tcPr>
            <w:tcW w:w="6345" w:type="dxa"/>
            <w:gridSpan w:val="2"/>
          </w:tcPr>
          <w:p w14:paraId="24758F46" w14:textId="77777777" w:rsidR="00E80313" w:rsidRPr="00E80313" w:rsidRDefault="00E80313" w:rsidP="00E80313">
            <w:pPr>
              <w:spacing w:after="120"/>
              <w:jc w:val="both"/>
              <w:rPr>
                <w:rFonts w:cstheme="minorHAnsi"/>
                <w:szCs w:val="20"/>
              </w:rPr>
            </w:pPr>
            <w:r w:rsidRPr="00E80313">
              <w:rPr>
                <w:rFonts w:cstheme="minorHAnsi"/>
                <w:szCs w:val="20"/>
              </w:rPr>
              <w:t>Fuente</w:t>
            </w:r>
            <w:r>
              <w:rPr>
                <w:rFonts w:cstheme="minorHAnsi"/>
                <w:szCs w:val="20"/>
              </w:rPr>
              <w:t xml:space="preserve">: </w:t>
            </w:r>
            <w:r w:rsidR="00ED58DA">
              <w:rPr>
                <w:rFonts w:cstheme="minorHAnsi"/>
                <w:szCs w:val="20"/>
              </w:rPr>
              <w:t>Elaborado por TECSO con base a evidencia suministrada por la dependencia.</w:t>
            </w:r>
          </w:p>
        </w:tc>
      </w:tr>
    </w:tbl>
    <w:p w14:paraId="030065E7" w14:textId="77777777" w:rsidR="00E80313" w:rsidRPr="00ED58DA" w:rsidRDefault="00E80313" w:rsidP="00D67045">
      <w:pPr>
        <w:spacing w:after="240"/>
        <w:jc w:val="both"/>
        <w:rPr>
          <w:rFonts w:ascii="Century Gothic" w:hAnsi="Century Gothic"/>
          <w:sz w:val="8"/>
        </w:rPr>
      </w:pPr>
    </w:p>
    <w:p w14:paraId="4151F103" w14:textId="77777777" w:rsidR="00EE1F15" w:rsidRDefault="00A12C86" w:rsidP="00D67045">
      <w:pPr>
        <w:spacing w:after="240"/>
        <w:jc w:val="both"/>
        <w:rPr>
          <w:rFonts w:ascii="Century Gothic" w:hAnsi="Century Gothic"/>
          <w:sz w:val="24"/>
        </w:rPr>
      </w:pPr>
      <w:r>
        <w:rPr>
          <w:rFonts w:ascii="Century Gothic" w:hAnsi="Century Gothic"/>
          <w:sz w:val="24"/>
        </w:rPr>
        <w:t>Sin embargo, estos datos representan a los usuarios finales de determinada obra, es decir esto sería equivalente a la población atendida</w:t>
      </w:r>
      <w:r w:rsidR="00EE1F15">
        <w:rPr>
          <w:rFonts w:ascii="Century Gothic" w:hAnsi="Century Gothic"/>
          <w:sz w:val="24"/>
        </w:rPr>
        <w:t xml:space="preserve"> y no a cuál es la cobertura del programa.</w:t>
      </w:r>
    </w:p>
    <w:p w14:paraId="7F97CC5E" w14:textId="77777777" w:rsidR="00D67045" w:rsidRDefault="00EE1F15" w:rsidP="00D67045">
      <w:pPr>
        <w:spacing w:after="240"/>
        <w:jc w:val="both"/>
        <w:rPr>
          <w:rFonts w:ascii="Century Gothic" w:hAnsi="Century Gothic"/>
          <w:sz w:val="24"/>
        </w:rPr>
      </w:pPr>
      <w:r>
        <w:rPr>
          <w:rFonts w:ascii="Century Gothic" w:hAnsi="Century Gothic"/>
          <w:sz w:val="24"/>
        </w:rPr>
        <w:t xml:space="preserve">Por lo que es importante que se desarrolle una estrategia para identificar cual es la cobertura que el programa de infraestructura no habitacional. Para esto primero se debe definir cual sería la población objetivo, es decir identificar cual es la carencia en este tipo de obras, establecer una estrategia para determinar en qué zonas o a que obras se les dará prioridad </w:t>
      </w:r>
      <w:r w:rsidR="007E5386">
        <w:rPr>
          <w:rFonts w:ascii="Century Gothic" w:hAnsi="Century Gothic"/>
          <w:sz w:val="24"/>
        </w:rPr>
        <w:t>contando así con metas de cobertura.</w:t>
      </w:r>
    </w:p>
    <w:p w14:paraId="7D881F8A" w14:textId="77777777" w:rsidR="009C5BFC" w:rsidRPr="00674B2E" w:rsidRDefault="009C5BFC" w:rsidP="00EE40F2">
      <w:pPr>
        <w:jc w:val="both"/>
        <w:rPr>
          <w:rFonts w:ascii="Century Gothic" w:hAnsi="Century Gothic" w:cs="Arial"/>
          <w:bCs/>
          <w:iCs/>
          <w:color w:val="000000"/>
          <w:sz w:val="2"/>
          <w:szCs w:val="24"/>
        </w:rPr>
      </w:pPr>
    </w:p>
    <w:p w14:paraId="6A2EF8D3" w14:textId="77777777" w:rsidR="00940A4E" w:rsidRPr="00BA26DA" w:rsidRDefault="005F7C97" w:rsidP="00B32B92">
      <w:pPr>
        <w:pStyle w:val="Ttulo1"/>
        <w:spacing w:before="0" w:after="240"/>
        <w:rPr>
          <w:rFonts w:ascii="Century Gothic" w:hAnsi="Century Gothic"/>
          <w:b/>
          <w:bCs/>
          <w:color w:val="0E4E7A"/>
          <w:szCs w:val="28"/>
        </w:rPr>
      </w:pPr>
      <w:bookmarkStart w:id="40" w:name="_Toc505364436"/>
      <w:bookmarkStart w:id="41" w:name="_Toc511859783"/>
      <w:r w:rsidRPr="00BA26DA">
        <w:rPr>
          <w:rFonts w:ascii="Century Gothic" w:hAnsi="Century Gothic"/>
          <w:b/>
          <w:bCs/>
          <w:color w:val="0E4E7A"/>
          <w:szCs w:val="28"/>
        </w:rPr>
        <w:t>2.4</w:t>
      </w:r>
      <w:r w:rsidR="00940A4E" w:rsidRPr="00BA26DA">
        <w:rPr>
          <w:rFonts w:ascii="Century Gothic" w:hAnsi="Century Gothic"/>
          <w:b/>
          <w:bCs/>
          <w:color w:val="0E4E7A"/>
          <w:szCs w:val="28"/>
        </w:rPr>
        <w:t xml:space="preserve">. </w:t>
      </w:r>
      <w:r w:rsidR="001B3AE1" w:rsidRPr="00BA26DA">
        <w:rPr>
          <w:rStyle w:val="Ttulo1Car"/>
          <w:rFonts w:ascii="Century Gothic" w:hAnsi="Century Gothic"/>
          <w:b/>
          <w:color w:val="0E4E7A"/>
          <w:szCs w:val="28"/>
        </w:rPr>
        <w:t>Operación</w:t>
      </w:r>
      <w:bookmarkEnd w:id="40"/>
      <w:bookmarkEnd w:id="41"/>
    </w:p>
    <w:p w14:paraId="270CB50F" w14:textId="77777777" w:rsidR="00940A4E" w:rsidRPr="005F7C97" w:rsidRDefault="005F7C97" w:rsidP="00B32B92">
      <w:pPr>
        <w:pStyle w:val="Ttulo2"/>
        <w:spacing w:before="0" w:after="240"/>
        <w:ind w:left="284"/>
        <w:jc w:val="both"/>
        <w:rPr>
          <w:rFonts w:ascii="Century Gothic" w:hAnsi="Century Gothic"/>
          <w:color w:val="0E4E7A"/>
          <w:sz w:val="28"/>
          <w:szCs w:val="28"/>
        </w:rPr>
      </w:pPr>
      <w:bookmarkStart w:id="42" w:name="_Toc505364437"/>
      <w:bookmarkStart w:id="43" w:name="_Toc511859784"/>
      <w:r w:rsidRPr="005F7C97">
        <w:rPr>
          <w:rFonts w:ascii="Century Gothic" w:hAnsi="Century Gothic"/>
          <w:color w:val="0E4E7A"/>
          <w:sz w:val="28"/>
          <w:szCs w:val="28"/>
        </w:rPr>
        <w:t>2.4</w:t>
      </w:r>
      <w:r w:rsidR="00940A4E" w:rsidRPr="005F7C97">
        <w:rPr>
          <w:rFonts w:ascii="Century Gothic" w:hAnsi="Century Gothic"/>
          <w:color w:val="0E4E7A"/>
          <w:sz w:val="28"/>
          <w:szCs w:val="28"/>
        </w:rPr>
        <w:t xml:space="preserve">.1. Análisis de los procesos establecidos en las </w:t>
      </w:r>
      <w:r w:rsidR="001C36F5" w:rsidRPr="005F7C97">
        <w:rPr>
          <w:rFonts w:ascii="Century Gothic" w:hAnsi="Century Gothic"/>
          <w:color w:val="0E4E7A"/>
          <w:sz w:val="28"/>
          <w:szCs w:val="28"/>
        </w:rPr>
        <w:t>ROP</w:t>
      </w:r>
      <w:r w:rsidR="00940A4E" w:rsidRPr="005F7C97">
        <w:rPr>
          <w:rFonts w:ascii="Century Gothic" w:hAnsi="Century Gothic"/>
          <w:color w:val="0E4E7A"/>
          <w:sz w:val="28"/>
          <w:szCs w:val="28"/>
        </w:rPr>
        <w:t xml:space="preserve"> o normatividad aplicable.</w:t>
      </w:r>
      <w:bookmarkEnd w:id="42"/>
      <w:bookmarkEnd w:id="43"/>
    </w:p>
    <w:p w14:paraId="2D8AC456" w14:textId="77777777" w:rsidR="00583726" w:rsidRDefault="003F516C" w:rsidP="0019188E">
      <w:pPr>
        <w:jc w:val="both"/>
        <w:rPr>
          <w:rFonts w:ascii="Century Gothic" w:hAnsi="Century Gothic"/>
          <w:sz w:val="24"/>
        </w:rPr>
      </w:pPr>
      <w:bookmarkStart w:id="44" w:name="_Toc505364438"/>
      <w:r>
        <w:rPr>
          <w:rFonts w:ascii="Century Gothic" w:hAnsi="Century Gothic"/>
          <w:sz w:val="24"/>
        </w:rPr>
        <w:t xml:space="preserve">En este apartado se revisa </w:t>
      </w:r>
      <w:r w:rsidR="00583726">
        <w:rPr>
          <w:rFonts w:ascii="Century Gothic" w:hAnsi="Century Gothic"/>
          <w:sz w:val="24"/>
        </w:rPr>
        <w:t xml:space="preserve">por una parte </w:t>
      </w:r>
      <w:r>
        <w:rPr>
          <w:rFonts w:ascii="Century Gothic" w:hAnsi="Century Gothic"/>
          <w:sz w:val="24"/>
        </w:rPr>
        <w:t>los procesos establecidos para cum</w:t>
      </w:r>
      <w:r w:rsidR="00583726">
        <w:rPr>
          <w:rFonts w:ascii="Century Gothic" w:hAnsi="Century Gothic"/>
          <w:sz w:val="24"/>
        </w:rPr>
        <w:t xml:space="preserve">plir con el objeto del programa, y por otro si se cuenta con mecanismos </w:t>
      </w:r>
      <w:r w:rsidR="00583726">
        <w:rPr>
          <w:rFonts w:ascii="Century Gothic" w:hAnsi="Century Gothic"/>
          <w:sz w:val="24"/>
        </w:rPr>
        <w:lastRenderedPageBreak/>
        <w:t>para la selección de beneficiarios y/o proyectos que se dan por medio del programa.</w:t>
      </w:r>
    </w:p>
    <w:p w14:paraId="3F9AE073" w14:textId="77777777" w:rsidR="0019188E" w:rsidRDefault="00583726" w:rsidP="00662D69">
      <w:pPr>
        <w:jc w:val="both"/>
        <w:rPr>
          <w:rFonts w:ascii="Century Gothic" w:hAnsi="Century Gothic"/>
          <w:sz w:val="24"/>
        </w:rPr>
      </w:pPr>
      <w:r>
        <w:rPr>
          <w:rFonts w:ascii="Century Gothic" w:hAnsi="Century Gothic"/>
          <w:sz w:val="24"/>
        </w:rPr>
        <w:t>En primer lugar</w:t>
      </w:r>
      <w:r w:rsidR="00662D69">
        <w:rPr>
          <w:rFonts w:ascii="Century Gothic" w:hAnsi="Century Gothic"/>
          <w:sz w:val="24"/>
        </w:rPr>
        <w:t xml:space="preserve"> la SEIDUR cuenta con una serie de procedimientos:</w:t>
      </w:r>
    </w:p>
    <w:tbl>
      <w:tblPr>
        <w:tblStyle w:val="Tablaconcuadrcula"/>
        <w:tblW w:w="0" w:type="auto"/>
        <w:tblLook w:val="04A0" w:firstRow="1" w:lastRow="0" w:firstColumn="1" w:lastColumn="0" w:noHBand="0" w:noVBand="1"/>
      </w:tblPr>
      <w:tblGrid>
        <w:gridCol w:w="2455"/>
        <w:gridCol w:w="6373"/>
      </w:tblGrid>
      <w:tr w:rsidR="00662D69" w:rsidRPr="00046D23" w14:paraId="511383A2" w14:textId="77777777" w:rsidTr="002C0460">
        <w:tc>
          <w:tcPr>
            <w:tcW w:w="9212" w:type="dxa"/>
            <w:gridSpan w:val="2"/>
            <w:shd w:val="clear" w:color="auto" w:fill="0E4E7A"/>
            <w:vAlign w:val="center"/>
          </w:tcPr>
          <w:p w14:paraId="33A16103" w14:textId="77777777" w:rsidR="00662D69" w:rsidRPr="00046D23" w:rsidRDefault="00662D69" w:rsidP="002C0460">
            <w:pPr>
              <w:jc w:val="center"/>
              <w:rPr>
                <w:rFonts w:cstheme="minorHAnsi"/>
                <w:b/>
              </w:rPr>
            </w:pPr>
            <w:r>
              <w:rPr>
                <w:rFonts w:cstheme="minorHAnsi"/>
                <w:b/>
                <w:color w:val="FFFFFF" w:themeColor="background1"/>
              </w:rPr>
              <w:t>Cuadro 2.14</w:t>
            </w:r>
            <w:r w:rsidRPr="00046D23">
              <w:rPr>
                <w:rFonts w:cstheme="minorHAnsi"/>
                <w:b/>
                <w:color w:val="FFFFFF" w:themeColor="background1"/>
              </w:rPr>
              <w:t>. Procesos certificados y sus objetivos</w:t>
            </w:r>
          </w:p>
        </w:tc>
      </w:tr>
      <w:tr w:rsidR="00662D69" w:rsidRPr="00046D23" w14:paraId="71708C4A" w14:textId="77777777" w:rsidTr="002C0460">
        <w:tc>
          <w:tcPr>
            <w:tcW w:w="2518" w:type="dxa"/>
            <w:shd w:val="clear" w:color="auto" w:fill="0E4E7A"/>
            <w:vAlign w:val="center"/>
          </w:tcPr>
          <w:p w14:paraId="74ADCBFE" w14:textId="77777777" w:rsidR="00662D69" w:rsidRPr="00046D23" w:rsidRDefault="00662D69" w:rsidP="002C0460">
            <w:pPr>
              <w:jc w:val="center"/>
              <w:rPr>
                <w:rFonts w:cstheme="minorHAnsi"/>
                <w:b/>
                <w:color w:val="FFFFFF" w:themeColor="background1"/>
              </w:rPr>
            </w:pPr>
            <w:r w:rsidRPr="00046D23">
              <w:rPr>
                <w:rFonts w:cstheme="minorHAnsi"/>
                <w:b/>
                <w:color w:val="FFFFFF" w:themeColor="background1"/>
              </w:rPr>
              <w:t>Proceso</w:t>
            </w:r>
          </w:p>
        </w:tc>
        <w:tc>
          <w:tcPr>
            <w:tcW w:w="6694" w:type="dxa"/>
            <w:shd w:val="clear" w:color="auto" w:fill="0E4E7A"/>
            <w:vAlign w:val="center"/>
          </w:tcPr>
          <w:p w14:paraId="4A77CFED" w14:textId="77777777" w:rsidR="00662D69" w:rsidRPr="00046D23" w:rsidRDefault="00662D69" w:rsidP="002C0460">
            <w:pPr>
              <w:jc w:val="center"/>
              <w:rPr>
                <w:rFonts w:cstheme="minorHAnsi"/>
                <w:b/>
                <w:color w:val="FFFFFF" w:themeColor="background1"/>
              </w:rPr>
            </w:pPr>
            <w:r w:rsidRPr="00046D23">
              <w:rPr>
                <w:rFonts w:cstheme="minorHAnsi"/>
                <w:b/>
                <w:color w:val="FFFFFF" w:themeColor="background1"/>
              </w:rPr>
              <w:t>Objetivo</w:t>
            </w:r>
          </w:p>
        </w:tc>
      </w:tr>
      <w:tr w:rsidR="00662D69" w:rsidRPr="00046D23" w14:paraId="67F023B7" w14:textId="77777777" w:rsidTr="002C0460">
        <w:tc>
          <w:tcPr>
            <w:tcW w:w="2518" w:type="dxa"/>
            <w:vAlign w:val="center"/>
          </w:tcPr>
          <w:p w14:paraId="05C2E0E2" w14:textId="77777777" w:rsidR="00662D69" w:rsidRPr="00046D23" w:rsidRDefault="00662D69" w:rsidP="002C0460">
            <w:pPr>
              <w:spacing w:after="120" w:line="276" w:lineRule="auto"/>
              <w:rPr>
                <w:rFonts w:cstheme="minorHAnsi"/>
              </w:rPr>
            </w:pPr>
            <w:r w:rsidRPr="00046D23">
              <w:rPr>
                <w:rFonts w:cstheme="minorHAnsi"/>
              </w:rPr>
              <w:t>Plan de la calidad para la contratación</w:t>
            </w:r>
          </w:p>
        </w:tc>
        <w:tc>
          <w:tcPr>
            <w:tcW w:w="6694" w:type="dxa"/>
          </w:tcPr>
          <w:p w14:paraId="2039E418" w14:textId="77777777" w:rsidR="00662D69" w:rsidRPr="00046D23" w:rsidRDefault="00662D69" w:rsidP="002C0460">
            <w:pPr>
              <w:spacing w:after="120"/>
              <w:jc w:val="both"/>
              <w:rPr>
                <w:rFonts w:cstheme="minorHAnsi"/>
              </w:rPr>
            </w:pPr>
            <w:r w:rsidRPr="00046D23">
              <w:rPr>
                <w:rFonts w:cstheme="minorHAnsi"/>
              </w:rPr>
              <w:t>Formalizar la contratación de Obra Pública, Servicios, Adquisiciones y Arrendamientos a través de las modalidades de Adjudicación Directa, Invitación a cuando menos tres personas y Convocatoria Pública Abierta con aquellas personas físicas o morales que ofrezcan las mejores condiciones económicas y que, a juicio de la Secretaría, cuenten con la capacidad técnica y económica para ejecutar la obra correspondiente de acuerdo a la Normatividad Vigente.</w:t>
            </w:r>
          </w:p>
        </w:tc>
      </w:tr>
      <w:tr w:rsidR="00662D69" w:rsidRPr="00046D23" w14:paraId="733DA61B" w14:textId="77777777" w:rsidTr="002C0460">
        <w:tc>
          <w:tcPr>
            <w:tcW w:w="2518" w:type="dxa"/>
            <w:vAlign w:val="center"/>
          </w:tcPr>
          <w:p w14:paraId="029709C3" w14:textId="77777777" w:rsidR="00662D69" w:rsidRPr="00046D23" w:rsidRDefault="00662D69" w:rsidP="002C0460">
            <w:pPr>
              <w:spacing w:after="120" w:line="276" w:lineRule="auto"/>
              <w:rPr>
                <w:rFonts w:cstheme="minorHAnsi"/>
              </w:rPr>
            </w:pPr>
            <w:r w:rsidRPr="00046D23">
              <w:rPr>
                <w:rFonts w:cstheme="minorHAnsi"/>
              </w:rPr>
              <w:t>Plan de la calidad para proyectos ejecutivos</w:t>
            </w:r>
          </w:p>
        </w:tc>
        <w:tc>
          <w:tcPr>
            <w:tcW w:w="6694" w:type="dxa"/>
          </w:tcPr>
          <w:p w14:paraId="775E2EFD" w14:textId="77777777" w:rsidR="00662D69" w:rsidRPr="00046D23" w:rsidRDefault="00662D69" w:rsidP="002C0460">
            <w:pPr>
              <w:spacing w:after="120"/>
              <w:jc w:val="both"/>
              <w:rPr>
                <w:rFonts w:cstheme="minorHAnsi"/>
              </w:rPr>
            </w:pPr>
            <w:r w:rsidRPr="00046D23">
              <w:rPr>
                <w:rFonts w:cstheme="minorHAnsi"/>
              </w:rPr>
              <w:t>Establecer un plan para la elaboración del proyecto ejecutivo, que permita desarrollar de manera eficiente los proyectos que elaboran la Dirección de Proyectos y la Dirección de Caminos. Que el proyecto ejecutivo permita una correcta ejecución de la obra que construye esta Secretaría, evitando que se realicen modificaciones durante la construcción de la obra por causas imputables a un proyecto deficiente.</w:t>
            </w:r>
          </w:p>
        </w:tc>
      </w:tr>
      <w:tr w:rsidR="00662D69" w:rsidRPr="00046D23" w14:paraId="55ABF0B1" w14:textId="77777777" w:rsidTr="002C0460">
        <w:tc>
          <w:tcPr>
            <w:tcW w:w="2518" w:type="dxa"/>
            <w:vAlign w:val="center"/>
          </w:tcPr>
          <w:p w14:paraId="1F1A56DE" w14:textId="77777777" w:rsidR="00662D69" w:rsidRPr="00046D23" w:rsidRDefault="00662D69" w:rsidP="002C0460">
            <w:pPr>
              <w:spacing w:after="120" w:line="276" w:lineRule="auto"/>
              <w:rPr>
                <w:rFonts w:cstheme="minorHAnsi"/>
              </w:rPr>
            </w:pPr>
            <w:r w:rsidRPr="00046D23">
              <w:rPr>
                <w:rFonts w:cstheme="minorHAnsi"/>
              </w:rPr>
              <w:t>Plan de la calidad para la ejecución de obra</w:t>
            </w:r>
          </w:p>
        </w:tc>
        <w:tc>
          <w:tcPr>
            <w:tcW w:w="6694" w:type="dxa"/>
          </w:tcPr>
          <w:p w14:paraId="50833C45" w14:textId="77777777" w:rsidR="00662D69" w:rsidRPr="00046D23" w:rsidRDefault="00662D69" w:rsidP="002C0460">
            <w:pPr>
              <w:spacing w:before="40" w:after="120"/>
              <w:jc w:val="both"/>
              <w:rPr>
                <w:rFonts w:cstheme="minorHAnsi"/>
              </w:rPr>
            </w:pPr>
            <w:r w:rsidRPr="00046D23">
              <w:rPr>
                <w:rFonts w:cstheme="minorHAnsi"/>
              </w:rPr>
              <w:t>Supervisar, Controlar y Ejecutar la Obra Pública que realiza la Secretaría de Desarrollo Urbano, buscando la Excelencia y Calidad  respecto  al proyecto ejecutivo, plazos y presupuestos establecidos en el Contrato o Acuerdo, así como el cabal cumplimiento de las Especificaciones Generales de Construcción de la Secretaría de Desarrollo Urbano y la normatividad aplicable.</w:t>
            </w:r>
          </w:p>
        </w:tc>
      </w:tr>
      <w:tr w:rsidR="00662D69" w:rsidRPr="00046D23" w14:paraId="19BF5B15" w14:textId="77777777" w:rsidTr="002C0460">
        <w:tc>
          <w:tcPr>
            <w:tcW w:w="2518" w:type="dxa"/>
            <w:vAlign w:val="center"/>
          </w:tcPr>
          <w:p w14:paraId="403D9709" w14:textId="77777777" w:rsidR="00662D69" w:rsidRPr="00046D23" w:rsidRDefault="00662D69" w:rsidP="002C0460">
            <w:pPr>
              <w:spacing w:after="120" w:line="276" w:lineRule="auto"/>
              <w:rPr>
                <w:rFonts w:cstheme="minorHAnsi"/>
              </w:rPr>
            </w:pPr>
            <w:r w:rsidRPr="00046D23">
              <w:rPr>
                <w:rFonts w:cstheme="minorHAnsi"/>
              </w:rPr>
              <w:t>Procedimiento de Ejecución de Obra Contratada</w:t>
            </w:r>
          </w:p>
        </w:tc>
        <w:tc>
          <w:tcPr>
            <w:tcW w:w="6694" w:type="dxa"/>
          </w:tcPr>
          <w:p w14:paraId="15D7FADB" w14:textId="77777777" w:rsidR="00662D69" w:rsidRPr="00046D23" w:rsidRDefault="00662D69" w:rsidP="002C0460">
            <w:pPr>
              <w:spacing w:before="120" w:after="120"/>
              <w:jc w:val="both"/>
              <w:rPr>
                <w:rFonts w:cstheme="minorHAnsi"/>
              </w:rPr>
            </w:pPr>
            <w:r w:rsidRPr="00046D23">
              <w:rPr>
                <w:rFonts w:cstheme="minorHAnsi"/>
                <w:color w:val="000000"/>
              </w:rPr>
              <w:t>Supervisar la ejecución de la Obra Pública, buscando la Excelencia y Calidad respecto al proyecto ejecutivo, plazos y presupuestos establecidos en el Contrato así como el cabal cumplimiento de las Especificaciones Generales de Construcción de la Secretaría de Desarrollo Urbano y la normatividad aplicable.</w:t>
            </w:r>
          </w:p>
        </w:tc>
      </w:tr>
      <w:tr w:rsidR="00662D69" w:rsidRPr="00046D23" w14:paraId="2FE2DE0A" w14:textId="77777777" w:rsidTr="002C0460">
        <w:tc>
          <w:tcPr>
            <w:tcW w:w="9212" w:type="dxa"/>
            <w:gridSpan w:val="2"/>
          </w:tcPr>
          <w:p w14:paraId="5D15FEF5" w14:textId="77777777" w:rsidR="00662D69" w:rsidRPr="00046D23" w:rsidRDefault="00662D69" w:rsidP="002C0460">
            <w:pPr>
              <w:jc w:val="both"/>
              <w:rPr>
                <w:rFonts w:cstheme="minorHAnsi"/>
              </w:rPr>
            </w:pPr>
            <w:r w:rsidRPr="00046D23">
              <w:rPr>
                <w:rFonts w:cstheme="minorHAnsi"/>
              </w:rPr>
              <w:t>Fuente: Elaboración propia con base en evidencia suministrada por la SEIDUR.</w:t>
            </w:r>
          </w:p>
        </w:tc>
      </w:tr>
    </w:tbl>
    <w:p w14:paraId="2D6CE1BA" w14:textId="77777777" w:rsidR="00662D69" w:rsidRDefault="00662D69" w:rsidP="00662D69">
      <w:pPr>
        <w:jc w:val="both"/>
        <w:rPr>
          <w:rFonts w:ascii="Century Gothic" w:hAnsi="Century Gothic"/>
          <w:sz w:val="24"/>
        </w:rPr>
      </w:pPr>
    </w:p>
    <w:p w14:paraId="451C69F9" w14:textId="77777777" w:rsidR="00583726" w:rsidRDefault="00583726" w:rsidP="00F243F8">
      <w:pPr>
        <w:spacing w:after="240"/>
        <w:jc w:val="both"/>
        <w:rPr>
          <w:rFonts w:ascii="Century Gothic" w:hAnsi="Century Gothic"/>
          <w:sz w:val="24"/>
        </w:rPr>
      </w:pPr>
      <w:r>
        <w:rPr>
          <w:rFonts w:ascii="Century Gothic" w:hAnsi="Century Gothic"/>
          <w:sz w:val="24"/>
        </w:rPr>
        <w:t xml:space="preserve">Es importante mencionar que </w:t>
      </w:r>
      <w:r w:rsidR="00662D69">
        <w:rPr>
          <w:rFonts w:ascii="Century Gothic" w:hAnsi="Century Gothic"/>
          <w:sz w:val="24"/>
        </w:rPr>
        <w:t>dichos</w:t>
      </w:r>
      <w:r>
        <w:rPr>
          <w:rFonts w:ascii="Century Gothic" w:hAnsi="Century Gothic"/>
          <w:sz w:val="24"/>
        </w:rPr>
        <w:t xml:space="preserve"> proceso</w:t>
      </w:r>
      <w:r w:rsidR="00662D69">
        <w:rPr>
          <w:rFonts w:ascii="Century Gothic" w:hAnsi="Century Gothic"/>
          <w:sz w:val="24"/>
        </w:rPr>
        <w:t>s</w:t>
      </w:r>
      <w:r>
        <w:rPr>
          <w:rFonts w:ascii="Century Gothic" w:hAnsi="Century Gothic"/>
          <w:sz w:val="24"/>
        </w:rPr>
        <w:t xml:space="preserve"> desarrollado en el año 2013, cuenta con certificación ISO 9001. </w:t>
      </w:r>
    </w:p>
    <w:p w14:paraId="6E1A4148" w14:textId="77777777" w:rsidR="003F516C" w:rsidRPr="00662D69" w:rsidRDefault="00F243F8" w:rsidP="00F243F8">
      <w:pPr>
        <w:spacing w:after="240"/>
        <w:jc w:val="both"/>
        <w:rPr>
          <w:rFonts w:ascii="Century Gothic" w:hAnsi="Century Gothic"/>
          <w:sz w:val="24"/>
          <w:szCs w:val="24"/>
        </w:rPr>
      </w:pPr>
      <w:r w:rsidRPr="00662D69">
        <w:rPr>
          <w:rFonts w:ascii="Century Gothic" w:hAnsi="Century Gothic"/>
          <w:sz w:val="24"/>
          <w:szCs w:val="24"/>
        </w:rPr>
        <w:t>Así, en dicho documento se establecen los procesos que se deben llevar para generar obra, que en este caso son aplicables al programa “Infraestructura no Habitacional”</w:t>
      </w:r>
      <w:r w:rsidR="00EB1C47" w:rsidRPr="00662D69">
        <w:rPr>
          <w:rFonts w:ascii="Century Gothic" w:hAnsi="Century Gothic"/>
          <w:sz w:val="24"/>
          <w:szCs w:val="24"/>
        </w:rPr>
        <w:t>.</w:t>
      </w:r>
    </w:p>
    <w:p w14:paraId="00476078" w14:textId="77777777" w:rsidR="00662D69" w:rsidRPr="00662D69" w:rsidRDefault="00662D69" w:rsidP="00662D69">
      <w:pPr>
        <w:pStyle w:val="Ttulo3"/>
        <w:spacing w:before="0" w:after="240"/>
        <w:rPr>
          <w:rFonts w:ascii="Century Gothic" w:hAnsi="Century Gothic"/>
          <w:color w:val="0E4E7A"/>
          <w:sz w:val="24"/>
          <w:szCs w:val="24"/>
        </w:rPr>
      </w:pPr>
      <w:bookmarkStart w:id="45" w:name="_Toc510630645"/>
      <w:bookmarkStart w:id="46" w:name="_Toc511859785"/>
      <w:bookmarkEnd w:id="44"/>
      <w:r w:rsidRPr="00662D69">
        <w:rPr>
          <w:rFonts w:ascii="Century Gothic" w:hAnsi="Century Gothic"/>
          <w:color w:val="0E4E7A"/>
          <w:sz w:val="24"/>
          <w:szCs w:val="24"/>
        </w:rPr>
        <w:lastRenderedPageBreak/>
        <w:t>Plan de Calidad para proyectos ejecutivos</w:t>
      </w:r>
      <w:bookmarkEnd w:id="45"/>
      <w:bookmarkEnd w:id="46"/>
    </w:p>
    <w:p w14:paraId="4D4C9211" w14:textId="77777777" w:rsidR="00662D69" w:rsidRPr="00662D69" w:rsidRDefault="00662D69" w:rsidP="00662D69">
      <w:pPr>
        <w:spacing w:after="240"/>
        <w:jc w:val="both"/>
        <w:rPr>
          <w:rFonts w:ascii="Century Gothic" w:hAnsi="Century Gothic"/>
          <w:sz w:val="24"/>
          <w:szCs w:val="24"/>
        </w:rPr>
      </w:pPr>
      <w:r w:rsidRPr="00662D69">
        <w:rPr>
          <w:rFonts w:ascii="Century Gothic" w:hAnsi="Century Gothic"/>
          <w:sz w:val="24"/>
          <w:szCs w:val="24"/>
        </w:rPr>
        <w:t>Una vez definidas las obras viables a realizar teniendo presente variables como el presupuesto, compromisos del plan de gobierno, demandas, requerimientos y necesidades de la población, viene la etapa de estudios y análisis de viabilidad de la obra, así como de los permisos requeridos para su ejecución, que en este caso puede llegar a involucrar otras instituciones o en su caso municipios.</w:t>
      </w:r>
    </w:p>
    <w:p w14:paraId="0D8C720B" w14:textId="77777777" w:rsidR="00662D69" w:rsidRPr="00662D69" w:rsidRDefault="00662D69" w:rsidP="00662D69">
      <w:pPr>
        <w:pStyle w:val="Textonotapie"/>
        <w:spacing w:after="240" w:line="276" w:lineRule="auto"/>
        <w:jc w:val="both"/>
        <w:rPr>
          <w:rFonts w:ascii="Century Gothic" w:hAnsi="Century Gothic"/>
          <w:sz w:val="24"/>
          <w:szCs w:val="24"/>
        </w:rPr>
      </w:pPr>
      <w:r w:rsidRPr="00662D69">
        <w:rPr>
          <w:rFonts w:ascii="Century Gothic" w:hAnsi="Century Gothic"/>
          <w:sz w:val="24"/>
          <w:szCs w:val="24"/>
        </w:rPr>
        <w:t>Para garantizar la calidad de este proceso se desarrolló el documento “Plan de Calidad para proyectos ejecutivos”, el cual tiene como objetivo “establecer un plan para la elaboración del proyecto ejecutivo, que permita desarrollar de manera eficiente los proyectos que elaboran la Dirección de Proyectos y la Dirección de Caminos. Que el proyecto ejecutivo permita una correcta ejecución de la obra que construye esta Secretaría, evitando que se realicen modificaciones durante la construcción de la obra por causas imputables a un proyecto deficiente”</w:t>
      </w:r>
      <w:r w:rsidRPr="00662D69">
        <w:rPr>
          <w:rStyle w:val="Refdenotaalpie"/>
          <w:rFonts w:ascii="Century Gothic" w:hAnsi="Century Gothic"/>
          <w:sz w:val="24"/>
          <w:szCs w:val="24"/>
        </w:rPr>
        <w:footnoteReference w:id="17"/>
      </w:r>
      <w:r w:rsidRPr="00662D69">
        <w:rPr>
          <w:rFonts w:ascii="Century Gothic" w:hAnsi="Century Gothic"/>
          <w:sz w:val="24"/>
          <w:szCs w:val="24"/>
        </w:rPr>
        <w:t>.</w:t>
      </w:r>
    </w:p>
    <w:p w14:paraId="5FFFC605" w14:textId="77777777" w:rsidR="00662D69" w:rsidRDefault="00662D69" w:rsidP="003A0D5D">
      <w:pPr>
        <w:pStyle w:val="Textonotapie"/>
        <w:spacing w:after="240" w:line="276" w:lineRule="auto"/>
        <w:jc w:val="both"/>
        <w:rPr>
          <w:rFonts w:ascii="Century Gothic" w:hAnsi="Century Gothic"/>
          <w:sz w:val="24"/>
          <w:szCs w:val="24"/>
        </w:rPr>
      </w:pPr>
    </w:p>
    <w:p w14:paraId="725C863B" w14:textId="77777777" w:rsidR="00662D69" w:rsidRDefault="00662D69" w:rsidP="003A0D5D">
      <w:pPr>
        <w:pStyle w:val="Textonotapie"/>
        <w:spacing w:after="240" w:line="276" w:lineRule="auto"/>
        <w:jc w:val="both"/>
        <w:rPr>
          <w:rFonts w:ascii="Century Gothic" w:hAnsi="Century Gothic"/>
          <w:sz w:val="24"/>
          <w:szCs w:val="24"/>
        </w:rPr>
      </w:pPr>
    </w:p>
    <w:p w14:paraId="62966C29" w14:textId="77777777" w:rsidR="00662D69" w:rsidRDefault="00662D69" w:rsidP="003A0D5D">
      <w:pPr>
        <w:pStyle w:val="Textonotapie"/>
        <w:spacing w:after="240" w:line="276" w:lineRule="auto"/>
        <w:jc w:val="both"/>
        <w:rPr>
          <w:rFonts w:ascii="Century Gothic" w:hAnsi="Century Gothic"/>
          <w:sz w:val="24"/>
          <w:szCs w:val="24"/>
        </w:rPr>
      </w:pPr>
    </w:p>
    <w:p w14:paraId="3FC03BEF" w14:textId="77777777" w:rsidR="00662D69" w:rsidRDefault="00662D69" w:rsidP="003A0D5D">
      <w:pPr>
        <w:pStyle w:val="Textonotapie"/>
        <w:spacing w:after="240" w:line="276" w:lineRule="auto"/>
        <w:jc w:val="both"/>
        <w:rPr>
          <w:rFonts w:ascii="Century Gothic" w:hAnsi="Century Gothic"/>
          <w:sz w:val="24"/>
          <w:szCs w:val="24"/>
        </w:rPr>
      </w:pPr>
    </w:p>
    <w:p w14:paraId="4CC80DE6" w14:textId="77777777" w:rsidR="00662D69" w:rsidRDefault="00662D69" w:rsidP="003A0D5D">
      <w:pPr>
        <w:pStyle w:val="Textonotapie"/>
        <w:spacing w:after="240" w:line="276" w:lineRule="auto"/>
        <w:jc w:val="both"/>
        <w:rPr>
          <w:rFonts w:ascii="Century Gothic" w:hAnsi="Century Gothic"/>
          <w:sz w:val="24"/>
          <w:szCs w:val="24"/>
        </w:rPr>
      </w:pPr>
    </w:p>
    <w:p w14:paraId="31CA14BC" w14:textId="77777777" w:rsidR="00662D69" w:rsidRDefault="00662D69" w:rsidP="003A0D5D">
      <w:pPr>
        <w:pStyle w:val="Textonotapie"/>
        <w:spacing w:after="240" w:line="276" w:lineRule="auto"/>
        <w:jc w:val="both"/>
        <w:rPr>
          <w:rFonts w:ascii="Century Gothic" w:hAnsi="Century Gothic"/>
          <w:sz w:val="24"/>
          <w:szCs w:val="24"/>
        </w:rPr>
      </w:pPr>
    </w:p>
    <w:p w14:paraId="308A4484" w14:textId="77777777" w:rsidR="00662D69" w:rsidRDefault="00662D69" w:rsidP="003A0D5D">
      <w:pPr>
        <w:pStyle w:val="Textonotapie"/>
        <w:spacing w:after="240" w:line="276" w:lineRule="auto"/>
        <w:jc w:val="both"/>
        <w:rPr>
          <w:rFonts w:ascii="Century Gothic" w:hAnsi="Century Gothic"/>
          <w:sz w:val="24"/>
          <w:szCs w:val="24"/>
        </w:rPr>
      </w:pPr>
    </w:p>
    <w:p w14:paraId="43735C16" w14:textId="77777777" w:rsidR="00662D69" w:rsidRPr="008D0F69" w:rsidRDefault="0075288D" w:rsidP="00662D69">
      <w:pPr>
        <w:spacing w:after="0"/>
        <w:jc w:val="center"/>
        <w:rPr>
          <w:rFonts w:ascii="Century Gothic" w:hAnsi="Century Gothic"/>
          <w:b/>
        </w:rPr>
      </w:pPr>
      <w:r>
        <w:rPr>
          <w:rFonts w:ascii="Century Gothic" w:hAnsi="Century Gothic"/>
          <w:b/>
        </w:rPr>
        <w:t>Figura 2.14.</w:t>
      </w:r>
      <w:r w:rsidR="00662D69" w:rsidRPr="008D0F69">
        <w:rPr>
          <w:rFonts w:ascii="Century Gothic" w:hAnsi="Century Gothic"/>
          <w:b/>
        </w:rPr>
        <w:t xml:space="preserve"> Diagrama: Plan de Calidad para proyectos ejecutivos</w:t>
      </w:r>
    </w:p>
    <w:p w14:paraId="3BA0938E" w14:textId="77777777" w:rsidR="00662D69" w:rsidRDefault="00662D69" w:rsidP="00662D69">
      <w:pPr>
        <w:spacing w:after="0"/>
        <w:ind w:left="-567" w:right="-284"/>
        <w:jc w:val="both"/>
        <w:rPr>
          <w:rFonts w:ascii="Century Gothic" w:hAnsi="Century Gothic"/>
        </w:rPr>
      </w:pPr>
      <w:r>
        <w:rPr>
          <w:noProof/>
          <w:lang w:eastAsia="es-MX"/>
        </w:rPr>
        <w:lastRenderedPageBreak/>
        <w:drawing>
          <wp:inline distT="0" distB="0" distL="0" distR="0" wp14:anchorId="7A138443" wp14:editId="59C5E4B1">
            <wp:extent cx="6438900" cy="54673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4629" t="16012" r="25941" b="19336"/>
                    <a:stretch/>
                  </pic:blipFill>
                  <pic:spPr bwMode="auto">
                    <a:xfrm>
                      <a:off x="0" y="0"/>
                      <a:ext cx="6444461" cy="5472072"/>
                    </a:xfrm>
                    <a:prstGeom prst="rect">
                      <a:avLst/>
                    </a:prstGeom>
                    <a:ln>
                      <a:noFill/>
                    </a:ln>
                    <a:extLst>
                      <a:ext uri="{53640926-AAD7-44D8-BBD7-CCE9431645EC}">
                        <a14:shadowObscured xmlns:a14="http://schemas.microsoft.com/office/drawing/2010/main"/>
                      </a:ext>
                    </a:extLst>
                  </pic:spPr>
                </pic:pic>
              </a:graphicData>
            </a:graphic>
          </wp:inline>
        </w:drawing>
      </w:r>
    </w:p>
    <w:p w14:paraId="1A498714" w14:textId="77777777" w:rsidR="00662D69" w:rsidRDefault="00662D69" w:rsidP="00662D69">
      <w:pPr>
        <w:spacing w:after="0"/>
        <w:ind w:left="-425"/>
        <w:jc w:val="both"/>
        <w:rPr>
          <w:rFonts w:ascii="Century Gothic" w:hAnsi="Century Gothic"/>
        </w:rPr>
      </w:pPr>
      <w:r>
        <w:rPr>
          <w:noProof/>
          <w:lang w:eastAsia="es-MX"/>
        </w:rPr>
        <w:lastRenderedPageBreak/>
        <w:drawing>
          <wp:inline distT="0" distB="0" distL="0" distR="0" wp14:anchorId="17E338F0" wp14:editId="030C127A">
            <wp:extent cx="6362699" cy="5314950"/>
            <wp:effectExtent l="0" t="0" r="63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4629" t="12991" r="26112" b="22659"/>
                    <a:stretch/>
                  </pic:blipFill>
                  <pic:spPr bwMode="auto">
                    <a:xfrm>
                      <a:off x="0" y="0"/>
                      <a:ext cx="6380653" cy="5329947"/>
                    </a:xfrm>
                    <a:prstGeom prst="rect">
                      <a:avLst/>
                    </a:prstGeom>
                    <a:ln>
                      <a:noFill/>
                    </a:ln>
                    <a:extLst>
                      <a:ext uri="{53640926-AAD7-44D8-BBD7-CCE9431645EC}">
                        <a14:shadowObscured xmlns:a14="http://schemas.microsoft.com/office/drawing/2010/main"/>
                      </a:ext>
                    </a:extLst>
                  </pic:spPr>
                </pic:pic>
              </a:graphicData>
            </a:graphic>
          </wp:inline>
        </w:drawing>
      </w:r>
    </w:p>
    <w:p w14:paraId="11CFD19A" w14:textId="77777777" w:rsidR="00662D69" w:rsidRDefault="00662D69" w:rsidP="00662D69">
      <w:pPr>
        <w:spacing w:after="0"/>
        <w:ind w:left="-425" w:right="-426"/>
        <w:jc w:val="both"/>
        <w:rPr>
          <w:rFonts w:ascii="Century Gothic" w:hAnsi="Century Gothic"/>
        </w:rPr>
      </w:pPr>
      <w:r w:rsidRPr="001F5A81">
        <w:rPr>
          <w:noProof/>
          <w:bdr w:val="single" w:sz="4" w:space="0" w:color="auto"/>
          <w:lang w:eastAsia="es-MX"/>
        </w:rPr>
        <w:drawing>
          <wp:inline distT="0" distB="0" distL="0" distR="0" wp14:anchorId="012D8A25" wp14:editId="4B196D48">
            <wp:extent cx="6349760" cy="263842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459" t="17825" r="25941" b="50151"/>
                    <a:stretch/>
                  </pic:blipFill>
                  <pic:spPr bwMode="auto">
                    <a:xfrm>
                      <a:off x="0" y="0"/>
                      <a:ext cx="6368305" cy="2646131"/>
                    </a:xfrm>
                    <a:prstGeom prst="rect">
                      <a:avLst/>
                    </a:prstGeom>
                    <a:ln>
                      <a:noFill/>
                    </a:ln>
                    <a:extLst>
                      <a:ext uri="{53640926-AAD7-44D8-BBD7-CCE9431645EC}">
                        <a14:shadowObscured xmlns:a14="http://schemas.microsoft.com/office/drawing/2010/main"/>
                      </a:ext>
                    </a:extLst>
                  </pic:spPr>
                </pic:pic>
              </a:graphicData>
            </a:graphic>
          </wp:inline>
        </w:drawing>
      </w:r>
    </w:p>
    <w:p w14:paraId="6CA8B16C" w14:textId="77777777" w:rsidR="00662D69" w:rsidRPr="00B02936" w:rsidRDefault="00662D69" w:rsidP="00662D69">
      <w:pPr>
        <w:spacing w:after="0"/>
        <w:jc w:val="both"/>
        <w:rPr>
          <w:rFonts w:ascii="Century Gothic" w:hAnsi="Century Gothic"/>
          <w:sz w:val="20"/>
        </w:rPr>
      </w:pPr>
      <w:r w:rsidRPr="00B02936">
        <w:rPr>
          <w:rFonts w:cstheme="minorHAnsi"/>
          <w:sz w:val="18"/>
        </w:rPr>
        <w:lastRenderedPageBreak/>
        <w:t>Fuente: Tomado el documento “Plan de la Calidad para la contratación” suministrado por la SEIDUR como evidencia</w:t>
      </w:r>
      <w:r w:rsidRPr="00B02936">
        <w:rPr>
          <w:rFonts w:ascii="Century Gothic" w:hAnsi="Century Gothic"/>
          <w:sz w:val="20"/>
        </w:rPr>
        <w:t>.</w:t>
      </w:r>
    </w:p>
    <w:p w14:paraId="1EAB6A15" w14:textId="77777777" w:rsidR="00662D69" w:rsidRPr="00662D69" w:rsidRDefault="00662D69" w:rsidP="00662D69">
      <w:pPr>
        <w:pStyle w:val="Ttulo3"/>
        <w:spacing w:before="0" w:after="240"/>
        <w:rPr>
          <w:rFonts w:ascii="Century Gothic" w:hAnsi="Century Gothic"/>
          <w:color w:val="0E4E7A"/>
          <w:sz w:val="24"/>
        </w:rPr>
      </w:pPr>
      <w:bookmarkStart w:id="47" w:name="_Toc510630644"/>
      <w:bookmarkStart w:id="48" w:name="_Toc511859786"/>
      <w:r w:rsidRPr="00662D69">
        <w:rPr>
          <w:rFonts w:ascii="Century Gothic" w:hAnsi="Century Gothic"/>
          <w:color w:val="0E4E7A"/>
          <w:sz w:val="24"/>
        </w:rPr>
        <w:t>Plan de la Calidad para la contratación</w:t>
      </w:r>
      <w:bookmarkEnd w:id="47"/>
      <w:bookmarkEnd w:id="48"/>
    </w:p>
    <w:p w14:paraId="31116632" w14:textId="77777777" w:rsidR="00662D69" w:rsidRPr="00662D69" w:rsidRDefault="00662D69" w:rsidP="00662D69">
      <w:pPr>
        <w:spacing w:after="240"/>
        <w:jc w:val="both"/>
        <w:rPr>
          <w:rFonts w:ascii="Century Gothic" w:hAnsi="Century Gothic"/>
          <w:sz w:val="24"/>
        </w:rPr>
      </w:pPr>
      <w:r w:rsidRPr="00662D69">
        <w:rPr>
          <w:rFonts w:ascii="Century Gothic" w:hAnsi="Century Gothic"/>
          <w:sz w:val="24"/>
        </w:rPr>
        <w:t>El objetivo de este proceso es “Formalizar la contratación de Obra Pública, Servicios, Adquisiciones y Arrendamientos a través de las modalidades de Adjudicación Directa, Invitación a cuando menos tres personas y Convocatoria Pública Abierta con aquellas personas físicas o morales que ofrezcan las mejores condiciones económicas y que, a juicio de la Secretaría, cuenten con la capacidad técnica y económica para ejecutar la obra correspondiente de acuerdo a la Normatividad Vigente”</w:t>
      </w:r>
      <w:r w:rsidRPr="00662D69">
        <w:rPr>
          <w:rStyle w:val="Refdenotaalpie"/>
          <w:rFonts w:ascii="Century Gothic" w:hAnsi="Century Gothic"/>
          <w:sz w:val="24"/>
        </w:rPr>
        <w:footnoteReference w:id="18"/>
      </w:r>
      <w:r w:rsidRPr="00662D69">
        <w:rPr>
          <w:rFonts w:ascii="Century Gothic" w:hAnsi="Century Gothic"/>
          <w:sz w:val="24"/>
        </w:rPr>
        <w:t>.</w:t>
      </w:r>
    </w:p>
    <w:p w14:paraId="038A5958" w14:textId="77777777" w:rsidR="00662D69" w:rsidRPr="00C74970" w:rsidRDefault="0075288D" w:rsidP="00662D69">
      <w:pPr>
        <w:spacing w:after="120"/>
        <w:jc w:val="center"/>
        <w:rPr>
          <w:rFonts w:ascii="Century Gothic" w:hAnsi="Century Gothic"/>
          <w:b/>
        </w:rPr>
      </w:pPr>
      <w:r>
        <w:rPr>
          <w:rFonts w:ascii="Century Gothic" w:hAnsi="Century Gothic"/>
          <w:b/>
        </w:rPr>
        <w:t>Figura 2.15</w:t>
      </w:r>
      <w:r w:rsidR="00662D69" w:rsidRPr="00C74970">
        <w:rPr>
          <w:rFonts w:ascii="Century Gothic" w:hAnsi="Century Gothic"/>
          <w:b/>
        </w:rPr>
        <w:t xml:space="preserve">. Diagrama </w:t>
      </w:r>
      <w:r w:rsidR="00662D69">
        <w:rPr>
          <w:rFonts w:ascii="Century Gothic" w:hAnsi="Century Gothic"/>
          <w:b/>
        </w:rPr>
        <w:t>d</w:t>
      </w:r>
      <w:r w:rsidR="00662D69" w:rsidRPr="00C74970">
        <w:rPr>
          <w:rFonts w:ascii="Century Gothic" w:hAnsi="Century Gothic"/>
          <w:b/>
        </w:rPr>
        <w:t>el Plan de la Calidad para la Contratación</w:t>
      </w:r>
    </w:p>
    <w:p w14:paraId="6D923BE4" w14:textId="77777777" w:rsidR="00662D69" w:rsidRDefault="00662D69" w:rsidP="00662D69">
      <w:pPr>
        <w:spacing w:after="120"/>
        <w:ind w:left="-709"/>
        <w:rPr>
          <w:rFonts w:ascii="Century Gothic" w:hAnsi="Century Gothic"/>
        </w:rPr>
      </w:pPr>
      <w:r>
        <w:rPr>
          <w:rFonts w:ascii="Century Gothic" w:hAnsi="Century Gothic"/>
          <w:noProof/>
          <w:lang w:eastAsia="es-MX"/>
        </w:rPr>
        <w:lastRenderedPageBreak/>
        <w:drawing>
          <wp:inline distT="0" distB="0" distL="0" distR="0" wp14:anchorId="29824AB4" wp14:editId="0678A32D">
            <wp:extent cx="6562725" cy="52292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0719" cy="5243563"/>
                    </a:xfrm>
                    <a:prstGeom prst="rect">
                      <a:avLst/>
                    </a:prstGeom>
                    <a:noFill/>
                  </pic:spPr>
                </pic:pic>
              </a:graphicData>
            </a:graphic>
          </wp:inline>
        </w:drawing>
      </w:r>
    </w:p>
    <w:p w14:paraId="1E107924" w14:textId="77777777" w:rsidR="00662D69" w:rsidRDefault="00662D69" w:rsidP="00662D69">
      <w:pPr>
        <w:spacing w:after="120"/>
        <w:ind w:left="-567" w:right="-426"/>
        <w:jc w:val="center"/>
        <w:rPr>
          <w:rFonts w:cstheme="minorHAnsi"/>
        </w:rPr>
      </w:pPr>
      <w:r>
        <w:rPr>
          <w:noProof/>
          <w:lang w:eastAsia="es-MX"/>
        </w:rPr>
        <w:lastRenderedPageBreak/>
        <w:drawing>
          <wp:inline distT="0" distB="0" distL="0" distR="0" wp14:anchorId="5D18A946" wp14:editId="1622B78D">
            <wp:extent cx="6153150" cy="47148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799" t="22658" r="24753" b="12085"/>
                    <a:stretch/>
                  </pic:blipFill>
                  <pic:spPr bwMode="auto">
                    <a:xfrm>
                      <a:off x="0" y="0"/>
                      <a:ext cx="6158276" cy="4718803"/>
                    </a:xfrm>
                    <a:prstGeom prst="rect">
                      <a:avLst/>
                    </a:prstGeom>
                    <a:ln>
                      <a:noFill/>
                    </a:ln>
                    <a:extLst>
                      <a:ext uri="{53640926-AAD7-44D8-BBD7-CCE9431645EC}">
                        <a14:shadowObscured xmlns:a14="http://schemas.microsoft.com/office/drawing/2010/main"/>
                      </a:ext>
                    </a:extLst>
                  </pic:spPr>
                </pic:pic>
              </a:graphicData>
            </a:graphic>
          </wp:inline>
        </w:drawing>
      </w:r>
    </w:p>
    <w:p w14:paraId="79040F59" w14:textId="77777777" w:rsidR="00662D69" w:rsidRDefault="00662D69" w:rsidP="00662D69">
      <w:pPr>
        <w:spacing w:after="240"/>
        <w:jc w:val="both"/>
        <w:rPr>
          <w:rFonts w:ascii="Century Gothic" w:hAnsi="Century Gothic"/>
        </w:rPr>
      </w:pPr>
      <w:r w:rsidRPr="00C74970">
        <w:rPr>
          <w:rFonts w:cstheme="minorHAnsi"/>
        </w:rPr>
        <w:t>Fuente: Tomado el documento “Plan de la Calidad para la contratación” suministrado por la SEIDUR como evidencia</w:t>
      </w:r>
      <w:r w:rsidRPr="00C74970">
        <w:rPr>
          <w:rFonts w:ascii="Century Gothic" w:hAnsi="Century Gothic"/>
        </w:rPr>
        <w:t>.</w:t>
      </w:r>
    </w:p>
    <w:p w14:paraId="2BCDCF28" w14:textId="77777777" w:rsidR="00662D69" w:rsidRPr="00662D69" w:rsidRDefault="00662D69" w:rsidP="003A0D5D">
      <w:pPr>
        <w:pStyle w:val="Textonotapie"/>
        <w:spacing w:after="240" w:line="276" w:lineRule="auto"/>
        <w:jc w:val="both"/>
        <w:rPr>
          <w:rFonts w:ascii="Century Gothic" w:hAnsi="Century Gothic"/>
          <w:sz w:val="32"/>
          <w:szCs w:val="24"/>
        </w:rPr>
      </w:pPr>
      <w:r w:rsidRPr="00662D69">
        <w:rPr>
          <w:rFonts w:ascii="Century Gothic" w:hAnsi="Century Gothic"/>
          <w:sz w:val="24"/>
        </w:rPr>
        <w:t>Como se puede observar en el diagrama anterior este esquematiza desde que se tiene el oficio de autorización hasta la culminación con el contrato. Sin embargo no se detalla la información de cómo es el proceso según la modalidad de contratación, por lo que dicho proceso se debe actualizar según la normatividad actual e incluir el detalle del paso a paso que se debe seguir según el tipo de modalidad que se debe seguir, esto permitirá mayor claridad para el desarrollo de este proceso.</w:t>
      </w:r>
    </w:p>
    <w:p w14:paraId="1190F4E5" w14:textId="77777777" w:rsidR="00662D69" w:rsidRPr="00662D69" w:rsidRDefault="00662D69" w:rsidP="00662D69">
      <w:pPr>
        <w:pStyle w:val="Ttulo3"/>
        <w:spacing w:before="0" w:after="240"/>
        <w:rPr>
          <w:rFonts w:ascii="Century Gothic" w:hAnsi="Century Gothic"/>
          <w:color w:val="0E4E7A"/>
          <w:sz w:val="24"/>
        </w:rPr>
      </w:pPr>
      <w:bookmarkStart w:id="49" w:name="_Toc510630646"/>
      <w:bookmarkStart w:id="50" w:name="_Toc511859787"/>
      <w:r w:rsidRPr="00662D69">
        <w:rPr>
          <w:rFonts w:ascii="Century Gothic" w:hAnsi="Century Gothic"/>
          <w:color w:val="0E4E7A"/>
          <w:sz w:val="24"/>
        </w:rPr>
        <w:t>Procedimiento de Ejecución de obra contratada</w:t>
      </w:r>
      <w:bookmarkEnd w:id="49"/>
      <w:bookmarkEnd w:id="50"/>
    </w:p>
    <w:p w14:paraId="010FB3FC" w14:textId="77777777" w:rsidR="00662D69" w:rsidRPr="00662D69" w:rsidRDefault="00662D69" w:rsidP="00662D69">
      <w:pPr>
        <w:spacing w:after="240"/>
        <w:jc w:val="both"/>
        <w:rPr>
          <w:rFonts w:ascii="Century Gothic" w:hAnsi="Century Gothic"/>
          <w:sz w:val="24"/>
        </w:rPr>
      </w:pPr>
      <w:r w:rsidRPr="00662D69">
        <w:rPr>
          <w:rFonts w:ascii="Century Gothic" w:hAnsi="Century Gothic"/>
          <w:sz w:val="24"/>
        </w:rPr>
        <w:t xml:space="preserve">Una vez autorizada la obra y que se cuente con su expediente unitario de obra, se entiende que es cuando esta puede iniciarse (entendiendo que hay un proceso de contratación de por medio). </w:t>
      </w:r>
    </w:p>
    <w:p w14:paraId="52788644" w14:textId="77777777" w:rsidR="00662D69" w:rsidRPr="00662D69" w:rsidRDefault="00662D69" w:rsidP="00662D69">
      <w:pPr>
        <w:spacing w:after="240"/>
        <w:jc w:val="both"/>
        <w:rPr>
          <w:rFonts w:ascii="Century Gothic" w:hAnsi="Century Gothic"/>
          <w:sz w:val="24"/>
        </w:rPr>
      </w:pPr>
      <w:r w:rsidRPr="00662D69">
        <w:rPr>
          <w:rFonts w:ascii="Century Gothic" w:hAnsi="Century Gothic"/>
          <w:sz w:val="24"/>
        </w:rPr>
        <w:lastRenderedPageBreak/>
        <w:t xml:space="preserve">Para esto se cuenta con el documento “Procedimiento de Ejecución de Obra Contratada”, el cual tiene como objetivo: “Supervisar la </w:t>
      </w:r>
      <w:r w:rsidRPr="00662D69">
        <w:rPr>
          <w:rFonts w:ascii="Century Gothic" w:hAnsi="Century Gothic"/>
          <w:b/>
          <w:sz w:val="24"/>
        </w:rPr>
        <w:t>ejecución de la Obra Pública</w:t>
      </w:r>
      <w:r w:rsidRPr="00662D69">
        <w:rPr>
          <w:rFonts w:ascii="Century Gothic" w:hAnsi="Century Gothic"/>
          <w:sz w:val="24"/>
        </w:rPr>
        <w:t>, buscando la Excelencia y Calidad respecto al proyecto ejecutivo, plazos y presupuestos establecidos en el Contrato así como el cabal cumplimiento de las Especificaciones Generales de Construcción de la Secretaría de Desarrollo Urbano y la normatividad aplicable</w:t>
      </w:r>
      <w:r w:rsidRPr="00662D69">
        <w:rPr>
          <w:rStyle w:val="Refdenotaalpie"/>
          <w:rFonts w:ascii="Century Gothic" w:hAnsi="Century Gothic"/>
          <w:sz w:val="24"/>
        </w:rPr>
        <w:footnoteReference w:id="19"/>
      </w:r>
      <w:r w:rsidRPr="00662D69">
        <w:rPr>
          <w:rFonts w:ascii="Century Gothic" w:hAnsi="Century Gothic"/>
          <w:sz w:val="24"/>
        </w:rPr>
        <w:t>.</w:t>
      </w:r>
    </w:p>
    <w:p w14:paraId="74C3AFA0" w14:textId="77777777" w:rsidR="00662D69" w:rsidRPr="006F373E" w:rsidRDefault="0075288D" w:rsidP="00BB6E40">
      <w:pPr>
        <w:spacing w:after="0"/>
        <w:ind w:right="284"/>
        <w:jc w:val="center"/>
        <w:rPr>
          <w:rFonts w:ascii="Century Gothic" w:hAnsi="Century Gothic"/>
          <w:b/>
        </w:rPr>
      </w:pPr>
      <w:r>
        <w:rPr>
          <w:rFonts w:ascii="Century Gothic" w:hAnsi="Century Gothic"/>
          <w:b/>
        </w:rPr>
        <w:t>Figura 2.16</w:t>
      </w:r>
      <w:r w:rsidR="00662D69" w:rsidRPr="006F373E">
        <w:rPr>
          <w:rFonts w:ascii="Century Gothic" w:hAnsi="Century Gothic"/>
          <w:b/>
        </w:rPr>
        <w:t>. Diagrama: Procedimiento de ejecución de obra contratada</w:t>
      </w:r>
    </w:p>
    <w:p w14:paraId="12357906" w14:textId="77777777" w:rsidR="00662D69" w:rsidRDefault="00662D69" w:rsidP="00BB6E40">
      <w:pPr>
        <w:spacing w:after="0"/>
        <w:ind w:left="-426" w:right="-284"/>
        <w:jc w:val="both"/>
        <w:rPr>
          <w:rFonts w:ascii="Century Gothic" w:hAnsi="Century Gothic"/>
        </w:rPr>
      </w:pPr>
      <w:r>
        <w:rPr>
          <w:noProof/>
          <w:lang w:eastAsia="es-MX"/>
        </w:rPr>
        <w:drawing>
          <wp:inline distT="0" distB="0" distL="0" distR="0" wp14:anchorId="4CE85CE3" wp14:editId="094040F1">
            <wp:extent cx="6191250" cy="4467225"/>
            <wp:effectExtent l="0" t="0" r="0" b="9525"/>
            <wp:docPr id="3081" name="Imagen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676" cy="4467532"/>
                    </a:xfrm>
                    <a:prstGeom prst="rect">
                      <a:avLst/>
                    </a:prstGeom>
                    <a:noFill/>
                    <a:ln>
                      <a:noFill/>
                    </a:ln>
                  </pic:spPr>
                </pic:pic>
              </a:graphicData>
            </a:graphic>
          </wp:inline>
        </w:drawing>
      </w:r>
    </w:p>
    <w:p w14:paraId="2870A43D" w14:textId="77777777" w:rsidR="00662D69" w:rsidRDefault="00662D69" w:rsidP="00BB6E40">
      <w:pPr>
        <w:spacing w:after="0"/>
        <w:ind w:left="-426" w:right="-284"/>
        <w:jc w:val="both"/>
        <w:rPr>
          <w:rFonts w:ascii="Century Gothic" w:hAnsi="Century Gothic"/>
        </w:rPr>
      </w:pPr>
      <w:r>
        <w:rPr>
          <w:noProof/>
          <w:lang w:eastAsia="es-MX"/>
        </w:rPr>
        <w:lastRenderedPageBreak/>
        <w:drawing>
          <wp:inline distT="0" distB="0" distL="0" distR="0" wp14:anchorId="0108142D" wp14:editId="2DFAC5C9">
            <wp:extent cx="6195287" cy="4343400"/>
            <wp:effectExtent l="0" t="0" r="0" b="0"/>
            <wp:docPr id="3082" name="Imagen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1201" cy="4347546"/>
                    </a:xfrm>
                    <a:prstGeom prst="rect">
                      <a:avLst/>
                    </a:prstGeom>
                    <a:noFill/>
                    <a:ln>
                      <a:noFill/>
                    </a:ln>
                  </pic:spPr>
                </pic:pic>
              </a:graphicData>
            </a:graphic>
          </wp:inline>
        </w:drawing>
      </w:r>
    </w:p>
    <w:p w14:paraId="04596F76" w14:textId="77777777" w:rsidR="00662D69" w:rsidRDefault="00662D69" w:rsidP="00662D69">
      <w:pPr>
        <w:spacing w:after="40"/>
        <w:ind w:left="-425" w:right="-284"/>
        <w:jc w:val="both"/>
        <w:rPr>
          <w:rFonts w:ascii="Century Gothic" w:hAnsi="Century Gothic"/>
        </w:rPr>
      </w:pPr>
      <w:r>
        <w:rPr>
          <w:noProof/>
          <w:lang w:eastAsia="es-MX"/>
        </w:rPr>
        <w:drawing>
          <wp:inline distT="0" distB="0" distL="0" distR="0" wp14:anchorId="088275C8" wp14:editId="0FED3CC2">
            <wp:extent cx="6200774" cy="3505200"/>
            <wp:effectExtent l="19050" t="19050" r="10160" b="19050"/>
            <wp:docPr id="3083" name="Imagen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0">
                      <a:extLst>
                        <a:ext uri="{28A0092B-C50C-407E-A947-70E740481C1C}">
                          <a14:useLocalDpi xmlns:a14="http://schemas.microsoft.com/office/drawing/2010/main" val="0"/>
                        </a:ext>
                      </a:extLst>
                    </a:blip>
                    <a:srcRect b="13688"/>
                    <a:stretch/>
                  </pic:blipFill>
                  <pic:spPr bwMode="auto">
                    <a:xfrm>
                      <a:off x="0" y="0"/>
                      <a:ext cx="6201225" cy="350545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615B74A" w14:textId="77777777" w:rsidR="00662D69" w:rsidRPr="00284B40" w:rsidRDefault="00662D69" w:rsidP="00662D69">
      <w:pPr>
        <w:jc w:val="both"/>
        <w:rPr>
          <w:rFonts w:ascii="Century Gothic" w:hAnsi="Century Gothic"/>
          <w:sz w:val="20"/>
        </w:rPr>
      </w:pPr>
      <w:r w:rsidRPr="00284B40">
        <w:rPr>
          <w:rFonts w:cstheme="minorHAnsi"/>
          <w:sz w:val="18"/>
        </w:rPr>
        <w:t>Fuente: Tomado el documento “Plan de la Calidad para la contratación” suministrado por la SEIDUR como evidencia</w:t>
      </w:r>
      <w:r w:rsidRPr="00284B40">
        <w:rPr>
          <w:rFonts w:ascii="Century Gothic" w:hAnsi="Century Gothic"/>
          <w:sz w:val="20"/>
        </w:rPr>
        <w:t>.</w:t>
      </w:r>
    </w:p>
    <w:p w14:paraId="3A257F47" w14:textId="77777777" w:rsidR="00BB6E40" w:rsidRPr="00BB6E40" w:rsidRDefault="00BB6E40" w:rsidP="00BB6E40">
      <w:pPr>
        <w:spacing w:after="240"/>
        <w:jc w:val="both"/>
        <w:rPr>
          <w:rFonts w:ascii="Century Gothic" w:hAnsi="Century Gothic"/>
          <w:sz w:val="24"/>
          <w:szCs w:val="24"/>
        </w:rPr>
      </w:pPr>
      <w:r w:rsidRPr="00BB6E40">
        <w:rPr>
          <w:rFonts w:ascii="Century Gothic" w:hAnsi="Century Gothic"/>
          <w:sz w:val="24"/>
        </w:rPr>
        <w:lastRenderedPageBreak/>
        <w:t>El resultado final de este proceso culmina, con las actas de entrega-</w:t>
      </w:r>
      <w:r w:rsidRPr="00BB6E40">
        <w:rPr>
          <w:rFonts w:ascii="Century Gothic" w:hAnsi="Century Gothic"/>
          <w:sz w:val="24"/>
          <w:szCs w:val="24"/>
        </w:rPr>
        <w:t>recepción donde se certifique que las obras cumplen con los criterios funcionales, de calidad, ambientales, de tiempo y legales con que fueron planeadas. Por ello es importante que se cuente con procedimientos adecuados para la supervisión y control de las obras, tema que se tratará en el siguiente apartado.</w:t>
      </w:r>
    </w:p>
    <w:p w14:paraId="4B90A820" w14:textId="77777777" w:rsidR="00BB6E40" w:rsidRPr="00BB6E40" w:rsidRDefault="00BB6E40" w:rsidP="00BB6E40">
      <w:pPr>
        <w:pStyle w:val="Ttulo3"/>
        <w:spacing w:before="0" w:after="240"/>
        <w:rPr>
          <w:rFonts w:ascii="Century Gothic" w:hAnsi="Century Gothic"/>
          <w:color w:val="0E4E7A"/>
          <w:sz w:val="24"/>
          <w:szCs w:val="24"/>
        </w:rPr>
      </w:pPr>
      <w:bookmarkStart w:id="51" w:name="_Toc510630648"/>
      <w:bookmarkStart w:id="52" w:name="_Toc511859788"/>
      <w:r w:rsidRPr="00BB6E40">
        <w:rPr>
          <w:rFonts w:ascii="Century Gothic" w:hAnsi="Century Gothic"/>
          <w:color w:val="0E4E7A"/>
          <w:sz w:val="24"/>
          <w:szCs w:val="24"/>
        </w:rPr>
        <w:t>Plan de la calidad para la ejecución de la obra</w:t>
      </w:r>
      <w:bookmarkEnd w:id="51"/>
      <w:bookmarkEnd w:id="52"/>
    </w:p>
    <w:p w14:paraId="078EAB98" w14:textId="77777777" w:rsidR="00BB6E40" w:rsidRPr="00BB6E40" w:rsidRDefault="00BB6E40" w:rsidP="00BB6E40">
      <w:pPr>
        <w:spacing w:after="240"/>
        <w:jc w:val="both"/>
        <w:rPr>
          <w:rFonts w:ascii="Century Gothic" w:hAnsi="Century Gothic"/>
          <w:sz w:val="24"/>
          <w:szCs w:val="24"/>
        </w:rPr>
      </w:pPr>
      <w:r w:rsidRPr="00BB6E40">
        <w:rPr>
          <w:rFonts w:ascii="Century Gothic" w:hAnsi="Century Gothic"/>
          <w:sz w:val="24"/>
          <w:szCs w:val="24"/>
        </w:rPr>
        <w:t>El documento, “Plan de calidad para la ejecución de la obra”, tiene como objetivo “</w:t>
      </w:r>
      <w:r w:rsidRPr="00BB6E40">
        <w:rPr>
          <w:rFonts w:ascii="Century Gothic" w:hAnsi="Century Gothic"/>
          <w:b/>
          <w:sz w:val="24"/>
          <w:szCs w:val="24"/>
        </w:rPr>
        <w:t>Supervisar, Controlar</w:t>
      </w:r>
      <w:r w:rsidRPr="00BB6E40">
        <w:rPr>
          <w:rFonts w:ascii="Century Gothic" w:hAnsi="Century Gothic"/>
          <w:sz w:val="24"/>
          <w:szCs w:val="24"/>
        </w:rPr>
        <w:t xml:space="preserve"> y Ejecutar la Obra Pública que realiza la Secretaría de Desarrollo Urbano, buscando la Excelencia y Calidad  respecto  al proyecto ejecutivo, plazos y presupuestos establecidos en el Contrato o Acuerdo, así como el cabal cumplimiento de las Especificaciones Generales de Construcción de la Secretaría de Desarrollo Urbano y la normatividad aplicable”</w:t>
      </w:r>
      <w:r w:rsidRPr="00BB6E40">
        <w:rPr>
          <w:rStyle w:val="Refdenotaalpie"/>
          <w:rFonts w:ascii="Century Gothic" w:hAnsi="Century Gothic"/>
          <w:sz w:val="24"/>
          <w:szCs w:val="24"/>
        </w:rPr>
        <w:footnoteReference w:id="20"/>
      </w:r>
      <w:r w:rsidRPr="00BB6E40">
        <w:rPr>
          <w:rFonts w:ascii="Century Gothic" w:hAnsi="Century Gothic"/>
          <w:sz w:val="24"/>
          <w:szCs w:val="24"/>
        </w:rPr>
        <w:t>.</w:t>
      </w:r>
    </w:p>
    <w:p w14:paraId="0759A324" w14:textId="77777777" w:rsidR="00BB6E40" w:rsidRPr="00BB6E40" w:rsidRDefault="00BB6E40" w:rsidP="00BB6E40">
      <w:pPr>
        <w:spacing w:after="240"/>
        <w:jc w:val="both"/>
        <w:rPr>
          <w:rFonts w:ascii="Century Gothic" w:hAnsi="Century Gothic"/>
          <w:sz w:val="24"/>
          <w:szCs w:val="24"/>
        </w:rPr>
      </w:pPr>
      <w:r w:rsidRPr="00BB6E40">
        <w:rPr>
          <w:rFonts w:ascii="Century Gothic" w:hAnsi="Century Gothic"/>
          <w:sz w:val="24"/>
          <w:szCs w:val="24"/>
        </w:rPr>
        <w:t>Este subproceso es esencial, pues comprende desde la recepción de la unidad ejecutora de los documentos de la obra a realizar (expediente unitario de obra, autorización de recursos, y oficio de asignación de la obra); el inicio de la obra; la</w:t>
      </w:r>
      <w:r w:rsidRPr="00BB6E40">
        <w:rPr>
          <w:rFonts w:ascii="Century Gothic" w:hAnsi="Century Gothic"/>
          <w:b/>
          <w:sz w:val="24"/>
          <w:szCs w:val="24"/>
        </w:rPr>
        <w:t xml:space="preserve"> supervisión</w:t>
      </w:r>
      <w:r w:rsidRPr="00BB6E40">
        <w:rPr>
          <w:rFonts w:ascii="Century Gothic" w:hAnsi="Century Gothic"/>
          <w:sz w:val="24"/>
          <w:szCs w:val="24"/>
        </w:rPr>
        <w:t xml:space="preserve"> y ejecución de la obra, finalizando con la terminación de la obra, tal como se detalla en el siguiente diagrama:</w:t>
      </w:r>
    </w:p>
    <w:p w14:paraId="14D4430B" w14:textId="77777777" w:rsidR="00BB6E40" w:rsidRPr="00BB6E40" w:rsidRDefault="00BB6E40" w:rsidP="00BB6E40">
      <w:pPr>
        <w:spacing w:after="120"/>
        <w:jc w:val="center"/>
        <w:rPr>
          <w:rFonts w:ascii="Century Gothic" w:hAnsi="Century Gothic"/>
          <w:b/>
          <w:sz w:val="24"/>
          <w:szCs w:val="24"/>
        </w:rPr>
      </w:pPr>
    </w:p>
    <w:p w14:paraId="2E1CC1DB" w14:textId="77777777" w:rsidR="00BB6E40" w:rsidRPr="00BB6E40" w:rsidRDefault="00BB6E40" w:rsidP="00BB6E40">
      <w:pPr>
        <w:spacing w:after="120"/>
        <w:jc w:val="center"/>
        <w:rPr>
          <w:rFonts w:ascii="Century Gothic" w:hAnsi="Century Gothic"/>
          <w:b/>
          <w:sz w:val="24"/>
          <w:szCs w:val="24"/>
        </w:rPr>
      </w:pPr>
    </w:p>
    <w:p w14:paraId="2045C5A1" w14:textId="77777777" w:rsidR="00BB6E40" w:rsidRPr="00BB6E40" w:rsidRDefault="00BB6E40" w:rsidP="00BB6E40">
      <w:pPr>
        <w:spacing w:after="120"/>
        <w:jc w:val="center"/>
        <w:rPr>
          <w:rFonts w:ascii="Century Gothic" w:hAnsi="Century Gothic"/>
          <w:b/>
          <w:sz w:val="24"/>
          <w:szCs w:val="24"/>
        </w:rPr>
      </w:pPr>
    </w:p>
    <w:p w14:paraId="2FBB6783" w14:textId="77777777" w:rsidR="00BB6E40" w:rsidRDefault="00BB6E40" w:rsidP="00BB6E40">
      <w:pPr>
        <w:spacing w:after="120"/>
        <w:jc w:val="center"/>
        <w:rPr>
          <w:rFonts w:ascii="Century Gothic" w:hAnsi="Century Gothic"/>
          <w:b/>
        </w:rPr>
      </w:pPr>
    </w:p>
    <w:p w14:paraId="437EE501" w14:textId="77777777" w:rsidR="00BB6E40" w:rsidRDefault="00BB6E40" w:rsidP="00BB6E40">
      <w:pPr>
        <w:spacing w:after="120"/>
        <w:jc w:val="center"/>
        <w:rPr>
          <w:rFonts w:ascii="Century Gothic" w:hAnsi="Century Gothic"/>
          <w:b/>
        </w:rPr>
      </w:pPr>
    </w:p>
    <w:p w14:paraId="76243E16" w14:textId="77777777" w:rsidR="00BB6E40" w:rsidRDefault="00BB6E40" w:rsidP="00BB6E40">
      <w:pPr>
        <w:spacing w:after="120"/>
        <w:jc w:val="center"/>
        <w:rPr>
          <w:rFonts w:ascii="Century Gothic" w:hAnsi="Century Gothic"/>
          <w:b/>
        </w:rPr>
      </w:pPr>
    </w:p>
    <w:p w14:paraId="676ED351" w14:textId="77777777" w:rsidR="00BB6E40" w:rsidRDefault="00BB6E40" w:rsidP="00BB6E40">
      <w:pPr>
        <w:spacing w:after="120"/>
        <w:jc w:val="center"/>
        <w:rPr>
          <w:rFonts w:ascii="Century Gothic" w:hAnsi="Century Gothic"/>
          <w:b/>
        </w:rPr>
      </w:pPr>
    </w:p>
    <w:p w14:paraId="21ADB80C" w14:textId="77777777" w:rsidR="00BB6E40" w:rsidRDefault="00BB6E40" w:rsidP="00BB6E40">
      <w:pPr>
        <w:spacing w:after="120"/>
        <w:jc w:val="center"/>
        <w:rPr>
          <w:rFonts w:ascii="Century Gothic" w:hAnsi="Century Gothic"/>
          <w:b/>
        </w:rPr>
      </w:pPr>
    </w:p>
    <w:p w14:paraId="207A743C" w14:textId="77777777" w:rsidR="00BB6E40" w:rsidRDefault="00BB6E40" w:rsidP="00BB6E40">
      <w:pPr>
        <w:spacing w:after="120"/>
        <w:jc w:val="center"/>
        <w:rPr>
          <w:rFonts w:ascii="Century Gothic" w:hAnsi="Century Gothic"/>
          <w:b/>
        </w:rPr>
      </w:pPr>
    </w:p>
    <w:p w14:paraId="14C9ED67" w14:textId="77777777" w:rsidR="00BB6E40" w:rsidRDefault="00BB6E40" w:rsidP="00BB6E40">
      <w:pPr>
        <w:spacing w:after="120"/>
        <w:jc w:val="center"/>
        <w:rPr>
          <w:rFonts w:ascii="Century Gothic" w:hAnsi="Century Gothic"/>
          <w:b/>
        </w:rPr>
      </w:pPr>
    </w:p>
    <w:p w14:paraId="21A54676" w14:textId="77777777" w:rsidR="00BB6E40" w:rsidRPr="00E21CFB" w:rsidRDefault="0075288D" w:rsidP="00BB6E40">
      <w:pPr>
        <w:spacing w:after="120"/>
        <w:jc w:val="center"/>
        <w:rPr>
          <w:rFonts w:ascii="Century Gothic" w:hAnsi="Century Gothic"/>
          <w:b/>
        </w:rPr>
      </w:pPr>
      <w:r>
        <w:rPr>
          <w:rFonts w:ascii="Century Gothic" w:hAnsi="Century Gothic"/>
          <w:b/>
        </w:rPr>
        <w:lastRenderedPageBreak/>
        <w:t>Figura 2.17</w:t>
      </w:r>
      <w:r w:rsidR="00BB6E40" w:rsidRPr="00E21CFB">
        <w:rPr>
          <w:rFonts w:ascii="Century Gothic" w:hAnsi="Century Gothic"/>
          <w:b/>
        </w:rPr>
        <w:t xml:space="preserve">. Diagrama: Plan de la Calidad para la </w:t>
      </w:r>
      <w:r w:rsidR="00BB6E40">
        <w:rPr>
          <w:rFonts w:ascii="Century Gothic" w:hAnsi="Century Gothic"/>
          <w:b/>
        </w:rPr>
        <w:t>ejecución de la obra</w:t>
      </w:r>
    </w:p>
    <w:p w14:paraId="5C8CDFA0" w14:textId="77777777" w:rsidR="00BB6E40" w:rsidRDefault="00BB6E40" w:rsidP="00BB6E40">
      <w:pPr>
        <w:spacing w:after="240"/>
        <w:ind w:left="-426" w:right="-284"/>
        <w:rPr>
          <w:noProof/>
          <w:lang w:eastAsia="es-MX"/>
        </w:rPr>
      </w:pPr>
      <w:r>
        <w:object w:dxaOrig="14795" w:dyaOrig="10827" w14:anchorId="1B409810">
          <v:shape id="_x0000_i1026" type="#_x0000_t75" style="width:507.75pt;height:369.75pt" o:ole="">
            <v:imagedata r:id="rId31" o:title=""/>
          </v:shape>
          <o:OLEObject Type="Embed" ProgID="Visio.Drawing.11" ShapeID="_x0000_i1026" DrawAspect="Content" ObjectID="_1589788921" r:id="rId32"/>
        </w:object>
      </w:r>
    </w:p>
    <w:p w14:paraId="236BF743" w14:textId="77777777" w:rsidR="00BB6E40" w:rsidRPr="00E21CFB" w:rsidRDefault="00BB6E40" w:rsidP="00BB6E40">
      <w:pPr>
        <w:spacing w:after="240"/>
        <w:ind w:left="-425" w:right="-284"/>
        <w:rPr>
          <w:sz w:val="2"/>
        </w:rPr>
      </w:pPr>
      <w:r>
        <w:object w:dxaOrig="14795" w:dyaOrig="10827" w14:anchorId="181654C6">
          <v:shape id="_x0000_i1027" type="#_x0000_t75" style="width:492pt;height:360.75pt" o:ole="">
            <v:imagedata r:id="rId33" o:title=""/>
          </v:shape>
          <o:OLEObject Type="Embed" ProgID="Visio.Drawing.11" ShapeID="_x0000_i1027" DrawAspect="Content" ObjectID="_1589788922" r:id="rId34"/>
        </w:object>
      </w:r>
    </w:p>
    <w:p w14:paraId="7FF97BA9" w14:textId="77777777" w:rsidR="00662D69" w:rsidRPr="00BB6E40" w:rsidRDefault="00BB6E40" w:rsidP="00BB6E40">
      <w:pPr>
        <w:pStyle w:val="Textonotapie"/>
        <w:spacing w:after="240" w:line="276" w:lineRule="auto"/>
        <w:jc w:val="both"/>
        <w:rPr>
          <w:rFonts w:ascii="Century Gothic" w:hAnsi="Century Gothic"/>
          <w:sz w:val="28"/>
          <w:szCs w:val="24"/>
        </w:rPr>
      </w:pPr>
      <w:r w:rsidRPr="00C74970">
        <w:rPr>
          <w:rFonts w:cstheme="minorHAnsi"/>
          <w:sz w:val="22"/>
        </w:rPr>
        <w:t>Fuente: Tomado el documento “Plan de la Calidad para la contratación” suministrado por la SEIDUR como evidencia</w:t>
      </w:r>
      <w:r w:rsidRPr="00C74970">
        <w:rPr>
          <w:rFonts w:ascii="Century Gothic" w:hAnsi="Century Gothic"/>
        </w:rPr>
        <w:t>.</w:t>
      </w:r>
    </w:p>
    <w:p w14:paraId="2109F6AF" w14:textId="77777777" w:rsidR="000B0650" w:rsidRDefault="001741B8" w:rsidP="003A0D5D">
      <w:pPr>
        <w:pStyle w:val="Textonotapie"/>
        <w:spacing w:after="240" w:line="276" w:lineRule="auto"/>
        <w:jc w:val="both"/>
        <w:rPr>
          <w:rFonts w:ascii="Century Gothic" w:hAnsi="Century Gothic"/>
          <w:sz w:val="24"/>
          <w:szCs w:val="24"/>
        </w:rPr>
      </w:pPr>
      <w:r w:rsidRPr="003A0D5D">
        <w:rPr>
          <w:rFonts w:ascii="Century Gothic" w:hAnsi="Century Gothic"/>
          <w:sz w:val="24"/>
          <w:szCs w:val="24"/>
        </w:rPr>
        <w:t>Así, se puede observar que dicho</w:t>
      </w:r>
      <w:r w:rsidR="009D6836">
        <w:rPr>
          <w:rFonts w:ascii="Century Gothic" w:hAnsi="Century Gothic"/>
          <w:sz w:val="24"/>
          <w:szCs w:val="24"/>
        </w:rPr>
        <w:t>s</w:t>
      </w:r>
      <w:r w:rsidRPr="003A0D5D">
        <w:rPr>
          <w:rFonts w:ascii="Century Gothic" w:hAnsi="Century Gothic"/>
          <w:sz w:val="24"/>
          <w:szCs w:val="24"/>
        </w:rPr>
        <w:t xml:space="preserve"> proceso</w:t>
      </w:r>
      <w:r w:rsidR="009D6836">
        <w:rPr>
          <w:rFonts w:ascii="Century Gothic" w:hAnsi="Century Gothic"/>
          <w:sz w:val="24"/>
          <w:szCs w:val="24"/>
        </w:rPr>
        <w:t>s</w:t>
      </w:r>
      <w:r w:rsidRPr="003A0D5D">
        <w:rPr>
          <w:rFonts w:ascii="Century Gothic" w:hAnsi="Century Gothic"/>
          <w:sz w:val="24"/>
          <w:szCs w:val="24"/>
        </w:rPr>
        <w:t xml:space="preserve"> </w:t>
      </w:r>
      <w:r w:rsidR="00781277" w:rsidRPr="003A0D5D">
        <w:rPr>
          <w:rFonts w:ascii="Century Gothic" w:hAnsi="Century Gothic"/>
          <w:sz w:val="24"/>
          <w:szCs w:val="24"/>
        </w:rPr>
        <w:t>contempla</w:t>
      </w:r>
      <w:r w:rsidR="009D6836">
        <w:rPr>
          <w:rFonts w:ascii="Century Gothic" w:hAnsi="Century Gothic"/>
          <w:sz w:val="24"/>
          <w:szCs w:val="24"/>
        </w:rPr>
        <w:t>n</w:t>
      </w:r>
      <w:r w:rsidR="000B0650" w:rsidRPr="003A0D5D">
        <w:rPr>
          <w:rFonts w:ascii="Century Gothic" w:hAnsi="Century Gothic"/>
          <w:sz w:val="24"/>
          <w:szCs w:val="24"/>
        </w:rPr>
        <w:t xml:space="preserve"> desde que Dirección de Obra Pública, recibe el </w:t>
      </w:r>
      <w:r w:rsidR="003A0D5D" w:rsidRPr="003A0D5D">
        <w:rPr>
          <w:rFonts w:ascii="Century Gothic" w:hAnsi="Century Gothic"/>
          <w:sz w:val="24"/>
          <w:szCs w:val="24"/>
        </w:rPr>
        <w:t>expediente</w:t>
      </w:r>
      <w:r w:rsidR="000B0650" w:rsidRPr="003A0D5D">
        <w:rPr>
          <w:rFonts w:ascii="Century Gothic" w:hAnsi="Century Gothic"/>
          <w:sz w:val="24"/>
          <w:szCs w:val="24"/>
        </w:rPr>
        <w:t xml:space="preserve"> de la obra </w:t>
      </w:r>
      <w:r w:rsidR="003A0D5D" w:rsidRPr="003A0D5D">
        <w:rPr>
          <w:rFonts w:ascii="Century Gothic" w:hAnsi="Century Gothic"/>
          <w:sz w:val="24"/>
          <w:szCs w:val="24"/>
        </w:rPr>
        <w:t>para iniciar el proceso de contratación y posteriormente el inicio de esta. Hasta la entrega final dela obra registrado mediante el documento de “acta de entrega de la obra”, es decir este es el proceso para la ejecución de la obra.</w:t>
      </w:r>
    </w:p>
    <w:p w14:paraId="16496DD2" w14:textId="77777777" w:rsidR="003A0D5D" w:rsidRDefault="006073A0" w:rsidP="003A0D5D">
      <w:pPr>
        <w:pStyle w:val="Textonotapie"/>
        <w:spacing w:after="240" w:line="276" w:lineRule="auto"/>
        <w:jc w:val="both"/>
        <w:rPr>
          <w:rFonts w:ascii="Century Gothic" w:hAnsi="Century Gothic"/>
          <w:sz w:val="24"/>
          <w:szCs w:val="24"/>
        </w:rPr>
      </w:pPr>
      <w:r>
        <w:rPr>
          <w:rFonts w:ascii="Century Gothic" w:hAnsi="Century Gothic"/>
          <w:sz w:val="24"/>
          <w:szCs w:val="24"/>
        </w:rPr>
        <w:t>El otro tema que se evalúa en este apartado es si e</w:t>
      </w:r>
      <w:r w:rsidRPr="006073A0">
        <w:rPr>
          <w:rFonts w:ascii="Century Gothic" w:hAnsi="Century Gothic"/>
          <w:sz w:val="24"/>
          <w:szCs w:val="24"/>
        </w:rPr>
        <w:t xml:space="preserve">l programa cuenta con mecanismos documentados para verificar </w:t>
      </w:r>
      <w:r>
        <w:rPr>
          <w:rFonts w:ascii="Century Gothic" w:hAnsi="Century Gothic"/>
          <w:sz w:val="24"/>
          <w:szCs w:val="24"/>
        </w:rPr>
        <w:t xml:space="preserve">si </w:t>
      </w:r>
      <w:r w:rsidRPr="006073A0">
        <w:rPr>
          <w:rFonts w:ascii="Century Gothic" w:hAnsi="Century Gothic"/>
          <w:sz w:val="24"/>
          <w:szCs w:val="24"/>
        </w:rPr>
        <w:t>el</w:t>
      </w:r>
      <w:r>
        <w:rPr>
          <w:rFonts w:ascii="Century Gothic" w:hAnsi="Century Gothic"/>
          <w:sz w:val="24"/>
          <w:szCs w:val="24"/>
        </w:rPr>
        <w:t xml:space="preserve"> procedimiento de selección de beneficiarios y/o </w:t>
      </w:r>
      <w:r w:rsidRPr="006073A0">
        <w:rPr>
          <w:rFonts w:ascii="Century Gothic" w:hAnsi="Century Gothic"/>
          <w:sz w:val="24"/>
          <w:szCs w:val="24"/>
        </w:rPr>
        <w:t>obras</w:t>
      </w:r>
      <w:r>
        <w:rPr>
          <w:rFonts w:ascii="Century Gothic" w:hAnsi="Century Gothic"/>
          <w:sz w:val="24"/>
          <w:szCs w:val="24"/>
        </w:rPr>
        <w:t xml:space="preserve">. </w:t>
      </w:r>
      <w:r w:rsidR="003A0D5D">
        <w:rPr>
          <w:rFonts w:ascii="Century Gothic" w:hAnsi="Century Gothic"/>
          <w:sz w:val="24"/>
          <w:szCs w:val="24"/>
        </w:rPr>
        <w:t>Sin embargo</w:t>
      </w:r>
      <w:r>
        <w:rPr>
          <w:rFonts w:ascii="Century Gothic" w:hAnsi="Century Gothic"/>
          <w:sz w:val="24"/>
          <w:szCs w:val="24"/>
        </w:rPr>
        <w:t>,</w:t>
      </w:r>
      <w:r w:rsidR="003A0D5D">
        <w:rPr>
          <w:rFonts w:ascii="Century Gothic" w:hAnsi="Century Gothic"/>
          <w:sz w:val="24"/>
          <w:szCs w:val="24"/>
        </w:rPr>
        <w:t xml:space="preserve"> no se suministró </w:t>
      </w:r>
      <w:r w:rsidR="00D91CB5">
        <w:rPr>
          <w:rFonts w:ascii="Century Gothic" w:hAnsi="Century Gothic"/>
          <w:sz w:val="24"/>
          <w:szCs w:val="24"/>
        </w:rPr>
        <w:t>evidencia</w:t>
      </w:r>
      <w:r w:rsidR="003A0D5D">
        <w:rPr>
          <w:rFonts w:ascii="Century Gothic" w:hAnsi="Century Gothic"/>
          <w:sz w:val="24"/>
          <w:szCs w:val="24"/>
        </w:rPr>
        <w:t xml:space="preserve"> sobre el proceso de cómo se selecciona la obra a realizar, es decir, si el </w:t>
      </w:r>
      <w:r w:rsidR="003A0D5D" w:rsidRPr="003A0D5D">
        <w:rPr>
          <w:rFonts w:ascii="Century Gothic" w:hAnsi="Century Gothic"/>
          <w:sz w:val="24"/>
          <w:szCs w:val="24"/>
        </w:rPr>
        <w:t xml:space="preserve">programa cuenta con mecanismos documentados para verificar el </w:t>
      </w:r>
      <w:r w:rsidR="003A0D5D" w:rsidRPr="003A0D5D">
        <w:rPr>
          <w:rFonts w:ascii="Century Gothic" w:hAnsi="Century Gothic"/>
          <w:b/>
          <w:sz w:val="24"/>
          <w:szCs w:val="24"/>
        </w:rPr>
        <w:t xml:space="preserve">procedimiento de selección de  beneficiarios y/o </w:t>
      </w:r>
      <w:r w:rsidR="003A0D5D" w:rsidRPr="003A0D5D">
        <w:rPr>
          <w:rFonts w:ascii="Century Gothic" w:hAnsi="Century Gothic"/>
          <w:sz w:val="24"/>
          <w:szCs w:val="24"/>
        </w:rPr>
        <w:t>o</w:t>
      </w:r>
      <w:r w:rsidR="003A0D5D" w:rsidRPr="006073A0">
        <w:rPr>
          <w:rFonts w:ascii="Century Gothic" w:hAnsi="Century Gothic"/>
          <w:b/>
          <w:sz w:val="24"/>
          <w:szCs w:val="24"/>
        </w:rPr>
        <w:t>bras</w:t>
      </w:r>
      <w:r w:rsidR="003A0D5D">
        <w:rPr>
          <w:rFonts w:ascii="Century Gothic" w:hAnsi="Century Gothic"/>
          <w:sz w:val="24"/>
          <w:szCs w:val="24"/>
        </w:rPr>
        <w:t>.</w:t>
      </w:r>
    </w:p>
    <w:p w14:paraId="1A06C764" w14:textId="77777777" w:rsidR="00D91CB5" w:rsidRDefault="00D91CB5" w:rsidP="00D91CB5">
      <w:pPr>
        <w:jc w:val="both"/>
        <w:rPr>
          <w:rFonts w:ascii="Century Gothic" w:hAnsi="Century Gothic"/>
          <w:sz w:val="24"/>
          <w:szCs w:val="24"/>
        </w:rPr>
      </w:pPr>
      <w:r>
        <w:rPr>
          <w:rFonts w:ascii="Century Gothic" w:hAnsi="Century Gothic"/>
          <w:sz w:val="24"/>
          <w:szCs w:val="24"/>
        </w:rPr>
        <w:lastRenderedPageBreak/>
        <w:t>Pues ante esto la dependencia manifestó que “</w:t>
      </w:r>
      <w:r w:rsidRPr="00D91CB5">
        <w:rPr>
          <w:rFonts w:ascii="Century Gothic" w:hAnsi="Century Gothic"/>
          <w:sz w:val="24"/>
          <w:szCs w:val="24"/>
        </w:rPr>
        <w:t>el programa cuenta con mecanismos documentados para la selección de obra. Los cuales están presentes en el plan de desarrollo estatal y los compromisos del gobernador</w:t>
      </w:r>
      <w:r>
        <w:rPr>
          <w:rFonts w:ascii="Century Gothic" w:hAnsi="Century Gothic"/>
          <w:sz w:val="24"/>
          <w:szCs w:val="24"/>
        </w:rPr>
        <w:t>”</w:t>
      </w:r>
      <w:r>
        <w:rPr>
          <w:rStyle w:val="Refdenotaalpie"/>
          <w:rFonts w:ascii="Century Gothic" w:hAnsi="Century Gothic"/>
          <w:sz w:val="24"/>
          <w:szCs w:val="24"/>
        </w:rPr>
        <w:footnoteReference w:id="21"/>
      </w:r>
      <w:r w:rsidR="006073A0">
        <w:rPr>
          <w:rFonts w:ascii="Century Gothic" w:hAnsi="Century Gothic"/>
          <w:sz w:val="24"/>
          <w:szCs w:val="24"/>
        </w:rPr>
        <w:t>. No obstante no se suministró ningún tipo de evidencia.</w:t>
      </w:r>
    </w:p>
    <w:p w14:paraId="111C005A" w14:textId="77777777" w:rsidR="003A0D5D" w:rsidRDefault="006073A0" w:rsidP="003A0D5D">
      <w:pPr>
        <w:pStyle w:val="Textonotapie"/>
        <w:spacing w:after="240" w:line="276" w:lineRule="auto"/>
        <w:jc w:val="both"/>
        <w:rPr>
          <w:rFonts w:ascii="Century Gothic" w:hAnsi="Century Gothic"/>
          <w:sz w:val="24"/>
          <w:szCs w:val="24"/>
        </w:rPr>
      </w:pPr>
      <w:r>
        <w:rPr>
          <w:rFonts w:ascii="Century Gothic" w:hAnsi="Century Gothic"/>
          <w:sz w:val="24"/>
          <w:szCs w:val="24"/>
        </w:rPr>
        <w:t xml:space="preserve">Por lo cual se recomienda que se establezca este proceso que debe anteceder al inicio de la obra, es decir establecer el paso a paso que </w:t>
      </w:r>
      <w:r w:rsidRPr="00BB52C4">
        <w:rPr>
          <w:rFonts w:ascii="Century Gothic" w:hAnsi="Century Gothic"/>
          <w:sz w:val="24"/>
          <w:szCs w:val="24"/>
        </w:rPr>
        <w:t>determine como se toma la decisión de qué tipo de obra, en que colonia, a que población, es la que se va a realizar</w:t>
      </w:r>
      <w:r w:rsidR="00BB52C4">
        <w:rPr>
          <w:rFonts w:ascii="Century Gothic" w:hAnsi="Century Gothic"/>
          <w:sz w:val="24"/>
          <w:szCs w:val="24"/>
        </w:rPr>
        <w:t>. Así como identificar si la obra está asociada directamente a un programa plasmado desde el plan de desarrollo, o fue por demanda de la población o por atención a una carencia específica.</w:t>
      </w:r>
    </w:p>
    <w:p w14:paraId="7A4638EF" w14:textId="77777777" w:rsidR="00781277" w:rsidRDefault="00BB52C4" w:rsidP="000B0650">
      <w:pPr>
        <w:spacing w:after="240"/>
        <w:jc w:val="both"/>
        <w:rPr>
          <w:rFonts w:ascii="Century Gothic" w:hAnsi="Century Gothic"/>
          <w:sz w:val="24"/>
        </w:rPr>
      </w:pPr>
      <w:r>
        <w:rPr>
          <w:rFonts w:ascii="Century Gothic" w:hAnsi="Century Gothic"/>
          <w:sz w:val="24"/>
        </w:rPr>
        <w:t xml:space="preserve">Para esto también se debe recopilar información </w:t>
      </w:r>
      <w:r w:rsidRPr="00BB52C4">
        <w:rPr>
          <w:rFonts w:ascii="Century Gothic" w:hAnsi="Century Gothic"/>
          <w:sz w:val="24"/>
        </w:rPr>
        <w:t>que permite conocer la demanda total de apoyos y las características de los solicitantes</w:t>
      </w:r>
      <w:r w:rsidR="00F93C5E">
        <w:rPr>
          <w:rFonts w:ascii="Century Gothic" w:hAnsi="Century Gothic"/>
          <w:sz w:val="24"/>
        </w:rPr>
        <w:t>, es decir se debe contar con un diagnóstico de las condiciones de la infraestructura no habitacional en el estado de Colima y que se complemente con las solicitudes de requerimiento, esto en caso de que la población haga demandas por este tipo de obra.</w:t>
      </w:r>
    </w:p>
    <w:p w14:paraId="73032A86" w14:textId="77777777" w:rsidR="00306042" w:rsidRDefault="00306042" w:rsidP="000B0650">
      <w:pPr>
        <w:spacing w:after="240"/>
        <w:jc w:val="both"/>
        <w:rPr>
          <w:rFonts w:ascii="Century Gothic" w:hAnsi="Century Gothic"/>
          <w:sz w:val="24"/>
        </w:rPr>
      </w:pPr>
      <w:r>
        <w:rPr>
          <w:rFonts w:ascii="Century Gothic" w:hAnsi="Century Gothic"/>
          <w:sz w:val="24"/>
        </w:rPr>
        <w:t xml:space="preserve">Otro tema es referente a la entrega de la obra, el programa debe contar </w:t>
      </w:r>
      <w:r w:rsidRPr="00306042">
        <w:rPr>
          <w:rFonts w:ascii="Century Gothic" w:hAnsi="Century Gothic"/>
          <w:sz w:val="24"/>
        </w:rPr>
        <w:t>con mecanismos documentados para verificar el proc</w:t>
      </w:r>
      <w:r>
        <w:rPr>
          <w:rFonts w:ascii="Century Gothic" w:hAnsi="Century Gothic"/>
          <w:sz w:val="24"/>
        </w:rPr>
        <w:t xml:space="preserve">edimiento de entrega de las </w:t>
      </w:r>
      <w:r w:rsidRPr="00306042">
        <w:rPr>
          <w:rFonts w:ascii="Century Gothic" w:hAnsi="Century Gothic"/>
          <w:sz w:val="24"/>
        </w:rPr>
        <w:t>obras a los usuarios</w:t>
      </w:r>
      <w:r>
        <w:rPr>
          <w:rFonts w:ascii="Century Gothic" w:hAnsi="Century Gothic"/>
          <w:sz w:val="24"/>
        </w:rPr>
        <w:t>. Ante lo cual la SEIDUR manifestó:</w:t>
      </w:r>
    </w:p>
    <w:p w14:paraId="5B8340B4" w14:textId="77777777" w:rsidR="00306042" w:rsidRDefault="00306042" w:rsidP="00306042">
      <w:pPr>
        <w:spacing w:after="240"/>
        <w:ind w:left="284" w:right="333"/>
        <w:jc w:val="both"/>
        <w:rPr>
          <w:rFonts w:ascii="Century Gothic" w:hAnsi="Century Gothic"/>
          <w:sz w:val="24"/>
        </w:rPr>
      </w:pPr>
      <w:r>
        <w:rPr>
          <w:rFonts w:ascii="Century Gothic" w:hAnsi="Century Gothic"/>
          <w:sz w:val="24"/>
        </w:rPr>
        <w:t>E</w:t>
      </w:r>
      <w:r w:rsidRPr="00306042">
        <w:rPr>
          <w:rFonts w:ascii="Century Gothic" w:hAnsi="Century Gothic"/>
          <w:sz w:val="24"/>
        </w:rPr>
        <w:t>l programa recolecta información de inicio de obra, contrato de obra, monto asignado, monto contratado, monto ejercido por obra, inicio de obra, fin de obra, monitoreo de obra etc</w:t>
      </w:r>
      <w:r w:rsidR="00742762">
        <w:rPr>
          <w:rStyle w:val="Refdenotaalpie"/>
          <w:rFonts w:ascii="Century Gothic" w:hAnsi="Century Gothic"/>
          <w:sz w:val="24"/>
        </w:rPr>
        <w:footnoteReference w:id="22"/>
      </w:r>
      <w:r w:rsidR="00742762">
        <w:rPr>
          <w:rFonts w:ascii="Century Gothic" w:hAnsi="Century Gothic"/>
          <w:sz w:val="24"/>
        </w:rPr>
        <w:t>.</w:t>
      </w:r>
    </w:p>
    <w:p w14:paraId="55561421" w14:textId="77777777" w:rsidR="007957E9" w:rsidRDefault="00742762" w:rsidP="000B0650">
      <w:pPr>
        <w:spacing w:after="240"/>
        <w:jc w:val="both"/>
        <w:rPr>
          <w:rFonts w:ascii="Century Gothic" w:hAnsi="Century Gothic"/>
          <w:sz w:val="24"/>
        </w:rPr>
      </w:pPr>
      <w:r>
        <w:rPr>
          <w:rFonts w:ascii="Century Gothic" w:hAnsi="Century Gothic"/>
          <w:sz w:val="24"/>
        </w:rPr>
        <w:t>Lo cual se pudo constatar, suministraron como evidencia copias de algunas actas de entrega recepción de obra, donde se pudo evidenciar que estas contienen datos tales como: número de contrato</w:t>
      </w:r>
      <w:r w:rsidR="007957E9">
        <w:rPr>
          <w:rFonts w:ascii="Century Gothic" w:hAnsi="Century Gothic"/>
          <w:sz w:val="24"/>
        </w:rPr>
        <w:t>, convenio, nombre de la obra, ubicación, descripción de los trabajos realizados, inversión, y están firmado por el encargado de recibir la obra por parte de la SEIDUR (Director de obra pública) y de quien la entrega (Empresa contratista).</w:t>
      </w:r>
    </w:p>
    <w:p w14:paraId="624F0E8D" w14:textId="77777777" w:rsidR="00306042" w:rsidRDefault="007957E9" w:rsidP="000B0650">
      <w:pPr>
        <w:spacing w:after="240"/>
        <w:jc w:val="both"/>
        <w:rPr>
          <w:rFonts w:ascii="Century Gothic" w:hAnsi="Century Gothic"/>
          <w:sz w:val="24"/>
        </w:rPr>
      </w:pPr>
      <w:r>
        <w:rPr>
          <w:rFonts w:ascii="Century Gothic" w:hAnsi="Century Gothic"/>
          <w:sz w:val="24"/>
        </w:rPr>
        <w:lastRenderedPageBreak/>
        <w:t>Por lo que se puede afirmar que dicho documento permite identificar las acciones que se realizaron, están estandarizados, son conocidos por los operadores del programa, sin embargo no están estandarizados.</w:t>
      </w:r>
    </w:p>
    <w:p w14:paraId="0DEE2BE4" w14:textId="77777777" w:rsidR="007957E9" w:rsidRDefault="007957E9" w:rsidP="000B0650">
      <w:pPr>
        <w:spacing w:after="240"/>
        <w:jc w:val="both"/>
        <w:rPr>
          <w:rFonts w:ascii="Century Gothic" w:hAnsi="Century Gothic"/>
          <w:sz w:val="24"/>
        </w:rPr>
      </w:pPr>
      <w:r>
        <w:rPr>
          <w:rFonts w:ascii="Century Gothic" w:hAnsi="Century Gothic"/>
          <w:sz w:val="24"/>
        </w:rPr>
        <w:t>En general se puede concluir que la SEIDUR cuenta con procesos definidos y que además cuentan con certificación ISO 9001, para la ejecución de la obra, sin embargo no se suministró evidencia del proceso previo, es decir cómo se seleccionan las obras a realizar, por lo que se recomienda que a dicho proceso se le adicione este paso y que se complemente con un diagnóstico de las características de la infraestructura no habitacional en el estado.</w:t>
      </w:r>
    </w:p>
    <w:p w14:paraId="05167631" w14:textId="77777777" w:rsidR="00940A4E" w:rsidRDefault="005F7C97" w:rsidP="000B0E2D">
      <w:pPr>
        <w:pStyle w:val="Ttulo2"/>
        <w:spacing w:before="0" w:after="240"/>
        <w:ind w:left="284"/>
        <w:rPr>
          <w:rFonts w:ascii="Century Gothic" w:hAnsi="Century Gothic"/>
          <w:color w:val="0E4E7A"/>
          <w:sz w:val="28"/>
        </w:rPr>
      </w:pPr>
      <w:bookmarkStart w:id="53" w:name="_Toc505364439"/>
      <w:bookmarkStart w:id="54" w:name="_Toc511859789"/>
      <w:r>
        <w:rPr>
          <w:rFonts w:ascii="Century Gothic" w:hAnsi="Century Gothic"/>
          <w:color w:val="0E4E7A"/>
          <w:sz w:val="28"/>
        </w:rPr>
        <w:t>2.4.2</w:t>
      </w:r>
      <w:r w:rsidR="00940A4E">
        <w:rPr>
          <w:rFonts w:ascii="Century Gothic" w:hAnsi="Century Gothic"/>
          <w:color w:val="0E4E7A"/>
          <w:sz w:val="28"/>
        </w:rPr>
        <w:t>.</w:t>
      </w:r>
      <w:r w:rsidR="00940A4E" w:rsidRPr="00745740">
        <w:rPr>
          <w:rFonts w:ascii="Century Gothic" w:hAnsi="Century Gothic"/>
          <w:color w:val="0E4E7A"/>
          <w:sz w:val="28"/>
        </w:rPr>
        <w:t xml:space="preserve"> </w:t>
      </w:r>
      <w:r w:rsidR="00940A4E" w:rsidRPr="00940A4E">
        <w:rPr>
          <w:rFonts w:ascii="Century Gothic" w:hAnsi="Century Gothic"/>
          <w:color w:val="0E4E7A"/>
          <w:sz w:val="28"/>
        </w:rPr>
        <w:t>Mejora y simplificación regulatoria</w:t>
      </w:r>
      <w:r w:rsidR="00940A4E" w:rsidRPr="00745740">
        <w:rPr>
          <w:rFonts w:ascii="Century Gothic" w:hAnsi="Century Gothic"/>
          <w:color w:val="0E4E7A"/>
          <w:sz w:val="28"/>
        </w:rPr>
        <w:t>.</w:t>
      </w:r>
      <w:bookmarkEnd w:id="53"/>
      <w:bookmarkEnd w:id="54"/>
    </w:p>
    <w:p w14:paraId="49C0D74B" w14:textId="77777777" w:rsidR="000B0E2D" w:rsidRDefault="000B0E2D" w:rsidP="000B0E2D">
      <w:pPr>
        <w:spacing w:after="240"/>
        <w:jc w:val="both"/>
        <w:rPr>
          <w:rFonts w:ascii="Century Gothic" w:hAnsi="Century Gothic"/>
          <w:sz w:val="24"/>
          <w:szCs w:val="24"/>
        </w:rPr>
      </w:pPr>
      <w:r>
        <w:rPr>
          <w:rFonts w:ascii="Century Gothic" w:hAnsi="Century Gothic"/>
          <w:sz w:val="24"/>
          <w:szCs w:val="24"/>
        </w:rPr>
        <w:t>En este apartado se revisa los cambios que se han hecho en los últimos tres años a los documentos normativos por los que opera el programa y de cómo esto ha permitido agilizar el proceso de apoyo.</w:t>
      </w:r>
      <w:r w:rsidR="00363140">
        <w:rPr>
          <w:rFonts w:ascii="Century Gothic" w:hAnsi="Century Gothic"/>
          <w:sz w:val="24"/>
          <w:szCs w:val="24"/>
        </w:rPr>
        <w:t xml:space="preserve"> </w:t>
      </w:r>
      <w:r>
        <w:rPr>
          <w:rFonts w:ascii="Century Gothic" w:hAnsi="Century Gothic"/>
          <w:sz w:val="24"/>
          <w:szCs w:val="24"/>
        </w:rPr>
        <w:t>Ante esto la SEIDUR manifestó:</w:t>
      </w:r>
    </w:p>
    <w:p w14:paraId="06103982" w14:textId="77777777" w:rsidR="000B0E2D" w:rsidRDefault="000B0E2D" w:rsidP="000B0E2D">
      <w:pPr>
        <w:spacing w:after="240"/>
        <w:ind w:left="284" w:right="333"/>
        <w:jc w:val="both"/>
        <w:rPr>
          <w:rFonts w:ascii="Century Gothic" w:hAnsi="Century Gothic"/>
          <w:sz w:val="24"/>
          <w:szCs w:val="24"/>
        </w:rPr>
      </w:pPr>
      <w:r w:rsidRPr="000B0E2D">
        <w:rPr>
          <w:rFonts w:ascii="Century Gothic" w:hAnsi="Century Gothic"/>
          <w:sz w:val="24"/>
          <w:szCs w:val="24"/>
        </w:rPr>
        <w:t>El Principal cambio sustantivo realizado en los últimos 3 años fue la certifi</w:t>
      </w:r>
      <w:r>
        <w:rPr>
          <w:rFonts w:ascii="Century Gothic" w:hAnsi="Century Gothic"/>
          <w:sz w:val="24"/>
          <w:szCs w:val="24"/>
        </w:rPr>
        <w:t>cación en gestión de calidad ISO</w:t>
      </w:r>
      <w:r w:rsidRPr="000B0E2D">
        <w:rPr>
          <w:rFonts w:ascii="Century Gothic" w:hAnsi="Century Gothic"/>
          <w:sz w:val="24"/>
          <w:szCs w:val="24"/>
        </w:rPr>
        <w:t xml:space="preserve"> 9001, la cual trajo consigo que los procedimientos se estandarizaran, agilizaran y registraran de forma adecuada</w:t>
      </w:r>
      <w:r>
        <w:rPr>
          <w:rStyle w:val="Refdenotaalpie"/>
          <w:rFonts w:ascii="Century Gothic" w:hAnsi="Century Gothic"/>
          <w:sz w:val="24"/>
          <w:szCs w:val="24"/>
        </w:rPr>
        <w:footnoteReference w:id="23"/>
      </w:r>
    </w:p>
    <w:p w14:paraId="377ADADD" w14:textId="77777777" w:rsidR="004E66F4" w:rsidRDefault="00396FF3" w:rsidP="007E64E5">
      <w:pPr>
        <w:spacing w:after="240"/>
        <w:jc w:val="both"/>
        <w:rPr>
          <w:rFonts w:ascii="Century Gothic" w:hAnsi="Century Gothic"/>
          <w:sz w:val="24"/>
          <w:szCs w:val="24"/>
        </w:rPr>
      </w:pPr>
      <w:r>
        <w:rPr>
          <w:rFonts w:ascii="Century Gothic" w:hAnsi="Century Gothic"/>
          <w:sz w:val="24"/>
          <w:szCs w:val="24"/>
        </w:rPr>
        <w:t>Otro paso que se  realizó en general para todas las dependencias en el año 2017, fue la modificación de la apertura programática y el desarrollo de MIR’s para cada uno de los programas presupuestarios que se operan. Esto dado que en el caso de la SEIDUR al año 2016 sólo manejaban un programa presupuestario, con el cambio a 2017 relacionados directamente con infraestructura no habitacion</w:t>
      </w:r>
      <w:r w:rsidR="007E64E5">
        <w:rPr>
          <w:rFonts w:ascii="Century Gothic" w:hAnsi="Century Gothic"/>
          <w:sz w:val="24"/>
          <w:szCs w:val="24"/>
        </w:rPr>
        <w:t>al se implementaron 6 programas.</w:t>
      </w:r>
    </w:p>
    <w:p w14:paraId="7F2B1152" w14:textId="77777777" w:rsidR="007E64E5" w:rsidRPr="00BE0ED5" w:rsidRDefault="007E64E5" w:rsidP="007E64E5">
      <w:pPr>
        <w:pStyle w:val="Prrafodelista"/>
        <w:numPr>
          <w:ilvl w:val="0"/>
          <w:numId w:val="19"/>
        </w:numPr>
        <w:autoSpaceDE w:val="0"/>
        <w:autoSpaceDN w:val="0"/>
        <w:adjustRightInd w:val="0"/>
        <w:spacing w:after="120"/>
        <w:ind w:left="714" w:hanging="357"/>
        <w:contextualSpacing w:val="0"/>
        <w:jc w:val="both"/>
        <w:rPr>
          <w:rFonts w:ascii="Century Gothic" w:hAnsi="Century Gothic" w:cs="Arial"/>
          <w:bCs/>
          <w:sz w:val="24"/>
          <w:szCs w:val="24"/>
        </w:rPr>
      </w:pPr>
      <w:r w:rsidRPr="00BE0ED5">
        <w:rPr>
          <w:rFonts w:ascii="Century Gothic" w:hAnsi="Century Gothic" w:cs="Arial"/>
          <w:bCs/>
          <w:sz w:val="24"/>
          <w:szCs w:val="24"/>
        </w:rPr>
        <w:t>92. Planeación y Conducción de la Política de Infraestructura Estatal</w:t>
      </w:r>
    </w:p>
    <w:p w14:paraId="32446A1B" w14:textId="77777777" w:rsidR="007E64E5" w:rsidRPr="00BE0ED5" w:rsidRDefault="007E64E5" w:rsidP="007E64E5">
      <w:pPr>
        <w:pStyle w:val="Prrafodelista"/>
        <w:numPr>
          <w:ilvl w:val="0"/>
          <w:numId w:val="19"/>
        </w:numPr>
        <w:autoSpaceDE w:val="0"/>
        <w:autoSpaceDN w:val="0"/>
        <w:adjustRightInd w:val="0"/>
        <w:spacing w:after="120"/>
        <w:ind w:left="714" w:hanging="357"/>
        <w:contextualSpacing w:val="0"/>
        <w:jc w:val="both"/>
        <w:rPr>
          <w:rFonts w:ascii="Century Gothic" w:hAnsi="Century Gothic" w:cs="Arial"/>
          <w:bCs/>
          <w:sz w:val="24"/>
          <w:szCs w:val="24"/>
        </w:rPr>
      </w:pPr>
      <w:r w:rsidRPr="00BE0ED5">
        <w:rPr>
          <w:rFonts w:ascii="Century Gothic" w:hAnsi="Century Gothic" w:cs="Arial"/>
          <w:bCs/>
          <w:sz w:val="24"/>
          <w:szCs w:val="24"/>
        </w:rPr>
        <w:t>93. Apoyo Parque Regional</w:t>
      </w:r>
    </w:p>
    <w:p w14:paraId="05A75645" w14:textId="77777777" w:rsidR="007E64E5" w:rsidRPr="00BE0ED5" w:rsidRDefault="007E64E5" w:rsidP="007E64E5">
      <w:pPr>
        <w:pStyle w:val="Prrafodelista"/>
        <w:numPr>
          <w:ilvl w:val="0"/>
          <w:numId w:val="19"/>
        </w:numPr>
        <w:autoSpaceDE w:val="0"/>
        <w:autoSpaceDN w:val="0"/>
        <w:adjustRightInd w:val="0"/>
        <w:spacing w:after="120"/>
        <w:ind w:left="714" w:hanging="357"/>
        <w:contextualSpacing w:val="0"/>
        <w:jc w:val="both"/>
        <w:rPr>
          <w:rFonts w:ascii="Century Gothic" w:hAnsi="Century Gothic" w:cs="Arial"/>
          <w:b/>
          <w:bCs/>
          <w:sz w:val="24"/>
          <w:szCs w:val="24"/>
        </w:rPr>
      </w:pPr>
      <w:r w:rsidRPr="00BE0ED5">
        <w:rPr>
          <w:rFonts w:ascii="Century Gothic" w:hAnsi="Century Gothic" w:cs="Arial"/>
          <w:b/>
          <w:bCs/>
          <w:sz w:val="24"/>
          <w:szCs w:val="24"/>
        </w:rPr>
        <w:t>94.- Infraestructura desarrollo económico</w:t>
      </w:r>
    </w:p>
    <w:p w14:paraId="7FA53AFA" w14:textId="77777777" w:rsidR="007E64E5" w:rsidRPr="00BE0ED5" w:rsidRDefault="007E64E5" w:rsidP="007E64E5">
      <w:pPr>
        <w:pStyle w:val="Prrafodelista"/>
        <w:numPr>
          <w:ilvl w:val="0"/>
          <w:numId w:val="19"/>
        </w:numPr>
        <w:autoSpaceDE w:val="0"/>
        <w:autoSpaceDN w:val="0"/>
        <w:adjustRightInd w:val="0"/>
        <w:spacing w:after="120"/>
        <w:ind w:left="714" w:hanging="357"/>
        <w:contextualSpacing w:val="0"/>
        <w:jc w:val="both"/>
        <w:rPr>
          <w:rFonts w:ascii="Century Gothic" w:hAnsi="Century Gothic" w:cs="Arial"/>
          <w:b/>
          <w:bCs/>
          <w:sz w:val="24"/>
          <w:szCs w:val="24"/>
        </w:rPr>
      </w:pPr>
      <w:r w:rsidRPr="00BE0ED5">
        <w:rPr>
          <w:rFonts w:ascii="Century Gothic" w:hAnsi="Century Gothic" w:cs="Arial"/>
          <w:b/>
          <w:bCs/>
          <w:sz w:val="24"/>
          <w:szCs w:val="24"/>
        </w:rPr>
        <w:t>95.- infraestructura manejo de residuos solidos</w:t>
      </w:r>
    </w:p>
    <w:p w14:paraId="00D48595" w14:textId="77777777" w:rsidR="007E64E5" w:rsidRPr="00BE0ED5" w:rsidRDefault="007E64E5" w:rsidP="007E64E5">
      <w:pPr>
        <w:pStyle w:val="Prrafodelista"/>
        <w:numPr>
          <w:ilvl w:val="0"/>
          <w:numId w:val="19"/>
        </w:numPr>
        <w:autoSpaceDE w:val="0"/>
        <w:autoSpaceDN w:val="0"/>
        <w:adjustRightInd w:val="0"/>
        <w:spacing w:after="120"/>
        <w:ind w:left="714" w:hanging="357"/>
        <w:contextualSpacing w:val="0"/>
        <w:jc w:val="both"/>
        <w:rPr>
          <w:rFonts w:ascii="Century Gothic" w:hAnsi="Century Gothic" w:cs="Arial"/>
          <w:b/>
          <w:bCs/>
          <w:sz w:val="24"/>
          <w:szCs w:val="24"/>
        </w:rPr>
      </w:pPr>
      <w:r w:rsidRPr="00BE0ED5">
        <w:rPr>
          <w:rFonts w:ascii="Century Gothic" w:hAnsi="Century Gothic" w:cs="Arial"/>
          <w:b/>
          <w:bCs/>
          <w:sz w:val="24"/>
          <w:szCs w:val="24"/>
        </w:rPr>
        <w:lastRenderedPageBreak/>
        <w:t>96.- infraestructura social</w:t>
      </w:r>
    </w:p>
    <w:p w14:paraId="741542DF" w14:textId="77777777" w:rsidR="007E64E5" w:rsidRPr="00BE0ED5" w:rsidRDefault="007E64E5" w:rsidP="007E64E5">
      <w:pPr>
        <w:pStyle w:val="Prrafodelista"/>
        <w:numPr>
          <w:ilvl w:val="0"/>
          <w:numId w:val="19"/>
        </w:numPr>
        <w:autoSpaceDE w:val="0"/>
        <w:autoSpaceDN w:val="0"/>
        <w:adjustRightInd w:val="0"/>
        <w:spacing w:after="120"/>
        <w:ind w:left="714" w:hanging="357"/>
        <w:contextualSpacing w:val="0"/>
        <w:jc w:val="both"/>
        <w:rPr>
          <w:rFonts w:ascii="Century Gothic" w:hAnsi="Century Gothic" w:cs="Arial"/>
          <w:b/>
          <w:bCs/>
          <w:sz w:val="24"/>
          <w:szCs w:val="24"/>
        </w:rPr>
      </w:pPr>
      <w:r w:rsidRPr="00BE0ED5">
        <w:rPr>
          <w:rFonts w:ascii="Century Gothic" w:hAnsi="Century Gothic" w:cs="Arial"/>
          <w:b/>
          <w:bCs/>
          <w:sz w:val="24"/>
          <w:szCs w:val="24"/>
        </w:rPr>
        <w:t>97.-infraestructura hidráulica</w:t>
      </w:r>
    </w:p>
    <w:p w14:paraId="6EB3697C" w14:textId="77777777" w:rsidR="007E64E5" w:rsidRPr="00BE0ED5" w:rsidRDefault="007E64E5" w:rsidP="007E64E5">
      <w:pPr>
        <w:pStyle w:val="Prrafodelista"/>
        <w:numPr>
          <w:ilvl w:val="0"/>
          <w:numId w:val="19"/>
        </w:numPr>
        <w:autoSpaceDE w:val="0"/>
        <w:autoSpaceDN w:val="0"/>
        <w:adjustRightInd w:val="0"/>
        <w:spacing w:after="120"/>
        <w:ind w:left="714" w:hanging="357"/>
        <w:contextualSpacing w:val="0"/>
        <w:jc w:val="both"/>
        <w:rPr>
          <w:rFonts w:ascii="Century Gothic" w:hAnsi="Century Gothic" w:cs="Arial"/>
          <w:b/>
          <w:bCs/>
          <w:sz w:val="24"/>
          <w:szCs w:val="24"/>
        </w:rPr>
      </w:pPr>
      <w:r w:rsidRPr="00BE0ED5">
        <w:rPr>
          <w:rFonts w:ascii="Century Gothic" w:hAnsi="Century Gothic" w:cs="Arial"/>
          <w:b/>
          <w:bCs/>
          <w:sz w:val="24"/>
          <w:szCs w:val="24"/>
        </w:rPr>
        <w:t xml:space="preserve">98.-Infraestructura carretera </w:t>
      </w:r>
    </w:p>
    <w:p w14:paraId="73E2A4D1" w14:textId="77777777" w:rsidR="007E64E5" w:rsidRPr="00BE0ED5" w:rsidRDefault="007E64E5" w:rsidP="007E64E5">
      <w:pPr>
        <w:pStyle w:val="Prrafodelista"/>
        <w:numPr>
          <w:ilvl w:val="0"/>
          <w:numId w:val="19"/>
        </w:numPr>
        <w:autoSpaceDE w:val="0"/>
        <w:autoSpaceDN w:val="0"/>
        <w:adjustRightInd w:val="0"/>
        <w:spacing w:after="240"/>
        <w:jc w:val="both"/>
        <w:rPr>
          <w:rFonts w:ascii="Century Gothic" w:hAnsi="Century Gothic" w:cs="Arial"/>
          <w:b/>
          <w:bCs/>
          <w:sz w:val="24"/>
          <w:szCs w:val="24"/>
        </w:rPr>
      </w:pPr>
      <w:r w:rsidRPr="00BE0ED5">
        <w:rPr>
          <w:rFonts w:ascii="Century Gothic" w:hAnsi="Century Gothic" w:cs="Arial"/>
          <w:b/>
          <w:bCs/>
          <w:sz w:val="24"/>
          <w:szCs w:val="24"/>
        </w:rPr>
        <w:t>99.- Infraestructura no habitacional.</w:t>
      </w:r>
    </w:p>
    <w:p w14:paraId="58D9DFFC" w14:textId="77777777" w:rsidR="007E64E5" w:rsidRDefault="007E64E5" w:rsidP="007E64E5">
      <w:pPr>
        <w:spacing w:after="240"/>
        <w:jc w:val="both"/>
        <w:rPr>
          <w:rFonts w:ascii="Century Gothic" w:hAnsi="Century Gothic"/>
          <w:sz w:val="24"/>
          <w:szCs w:val="24"/>
        </w:rPr>
      </w:pPr>
      <w:r>
        <w:rPr>
          <w:rFonts w:ascii="Century Gothic" w:hAnsi="Century Gothic"/>
          <w:sz w:val="24"/>
          <w:szCs w:val="24"/>
        </w:rPr>
        <w:t>Cada uno de estos programas tiene un objetivo específico de atención, por lo que se puede concluir que la dependencia ha venido implementando cambios en pro de una mayor eficiencia en su operación.</w:t>
      </w:r>
    </w:p>
    <w:p w14:paraId="39729C57" w14:textId="77777777" w:rsidR="00940A4E" w:rsidRDefault="005F7C97" w:rsidP="007E64E5">
      <w:pPr>
        <w:pStyle w:val="Ttulo2"/>
        <w:spacing w:before="0" w:after="240"/>
        <w:ind w:left="284"/>
        <w:rPr>
          <w:rFonts w:ascii="Century Gothic" w:hAnsi="Century Gothic"/>
          <w:color w:val="0E4E7A"/>
          <w:sz w:val="28"/>
        </w:rPr>
      </w:pPr>
      <w:bookmarkStart w:id="55" w:name="_Toc505364440"/>
      <w:bookmarkStart w:id="56" w:name="_Toc511859790"/>
      <w:r>
        <w:rPr>
          <w:rFonts w:ascii="Century Gothic" w:hAnsi="Century Gothic"/>
          <w:color w:val="0E4E7A"/>
          <w:sz w:val="28"/>
        </w:rPr>
        <w:t>2.4</w:t>
      </w:r>
      <w:r w:rsidR="00940A4E">
        <w:rPr>
          <w:rFonts w:ascii="Century Gothic" w:hAnsi="Century Gothic"/>
          <w:color w:val="0E4E7A"/>
          <w:sz w:val="28"/>
        </w:rPr>
        <w:t>.3.</w:t>
      </w:r>
      <w:r w:rsidR="00940A4E" w:rsidRPr="00745740">
        <w:rPr>
          <w:rFonts w:ascii="Century Gothic" w:hAnsi="Century Gothic"/>
          <w:color w:val="0E4E7A"/>
          <w:sz w:val="28"/>
        </w:rPr>
        <w:t xml:space="preserve"> </w:t>
      </w:r>
      <w:r w:rsidR="00940A4E" w:rsidRPr="00940A4E">
        <w:rPr>
          <w:rFonts w:ascii="Century Gothic" w:hAnsi="Century Gothic"/>
          <w:color w:val="0E4E7A"/>
          <w:sz w:val="28"/>
        </w:rPr>
        <w:t>Eficiencia y economía operativa del programa</w:t>
      </w:r>
      <w:r w:rsidR="00940A4E" w:rsidRPr="00745740">
        <w:rPr>
          <w:rFonts w:ascii="Century Gothic" w:hAnsi="Century Gothic"/>
          <w:color w:val="0E4E7A"/>
          <w:sz w:val="28"/>
        </w:rPr>
        <w:t>.</w:t>
      </w:r>
      <w:bookmarkEnd w:id="55"/>
      <w:bookmarkEnd w:id="56"/>
    </w:p>
    <w:p w14:paraId="7CE48E9E" w14:textId="77777777" w:rsidR="00AC64FA" w:rsidRPr="00471CE6" w:rsidRDefault="00AC64FA" w:rsidP="00AC64FA">
      <w:pPr>
        <w:spacing w:after="240"/>
        <w:jc w:val="both"/>
        <w:rPr>
          <w:rFonts w:ascii="Century Gothic" w:eastAsiaTheme="majorEastAsia" w:hAnsi="Century Gothic" w:cstheme="majorBidi"/>
          <w:sz w:val="24"/>
          <w:szCs w:val="32"/>
        </w:rPr>
      </w:pPr>
      <w:r w:rsidRPr="007066E9">
        <w:rPr>
          <w:rFonts w:ascii="Century Gothic" w:hAnsi="Century Gothic"/>
          <w:sz w:val="24"/>
          <w:szCs w:val="24"/>
        </w:rPr>
        <w:t>E</w:t>
      </w:r>
      <w:r>
        <w:rPr>
          <w:rFonts w:ascii="Century Gothic" w:hAnsi="Century Gothic"/>
          <w:sz w:val="24"/>
          <w:szCs w:val="24"/>
        </w:rPr>
        <w:t>n este apartado se analiza c</w:t>
      </w:r>
      <w:r w:rsidRPr="00AC64FA">
        <w:rPr>
          <w:rFonts w:ascii="Century Gothic" w:hAnsi="Century Gothic"/>
          <w:sz w:val="24"/>
          <w:szCs w:val="24"/>
        </w:rPr>
        <w:t>uáles son las fuentes de financiamiento para la operación del programa y qué proporción del presupuesto total d</w:t>
      </w:r>
      <w:r>
        <w:rPr>
          <w:rFonts w:ascii="Century Gothic" w:hAnsi="Century Gothic"/>
          <w:sz w:val="24"/>
          <w:szCs w:val="24"/>
        </w:rPr>
        <w:t xml:space="preserve">el programa representa cada una, así como también </w:t>
      </w:r>
      <w:r>
        <w:rPr>
          <w:rFonts w:ascii="Century Gothic" w:eastAsiaTheme="majorEastAsia" w:hAnsi="Century Gothic" w:cstheme="majorBidi"/>
          <w:sz w:val="24"/>
          <w:szCs w:val="32"/>
        </w:rPr>
        <w:t xml:space="preserve">se verifica si se </w:t>
      </w:r>
      <w:r w:rsidRPr="00471CE6">
        <w:rPr>
          <w:rFonts w:ascii="Century Gothic" w:eastAsiaTheme="majorEastAsia" w:hAnsi="Century Gothic" w:cstheme="majorBidi"/>
          <w:sz w:val="24"/>
          <w:szCs w:val="32"/>
        </w:rPr>
        <w:t>cuantifican los gastos en los que incurre para generar los servicios (Componentes) que ofrece</w:t>
      </w:r>
      <w:r>
        <w:rPr>
          <w:rFonts w:ascii="Century Gothic" w:eastAsiaTheme="majorEastAsia" w:hAnsi="Century Gothic" w:cstheme="majorBidi"/>
          <w:sz w:val="24"/>
          <w:szCs w:val="32"/>
        </w:rPr>
        <w:t xml:space="preserve">, además de </w:t>
      </w:r>
      <w:r w:rsidRPr="00471CE6">
        <w:rPr>
          <w:rFonts w:ascii="Century Gothic" w:eastAsiaTheme="majorEastAsia" w:hAnsi="Century Gothic" w:cstheme="majorBidi"/>
          <w:sz w:val="24"/>
          <w:szCs w:val="32"/>
        </w:rPr>
        <w:t>desglosa</w:t>
      </w:r>
      <w:r>
        <w:rPr>
          <w:rFonts w:ascii="Century Gothic" w:eastAsiaTheme="majorEastAsia" w:hAnsi="Century Gothic" w:cstheme="majorBidi"/>
          <w:sz w:val="24"/>
          <w:szCs w:val="32"/>
        </w:rPr>
        <w:t>rlos</w:t>
      </w:r>
      <w:r w:rsidRPr="00471CE6">
        <w:rPr>
          <w:rFonts w:ascii="Century Gothic" w:eastAsiaTheme="majorEastAsia" w:hAnsi="Century Gothic" w:cstheme="majorBidi"/>
          <w:sz w:val="24"/>
          <w:szCs w:val="32"/>
        </w:rPr>
        <w:t xml:space="preserve"> en los siguientes conceptos:</w:t>
      </w:r>
    </w:p>
    <w:p w14:paraId="67403B82" w14:textId="77777777" w:rsidR="00AC64FA" w:rsidRPr="00471CE6" w:rsidRDefault="00AC64FA" w:rsidP="0075288D">
      <w:pPr>
        <w:pStyle w:val="Prrafodelista"/>
        <w:numPr>
          <w:ilvl w:val="1"/>
          <w:numId w:val="30"/>
        </w:numPr>
        <w:spacing w:after="120"/>
        <w:ind w:left="567" w:hanging="357"/>
        <w:contextualSpacing w:val="0"/>
        <w:jc w:val="both"/>
        <w:rPr>
          <w:rFonts w:ascii="Century Gothic" w:eastAsiaTheme="majorEastAsia" w:hAnsi="Century Gothic" w:cstheme="majorBidi"/>
          <w:sz w:val="24"/>
          <w:szCs w:val="32"/>
        </w:rPr>
      </w:pPr>
      <w:r w:rsidRPr="00471CE6">
        <w:rPr>
          <w:rFonts w:ascii="Century Gothic" w:eastAsiaTheme="majorEastAsia" w:hAnsi="Century Gothic" w:cstheme="majorBidi"/>
          <w:sz w:val="24"/>
          <w:szCs w:val="32"/>
        </w:rPr>
        <w:t xml:space="preserve">Gastos en operación: se deben incluir los directos (gastos derivados de los subsidios monetarios y/o no monetarios entregados a la población atendida, considere los capítulos 2000 y/o 3000 y gastos en personal para la realización del programa, considere el capítulo 1000) y los indirectos (permiten aumentar la eficiencia, forman parte de los procesos de apoyo. Gastos en supervisión, capacitación y/o evaluación, considere los capítulos 2000, 3000 y/o 4000); </w:t>
      </w:r>
    </w:p>
    <w:p w14:paraId="2637CAA9" w14:textId="77777777" w:rsidR="00AC64FA" w:rsidRPr="00471CE6" w:rsidRDefault="00AC64FA" w:rsidP="0075288D">
      <w:pPr>
        <w:pStyle w:val="Prrafodelista"/>
        <w:numPr>
          <w:ilvl w:val="1"/>
          <w:numId w:val="30"/>
        </w:numPr>
        <w:spacing w:after="120"/>
        <w:ind w:left="567" w:hanging="357"/>
        <w:contextualSpacing w:val="0"/>
        <w:jc w:val="both"/>
        <w:rPr>
          <w:rFonts w:ascii="Century Gothic" w:eastAsiaTheme="majorEastAsia" w:hAnsi="Century Gothic" w:cstheme="majorBidi"/>
          <w:sz w:val="24"/>
          <w:szCs w:val="32"/>
        </w:rPr>
      </w:pPr>
      <w:r w:rsidRPr="00471CE6">
        <w:rPr>
          <w:rFonts w:ascii="Century Gothic" w:eastAsiaTheme="majorEastAsia" w:hAnsi="Century Gothic" w:cstheme="majorBidi"/>
          <w:sz w:val="24"/>
          <w:szCs w:val="32"/>
        </w:rPr>
        <w:t>Gastos en mantenimiento: requeridos para mantener el estándar de calidad de los activos necesarios para entregar los bienes o servicios a la población objetivo (unidades móviles, edificios, etc.). Considere recursos de los capítulos 2000,3000 y/o 4000;</w:t>
      </w:r>
    </w:p>
    <w:p w14:paraId="45668678" w14:textId="77777777" w:rsidR="00AC64FA" w:rsidRPr="00471CE6" w:rsidRDefault="00AC64FA" w:rsidP="0075288D">
      <w:pPr>
        <w:pStyle w:val="Prrafodelista"/>
        <w:numPr>
          <w:ilvl w:val="1"/>
          <w:numId w:val="30"/>
        </w:numPr>
        <w:spacing w:after="120"/>
        <w:ind w:left="567" w:hanging="357"/>
        <w:contextualSpacing w:val="0"/>
        <w:jc w:val="both"/>
        <w:rPr>
          <w:rFonts w:ascii="Century Gothic" w:eastAsiaTheme="majorEastAsia" w:hAnsi="Century Gothic" w:cstheme="majorBidi"/>
          <w:sz w:val="24"/>
          <w:szCs w:val="32"/>
        </w:rPr>
      </w:pPr>
      <w:r w:rsidRPr="00471CE6">
        <w:rPr>
          <w:rFonts w:ascii="Century Gothic" w:eastAsiaTheme="majorEastAsia" w:hAnsi="Century Gothic" w:cstheme="majorBidi"/>
          <w:sz w:val="24"/>
          <w:szCs w:val="32"/>
        </w:rPr>
        <w:t>Gastos en capital: son los que se deben afrontar para adquirir bienes cuya duración en el programa es superior a un año. Considere recursos de los capítulos 5000 y/o 6000 (Ej. terrenos, construcción, equipamiento, inversiones complementarias); y</w:t>
      </w:r>
    </w:p>
    <w:p w14:paraId="0941719A" w14:textId="77777777" w:rsidR="00AC64FA" w:rsidRPr="00471CE6" w:rsidRDefault="00AC64FA" w:rsidP="00AC64FA">
      <w:pPr>
        <w:pStyle w:val="Prrafodelista"/>
        <w:numPr>
          <w:ilvl w:val="1"/>
          <w:numId w:val="30"/>
        </w:numPr>
        <w:spacing w:after="240"/>
        <w:ind w:left="567"/>
        <w:contextualSpacing w:val="0"/>
        <w:jc w:val="both"/>
        <w:rPr>
          <w:rFonts w:ascii="Century Gothic" w:eastAsiaTheme="majorEastAsia" w:hAnsi="Century Gothic" w:cstheme="majorBidi"/>
          <w:sz w:val="24"/>
          <w:szCs w:val="32"/>
        </w:rPr>
      </w:pPr>
      <w:r w:rsidRPr="00471CE6">
        <w:rPr>
          <w:rFonts w:ascii="Century Gothic" w:eastAsiaTheme="majorEastAsia" w:hAnsi="Century Gothic" w:cstheme="majorBidi"/>
          <w:sz w:val="24"/>
          <w:szCs w:val="32"/>
        </w:rPr>
        <w:t xml:space="preserve">Gasto unitario: Gastos Totales/población atendida (Gastos totales = Gastos en operación + gastos en mantenimiento). </w:t>
      </w:r>
    </w:p>
    <w:p w14:paraId="2EAFE9C7" w14:textId="77777777" w:rsidR="000B04D6" w:rsidRDefault="000B04D6" w:rsidP="0075288D">
      <w:pPr>
        <w:spacing w:after="120"/>
        <w:jc w:val="both"/>
        <w:rPr>
          <w:rFonts w:ascii="Century Gothic" w:hAnsi="Century Gothic"/>
          <w:sz w:val="24"/>
          <w:szCs w:val="24"/>
        </w:rPr>
      </w:pPr>
      <w:r>
        <w:rPr>
          <w:rFonts w:ascii="Century Gothic" w:hAnsi="Century Gothic"/>
          <w:sz w:val="24"/>
        </w:rPr>
        <w:lastRenderedPageBreak/>
        <w:t xml:space="preserve">Ante ello se tiene que </w:t>
      </w:r>
      <w:r>
        <w:rPr>
          <w:rFonts w:ascii="Century Gothic" w:hAnsi="Century Gothic"/>
          <w:sz w:val="24"/>
          <w:szCs w:val="24"/>
        </w:rPr>
        <w:t xml:space="preserve">el programa de Infraestructura No Habitacional contó con un presupuesto de  $ </w:t>
      </w:r>
      <w:r w:rsidRPr="000B04D6">
        <w:rPr>
          <w:rFonts w:ascii="Century Gothic" w:hAnsi="Century Gothic"/>
          <w:sz w:val="24"/>
          <w:szCs w:val="24"/>
        </w:rPr>
        <w:t xml:space="preserve">122,863,187.57 </w:t>
      </w:r>
      <w:r>
        <w:rPr>
          <w:rFonts w:ascii="Century Gothic" w:hAnsi="Century Gothic"/>
          <w:sz w:val="24"/>
          <w:szCs w:val="24"/>
        </w:rPr>
        <w:t>en el año 2017:</w:t>
      </w:r>
    </w:p>
    <w:tbl>
      <w:tblPr>
        <w:tblW w:w="8341" w:type="dxa"/>
        <w:jc w:val="center"/>
        <w:tblCellMar>
          <w:left w:w="70" w:type="dxa"/>
          <w:right w:w="70" w:type="dxa"/>
        </w:tblCellMar>
        <w:tblLook w:val="04A0" w:firstRow="1" w:lastRow="0" w:firstColumn="1" w:lastColumn="0" w:noHBand="0" w:noVBand="1"/>
      </w:tblPr>
      <w:tblGrid>
        <w:gridCol w:w="1600"/>
        <w:gridCol w:w="3539"/>
        <w:gridCol w:w="2268"/>
        <w:gridCol w:w="934"/>
      </w:tblGrid>
      <w:tr w:rsidR="000B04D6" w:rsidRPr="0003781B" w14:paraId="2AADF483" w14:textId="77777777" w:rsidTr="0075288D">
        <w:trPr>
          <w:trHeight w:val="112"/>
          <w:jc w:val="center"/>
        </w:trPr>
        <w:tc>
          <w:tcPr>
            <w:tcW w:w="8341" w:type="dxa"/>
            <w:gridSpan w:val="4"/>
            <w:tcBorders>
              <w:top w:val="single" w:sz="4" w:space="0" w:color="auto"/>
              <w:left w:val="single" w:sz="4" w:space="0" w:color="auto"/>
              <w:bottom w:val="single" w:sz="4" w:space="0" w:color="auto"/>
              <w:right w:val="single" w:sz="4" w:space="0" w:color="000000"/>
            </w:tcBorders>
            <w:shd w:val="clear" w:color="000000" w:fill="0E4E7A"/>
            <w:noWrap/>
            <w:vAlign w:val="bottom"/>
            <w:hideMark/>
          </w:tcPr>
          <w:p w14:paraId="2DA8400D" w14:textId="77777777" w:rsidR="000B04D6" w:rsidRPr="00A602D1" w:rsidRDefault="003832EF" w:rsidP="002F6D4A">
            <w:pPr>
              <w:spacing w:after="0" w:line="240" w:lineRule="auto"/>
              <w:jc w:val="center"/>
              <w:rPr>
                <w:rFonts w:eastAsia="Times New Roman" w:cstheme="minorHAnsi"/>
                <w:b/>
                <w:bCs/>
                <w:color w:val="FFFFFF"/>
                <w:sz w:val="20"/>
                <w:szCs w:val="20"/>
                <w:lang w:eastAsia="es-MX"/>
              </w:rPr>
            </w:pPr>
            <w:r>
              <w:rPr>
                <w:rFonts w:eastAsia="Times New Roman" w:cstheme="minorHAnsi"/>
                <w:b/>
                <w:bCs/>
                <w:color w:val="FFFFFF"/>
                <w:sz w:val="20"/>
                <w:szCs w:val="20"/>
                <w:lang w:eastAsia="es-MX"/>
              </w:rPr>
              <w:t>Cuadro 2.15</w:t>
            </w:r>
            <w:r w:rsidR="000B04D6" w:rsidRPr="00A602D1">
              <w:rPr>
                <w:rFonts w:eastAsia="Times New Roman" w:cstheme="minorHAnsi"/>
                <w:b/>
                <w:bCs/>
                <w:color w:val="FFFFFF"/>
                <w:sz w:val="20"/>
                <w:szCs w:val="20"/>
                <w:lang w:eastAsia="es-MX"/>
              </w:rPr>
              <w:t>. Presupuesto Programa Infraestructura no Habitacional, por origen, SEIDUR, 2017</w:t>
            </w:r>
          </w:p>
        </w:tc>
      </w:tr>
      <w:tr w:rsidR="000B04D6" w:rsidRPr="0003781B" w14:paraId="09CC72D1" w14:textId="77777777" w:rsidTr="0075288D">
        <w:trPr>
          <w:trHeight w:val="70"/>
          <w:jc w:val="center"/>
        </w:trPr>
        <w:tc>
          <w:tcPr>
            <w:tcW w:w="5139" w:type="dxa"/>
            <w:gridSpan w:val="2"/>
            <w:tcBorders>
              <w:top w:val="single" w:sz="4" w:space="0" w:color="auto"/>
              <w:left w:val="single" w:sz="4" w:space="0" w:color="auto"/>
              <w:bottom w:val="single" w:sz="4" w:space="0" w:color="auto"/>
              <w:right w:val="single" w:sz="4" w:space="0" w:color="auto"/>
            </w:tcBorders>
            <w:shd w:val="clear" w:color="000000" w:fill="0E4E7A"/>
            <w:noWrap/>
            <w:vAlign w:val="bottom"/>
            <w:hideMark/>
          </w:tcPr>
          <w:p w14:paraId="6E8A0B7F" w14:textId="77777777" w:rsidR="000B04D6" w:rsidRPr="0003781B" w:rsidRDefault="000B04D6" w:rsidP="002F6D4A">
            <w:pPr>
              <w:spacing w:after="0" w:line="240" w:lineRule="auto"/>
              <w:jc w:val="center"/>
              <w:rPr>
                <w:rFonts w:eastAsia="Times New Roman" w:cstheme="minorHAnsi"/>
                <w:b/>
                <w:bCs/>
                <w:color w:val="FFFFFF"/>
                <w:sz w:val="20"/>
                <w:szCs w:val="20"/>
                <w:lang w:eastAsia="es-MX"/>
              </w:rPr>
            </w:pPr>
            <w:r w:rsidRPr="0003781B">
              <w:rPr>
                <w:rFonts w:eastAsia="Times New Roman" w:cstheme="minorHAnsi"/>
                <w:b/>
                <w:bCs/>
                <w:color w:val="FFFFFF"/>
                <w:sz w:val="20"/>
                <w:szCs w:val="20"/>
                <w:lang w:eastAsia="es-MX"/>
              </w:rPr>
              <w:t>Origen del Recurso</w:t>
            </w:r>
          </w:p>
        </w:tc>
        <w:tc>
          <w:tcPr>
            <w:tcW w:w="2268" w:type="dxa"/>
            <w:tcBorders>
              <w:top w:val="nil"/>
              <w:left w:val="nil"/>
              <w:bottom w:val="single" w:sz="4" w:space="0" w:color="auto"/>
              <w:right w:val="single" w:sz="4" w:space="0" w:color="auto"/>
            </w:tcBorders>
            <w:shd w:val="clear" w:color="000000" w:fill="0E4E7A"/>
            <w:noWrap/>
            <w:vAlign w:val="bottom"/>
            <w:hideMark/>
          </w:tcPr>
          <w:p w14:paraId="40E7F309" w14:textId="77777777" w:rsidR="000B04D6" w:rsidRPr="0003781B" w:rsidRDefault="000B04D6" w:rsidP="002F6D4A">
            <w:pPr>
              <w:spacing w:after="0" w:line="240" w:lineRule="auto"/>
              <w:jc w:val="center"/>
              <w:rPr>
                <w:rFonts w:eastAsia="Times New Roman" w:cstheme="minorHAnsi"/>
                <w:b/>
                <w:bCs/>
                <w:color w:val="FFFFFF"/>
                <w:sz w:val="20"/>
                <w:szCs w:val="20"/>
                <w:lang w:eastAsia="es-MX"/>
              </w:rPr>
            </w:pPr>
            <w:r w:rsidRPr="0003781B">
              <w:rPr>
                <w:rFonts w:eastAsia="Times New Roman" w:cstheme="minorHAnsi"/>
                <w:b/>
                <w:bCs/>
                <w:color w:val="FFFFFF"/>
                <w:sz w:val="20"/>
                <w:szCs w:val="20"/>
                <w:lang w:eastAsia="es-MX"/>
              </w:rPr>
              <w:t>Monto</w:t>
            </w:r>
          </w:p>
        </w:tc>
        <w:tc>
          <w:tcPr>
            <w:tcW w:w="934" w:type="dxa"/>
            <w:tcBorders>
              <w:top w:val="nil"/>
              <w:left w:val="nil"/>
              <w:bottom w:val="single" w:sz="4" w:space="0" w:color="auto"/>
              <w:right w:val="single" w:sz="4" w:space="0" w:color="auto"/>
            </w:tcBorders>
            <w:shd w:val="clear" w:color="000000" w:fill="0E4E7A"/>
            <w:noWrap/>
            <w:vAlign w:val="bottom"/>
            <w:hideMark/>
          </w:tcPr>
          <w:p w14:paraId="1D636954" w14:textId="77777777" w:rsidR="000B04D6" w:rsidRPr="0003781B" w:rsidRDefault="000B04D6" w:rsidP="002F6D4A">
            <w:pPr>
              <w:spacing w:after="0" w:line="240" w:lineRule="auto"/>
              <w:jc w:val="center"/>
              <w:rPr>
                <w:rFonts w:eastAsia="Times New Roman" w:cstheme="minorHAnsi"/>
                <w:b/>
                <w:bCs/>
                <w:color w:val="FFFFFF"/>
                <w:sz w:val="20"/>
                <w:szCs w:val="20"/>
                <w:lang w:eastAsia="es-MX"/>
              </w:rPr>
            </w:pPr>
            <w:r w:rsidRPr="0003781B">
              <w:rPr>
                <w:rFonts w:eastAsia="Times New Roman" w:cstheme="minorHAnsi"/>
                <w:b/>
                <w:bCs/>
                <w:color w:val="FFFFFF"/>
                <w:sz w:val="20"/>
                <w:szCs w:val="20"/>
                <w:lang w:eastAsia="es-MX"/>
              </w:rPr>
              <w:t>%</w:t>
            </w:r>
          </w:p>
        </w:tc>
      </w:tr>
      <w:tr w:rsidR="000B04D6" w:rsidRPr="0003781B" w14:paraId="6C249261" w14:textId="77777777" w:rsidTr="0075288D">
        <w:trPr>
          <w:trHeight w:val="105"/>
          <w:jc w:val="center"/>
        </w:trPr>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5D715B"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Federal</w:t>
            </w:r>
          </w:p>
        </w:tc>
        <w:tc>
          <w:tcPr>
            <w:tcW w:w="3539" w:type="dxa"/>
            <w:tcBorders>
              <w:top w:val="nil"/>
              <w:left w:val="nil"/>
              <w:bottom w:val="single" w:sz="4" w:space="0" w:color="auto"/>
              <w:right w:val="single" w:sz="4" w:space="0" w:color="auto"/>
            </w:tcBorders>
            <w:shd w:val="clear" w:color="auto" w:fill="auto"/>
            <w:noWrap/>
            <w:vAlign w:val="center"/>
            <w:hideMark/>
          </w:tcPr>
          <w:p w14:paraId="32D250BA" w14:textId="77777777" w:rsidR="000B04D6" w:rsidRPr="0003781B" w:rsidRDefault="000B04D6" w:rsidP="002F6D4A">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FAFEF  </w:t>
            </w:r>
          </w:p>
        </w:tc>
        <w:tc>
          <w:tcPr>
            <w:tcW w:w="2268" w:type="dxa"/>
            <w:tcBorders>
              <w:top w:val="nil"/>
              <w:left w:val="nil"/>
              <w:bottom w:val="single" w:sz="4" w:space="0" w:color="auto"/>
              <w:right w:val="single" w:sz="4" w:space="0" w:color="auto"/>
            </w:tcBorders>
            <w:shd w:val="clear" w:color="auto" w:fill="auto"/>
            <w:noWrap/>
            <w:vAlign w:val="bottom"/>
            <w:hideMark/>
          </w:tcPr>
          <w:p w14:paraId="496FD0E7" w14:textId="77777777" w:rsidR="000B04D6" w:rsidRPr="0003781B" w:rsidRDefault="000B04D6" w:rsidP="002F6D4A">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21,499,988.82 </w:t>
            </w:r>
          </w:p>
        </w:tc>
        <w:tc>
          <w:tcPr>
            <w:tcW w:w="934" w:type="dxa"/>
            <w:tcBorders>
              <w:top w:val="nil"/>
              <w:left w:val="nil"/>
              <w:bottom w:val="single" w:sz="4" w:space="0" w:color="auto"/>
              <w:right w:val="single" w:sz="4" w:space="0" w:color="auto"/>
            </w:tcBorders>
            <w:shd w:val="clear" w:color="auto" w:fill="auto"/>
            <w:noWrap/>
            <w:vAlign w:val="bottom"/>
            <w:hideMark/>
          </w:tcPr>
          <w:p w14:paraId="61AE05E2"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17.5%</w:t>
            </w:r>
          </w:p>
        </w:tc>
      </w:tr>
      <w:tr w:rsidR="000B04D6" w:rsidRPr="0003781B" w14:paraId="36E2A655" w14:textId="77777777" w:rsidTr="0075288D">
        <w:trPr>
          <w:trHeight w:val="237"/>
          <w:jc w:val="center"/>
        </w:trPr>
        <w:tc>
          <w:tcPr>
            <w:tcW w:w="1600" w:type="dxa"/>
            <w:vMerge/>
            <w:tcBorders>
              <w:top w:val="nil"/>
              <w:left w:val="single" w:sz="4" w:space="0" w:color="auto"/>
              <w:bottom w:val="single" w:sz="4" w:space="0" w:color="auto"/>
              <w:right w:val="single" w:sz="4" w:space="0" w:color="auto"/>
            </w:tcBorders>
            <w:vAlign w:val="center"/>
            <w:hideMark/>
          </w:tcPr>
          <w:p w14:paraId="521086ED" w14:textId="77777777" w:rsidR="000B04D6" w:rsidRPr="0003781B" w:rsidRDefault="000B04D6" w:rsidP="002F6D4A">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5F151D52" w14:textId="77777777" w:rsidR="000B04D6" w:rsidRPr="0003781B" w:rsidRDefault="000B04D6" w:rsidP="002F6D4A">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FORTALECE</w:t>
            </w:r>
          </w:p>
        </w:tc>
        <w:tc>
          <w:tcPr>
            <w:tcW w:w="2268" w:type="dxa"/>
            <w:tcBorders>
              <w:top w:val="nil"/>
              <w:left w:val="nil"/>
              <w:bottom w:val="single" w:sz="4" w:space="0" w:color="auto"/>
              <w:right w:val="single" w:sz="4" w:space="0" w:color="auto"/>
            </w:tcBorders>
            <w:shd w:val="clear" w:color="auto" w:fill="auto"/>
            <w:noWrap/>
            <w:vAlign w:val="bottom"/>
            <w:hideMark/>
          </w:tcPr>
          <w:p w14:paraId="4812A9DB" w14:textId="77777777" w:rsidR="000B04D6" w:rsidRPr="0003781B" w:rsidRDefault="000B04D6" w:rsidP="002F6D4A">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1,956,749.12 </w:t>
            </w:r>
          </w:p>
        </w:tc>
        <w:tc>
          <w:tcPr>
            <w:tcW w:w="934" w:type="dxa"/>
            <w:tcBorders>
              <w:top w:val="nil"/>
              <w:left w:val="nil"/>
              <w:bottom w:val="single" w:sz="4" w:space="0" w:color="auto"/>
              <w:right w:val="single" w:sz="4" w:space="0" w:color="auto"/>
            </w:tcBorders>
            <w:shd w:val="clear" w:color="auto" w:fill="auto"/>
            <w:noWrap/>
            <w:vAlign w:val="bottom"/>
            <w:hideMark/>
          </w:tcPr>
          <w:p w14:paraId="0F0B12F3"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1.6%</w:t>
            </w:r>
          </w:p>
        </w:tc>
      </w:tr>
      <w:tr w:rsidR="000B04D6" w:rsidRPr="0003781B" w14:paraId="46FA1E74" w14:textId="77777777" w:rsidTr="0075288D">
        <w:trPr>
          <w:trHeight w:val="70"/>
          <w:jc w:val="center"/>
        </w:trPr>
        <w:tc>
          <w:tcPr>
            <w:tcW w:w="1600" w:type="dxa"/>
            <w:vMerge/>
            <w:tcBorders>
              <w:top w:val="nil"/>
              <w:left w:val="single" w:sz="4" w:space="0" w:color="auto"/>
              <w:bottom w:val="single" w:sz="4" w:space="0" w:color="auto"/>
              <w:right w:val="single" w:sz="4" w:space="0" w:color="auto"/>
            </w:tcBorders>
            <w:vAlign w:val="center"/>
            <w:hideMark/>
          </w:tcPr>
          <w:p w14:paraId="3013CB3E" w14:textId="77777777" w:rsidR="000B04D6" w:rsidRPr="0003781B" w:rsidRDefault="000B04D6" w:rsidP="002F6D4A">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0268E47E" w14:textId="77777777" w:rsidR="000B04D6" w:rsidRPr="0003781B" w:rsidRDefault="000B04D6" w:rsidP="002F6D4A">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Programas Regionales</w:t>
            </w:r>
          </w:p>
        </w:tc>
        <w:tc>
          <w:tcPr>
            <w:tcW w:w="2268" w:type="dxa"/>
            <w:tcBorders>
              <w:top w:val="nil"/>
              <w:left w:val="nil"/>
              <w:bottom w:val="single" w:sz="4" w:space="0" w:color="auto"/>
              <w:right w:val="single" w:sz="4" w:space="0" w:color="auto"/>
            </w:tcBorders>
            <w:shd w:val="clear" w:color="auto" w:fill="auto"/>
            <w:noWrap/>
            <w:vAlign w:val="bottom"/>
            <w:hideMark/>
          </w:tcPr>
          <w:p w14:paraId="0D125685" w14:textId="77777777" w:rsidR="000B04D6" w:rsidRPr="0003781B" w:rsidRDefault="000B04D6" w:rsidP="002F6D4A">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7,072,071.42 </w:t>
            </w:r>
          </w:p>
        </w:tc>
        <w:tc>
          <w:tcPr>
            <w:tcW w:w="934" w:type="dxa"/>
            <w:tcBorders>
              <w:top w:val="nil"/>
              <w:left w:val="nil"/>
              <w:bottom w:val="single" w:sz="4" w:space="0" w:color="auto"/>
              <w:right w:val="single" w:sz="4" w:space="0" w:color="auto"/>
            </w:tcBorders>
            <w:shd w:val="clear" w:color="auto" w:fill="auto"/>
            <w:noWrap/>
            <w:vAlign w:val="bottom"/>
            <w:hideMark/>
          </w:tcPr>
          <w:p w14:paraId="138DEE42"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5.8%</w:t>
            </w:r>
          </w:p>
        </w:tc>
      </w:tr>
      <w:tr w:rsidR="000B04D6" w:rsidRPr="0003781B" w14:paraId="7662179C" w14:textId="77777777" w:rsidTr="0075288D">
        <w:trPr>
          <w:trHeight w:val="70"/>
          <w:jc w:val="center"/>
        </w:trPr>
        <w:tc>
          <w:tcPr>
            <w:tcW w:w="1600" w:type="dxa"/>
            <w:vMerge/>
            <w:tcBorders>
              <w:top w:val="nil"/>
              <w:left w:val="single" w:sz="4" w:space="0" w:color="auto"/>
              <w:bottom w:val="single" w:sz="4" w:space="0" w:color="auto"/>
              <w:right w:val="single" w:sz="4" w:space="0" w:color="auto"/>
            </w:tcBorders>
            <w:vAlign w:val="center"/>
            <w:hideMark/>
          </w:tcPr>
          <w:p w14:paraId="046F137C" w14:textId="77777777" w:rsidR="000B04D6" w:rsidRPr="0003781B" w:rsidRDefault="000B04D6" w:rsidP="002F6D4A">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344B34D8" w14:textId="77777777" w:rsidR="000B04D6" w:rsidRPr="0003781B" w:rsidRDefault="000B04D6" w:rsidP="002F6D4A">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CONADE </w:t>
            </w:r>
          </w:p>
        </w:tc>
        <w:tc>
          <w:tcPr>
            <w:tcW w:w="2268" w:type="dxa"/>
            <w:tcBorders>
              <w:top w:val="nil"/>
              <w:left w:val="nil"/>
              <w:bottom w:val="single" w:sz="4" w:space="0" w:color="auto"/>
              <w:right w:val="single" w:sz="4" w:space="0" w:color="auto"/>
            </w:tcBorders>
            <w:shd w:val="clear" w:color="auto" w:fill="auto"/>
            <w:noWrap/>
            <w:vAlign w:val="bottom"/>
            <w:hideMark/>
          </w:tcPr>
          <w:p w14:paraId="4437102B" w14:textId="77777777" w:rsidR="000B04D6" w:rsidRPr="0003781B" w:rsidRDefault="000B04D6" w:rsidP="002F6D4A">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1,994,095.60 </w:t>
            </w:r>
          </w:p>
        </w:tc>
        <w:tc>
          <w:tcPr>
            <w:tcW w:w="934" w:type="dxa"/>
            <w:tcBorders>
              <w:top w:val="nil"/>
              <w:left w:val="nil"/>
              <w:bottom w:val="single" w:sz="4" w:space="0" w:color="auto"/>
              <w:right w:val="single" w:sz="4" w:space="0" w:color="auto"/>
            </w:tcBorders>
            <w:shd w:val="clear" w:color="auto" w:fill="auto"/>
            <w:noWrap/>
            <w:vAlign w:val="bottom"/>
            <w:hideMark/>
          </w:tcPr>
          <w:p w14:paraId="0F742953"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1.6%</w:t>
            </w:r>
          </w:p>
        </w:tc>
      </w:tr>
      <w:tr w:rsidR="000B04D6" w:rsidRPr="0003781B" w14:paraId="495F13D3" w14:textId="77777777" w:rsidTr="002F6D4A">
        <w:trPr>
          <w:trHeight w:val="300"/>
          <w:jc w:val="center"/>
        </w:trPr>
        <w:tc>
          <w:tcPr>
            <w:tcW w:w="1600" w:type="dxa"/>
            <w:vMerge/>
            <w:tcBorders>
              <w:top w:val="nil"/>
              <w:left w:val="single" w:sz="4" w:space="0" w:color="auto"/>
              <w:bottom w:val="single" w:sz="4" w:space="0" w:color="auto"/>
              <w:right w:val="single" w:sz="4" w:space="0" w:color="auto"/>
            </w:tcBorders>
            <w:vAlign w:val="center"/>
            <w:hideMark/>
          </w:tcPr>
          <w:p w14:paraId="2C30C04C" w14:textId="77777777" w:rsidR="000B04D6" w:rsidRPr="0003781B" w:rsidRDefault="000B04D6" w:rsidP="002F6D4A">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654DEA91" w14:textId="77777777" w:rsidR="000B04D6" w:rsidRPr="0003781B" w:rsidRDefault="000B04D6" w:rsidP="002F6D4A">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Fortalecimiento Financiero</w:t>
            </w:r>
          </w:p>
        </w:tc>
        <w:tc>
          <w:tcPr>
            <w:tcW w:w="2268" w:type="dxa"/>
            <w:tcBorders>
              <w:top w:val="nil"/>
              <w:left w:val="nil"/>
              <w:bottom w:val="single" w:sz="4" w:space="0" w:color="auto"/>
              <w:right w:val="single" w:sz="4" w:space="0" w:color="auto"/>
            </w:tcBorders>
            <w:shd w:val="clear" w:color="auto" w:fill="auto"/>
            <w:noWrap/>
            <w:vAlign w:val="bottom"/>
            <w:hideMark/>
          </w:tcPr>
          <w:p w14:paraId="792C9709" w14:textId="77777777" w:rsidR="000B04D6" w:rsidRPr="0003781B" w:rsidRDefault="000B04D6" w:rsidP="002F6D4A">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6,626,006.79 </w:t>
            </w:r>
          </w:p>
        </w:tc>
        <w:tc>
          <w:tcPr>
            <w:tcW w:w="934" w:type="dxa"/>
            <w:tcBorders>
              <w:top w:val="nil"/>
              <w:left w:val="nil"/>
              <w:bottom w:val="single" w:sz="4" w:space="0" w:color="auto"/>
              <w:right w:val="single" w:sz="4" w:space="0" w:color="auto"/>
            </w:tcBorders>
            <w:shd w:val="clear" w:color="auto" w:fill="auto"/>
            <w:noWrap/>
            <w:vAlign w:val="bottom"/>
            <w:hideMark/>
          </w:tcPr>
          <w:p w14:paraId="3EAB36B8"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5.4%</w:t>
            </w:r>
          </w:p>
        </w:tc>
      </w:tr>
      <w:tr w:rsidR="000B04D6" w:rsidRPr="0003781B" w14:paraId="48DF3F9A" w14:textId="77777777" w:rsidTr="00A602D1">
        <w:trPr>
          <w:trHeight w:val="70"/>
          <w:jc w:val="center"/>
        </w:trPr>
        <w:tc>
          <w:tcPr>
            <w:tcW w:w="1600" w:type="dxa"/>
            <w:vMerge/>
            <w:tcBorders>
              <w:top w:val="nil"/>
              <w:left w:val="single" w:sz="4" w:space="0" w:color="auto"/>
              <w:bottom w:val="single" w:sz="4" w:space="0" w:color="auto"/>
              <w:right w:val="single" w:sz="4" w:space="0" w:color="auto"/>
            </w:tcBorders>
            <w:vAlign w:val="center"/>
            <w:hideMark/>
          </w:tcPr>
          <w:p w14:paraId="5F885D77" w14:textId="77777777" w:rsidR="000B04D6" w:rsidRPr="0003781B" w:rsidRDefault="000B04D6" w:rsidP="002F6D4A">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0D7699F1" w14:textId="77777777" w:rsidR="000B04D6" w:rsidRPr="0003781B" w:rsidRDefault="000B04D6" w:rsidP="002F6D4A">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PROAGUA </w:t>
            </w:r>
            <w:r w:rsidR="00193B10">
              <w:rPr>
                <w:rFonts w:eastAsia="Times New Roman" w:cstheme="minorHAnsi"/>
                <w:color w:val="000000"/>
                <w:sz w:val="20"/>
                <w:szCs w:val="20"/>
                <w:lang w:eastAsia="es-MX"/>
              </w:rPr>
              <w:t>–</w:t>
            </w:r>
            <w:r w:rsidRPr="0003781B">
              <w:rPr>
                <w:rFonts w:eastAsia="Times New Roman" w:cstheme="minorHAnsi"/>
                <w:color w:val="000000"/>
                <w:sz w:val="20"/>
                <w:szCs w:val="20"/>
                <w:lang w:eastAsia="es-MX"/>
              </w:rPr>
              <w:t xml:space="preserve"> APAUR</w:t>
            </w:r>
          </w:p>
        </w:tc>
        <w:tc>
          <w:tcPr>
            <w:tcW w:w="2268" w:type="dxa"/>
            <w:tcBorders>
              <w:top w:val="nil"/>
              <w:left w:val="nil"/>
              <w:bottom w:val="single" w:sz="4" w:space="0" w:color="auto"/>
              <w:right w:val="single" w:sz="4" w:space="0" w:color="auto"/>
            </w:tcBorders>
            <w:shd w:val="clear" w:color="auto" w:fill="auto"/>
            <w:noWrap/>
            <w:vAlign w:val="bottom"/>
            <w:hideMark/>
          </w:tcPr>
          <w:p w14:paraId="19FC61C2" w14:textId="77777777" w:rsidR="000B04D6" w:rsidRPr="0003781B" w:rsidRDefault="000B04D6" w:rsidP="002F6D4A">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1,045,119.64 </w:t>
            </w:r>
          </w:p>
        </w:tc>
        <w:tc>
          <w:tcPr>
            <w:tcW w:w="934" w:type="dxa"/>
            <w:tcBorders>
              <w:top w:val="nil"/>
              <w:left w:val="nil"/>
              <w:bottom w:val="single" w:sz="4" w:space="0" w:color="auto"/>
              <w:right w:val="single" w:sz="4" w:space="0" w:color="auto"/>
            </w:tcBorders>
            <w:shd w:val="clear" w:color="auto" w:fill="auto"/>
            <w:noWrap/>
            <w:vAlign w:val="bottom"/>
            <w:hideMark/>
          </w:tcPr>
          <w:p w14:paraId="023F1397"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0.9%</w:t>
            </w:r>
          </w:p>
        </w:tc>
      </w:tr>
      <w:tr w:rsidR="000B04D6" w:rsidRPr="0003781B" w14:paraId="3FA7629D" w14:textId="77777777" w:rsidTr="0075288D">
        <w:trPr>
          <w:trHeight w:val="242"/>
          <w:jc w:val="center"/>
        </w:trPr>
        <w:tc>
          <w:tcPr>
            <w:tcW w:w="1600" w:type="dxa"/>
            <w:vMerge/>
            <w:tcBorders>
              <w:top w:val="nil"/>
              <w:left w:val="single" w:sz="4" w:space="0" w:color="auto"/>
              <w:bottom w:val="single" w:sz="4" w:space="0" w:color="auto"/>
              <w:right w:val="single" w:sz="4" w:space="0" w:color="auto"/>
            </w:tcBorders>
            <w:vAlign w:val="center"/>
            <w:hideMark/>
          </w:tcPr>
          <w:p w14:paraId="3797D62F" w14:textId="77777777" w:rsidR="000B04D6" w:rsidRPr="0003781B" w:rsidRDefault="000B04D6" w:rsidP="002F6D4A">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57008E62" w14:textId="77777777" w:rsidR="000B04D6" w:rsidRPr="0003781B" w:rsidRDefault="000B04D6" w:rsidP="002F6D4A">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SEDESOL Programa De Apoyo A Jornaleros Agrícolas </w:t>
            </w:r>
          </w:p>
        </w:tc>
        <w:tc>
          <w:tcPr>
            <w:tcW w:w="2268" w:type="dxa"/>
            <w:tcBorders>
              <w:top w:val="nil"/>
              <w:left w:val="nil"/>
              <w:bottom w:val="single" w:sz="4" w:space="0" w:color="auto"/>
              <w:right w:val="single" w:sz="4" w:space="0" w:color="auto"/>
            </w:tcBorders>
            <w:shd w:val="clear" w:color="auto" w:fill="auto"/>
            <w:noWrap/>
            <w:vAlign w:val="bottom"/>
            <w:hideMark/>
          </w:tcPr>
          <w:p w14:paraId="4B63201D" w14:textId="77777777" w:rsidR="000B04D6" w:rsidRPr="0003781B" w:rsidRDefault="000B04D6" w:rsidP="002F6D4A">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1,161,803.08 </w:t>
            </w:r>
          </w:p>
        </w:tc>
        <w:tc>
          <w:tcPr>
            <w:tcW w:w="934" w:type="dxa"/>
            <w:tcBorders>
              <w:top w:val="nil"/>
              <w:left w:val="nil"/>
              <w:bottom w:val="single" w:sz="4" w:space="0" w:color="auto"/>
              <w:right w:val="single" w:sz="4" w:space="0" w:color="auto"/>
            </w:tcBorders>
            <w:shd w:val="clear" w:color="auto" w:fill="auto"/>
            <w:noWrap/>
            <w:vAlign w:val="bottom"/>
            <w:hideMark/>
          </w:tcPr>
          <w:p w14:paraId="34D3E28F"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0.9%</w:t>
            </w:r>
          </w:p>
        </w:tc>
      </w:tr>
      <w:tr w:rsidR="000B04D6" w:rsidRPr="0003781B" w14:paraId="14D2B4FC" w14:textId="77777777" w:rsidTr="0075288D">
        <w:trPr>
          <w:trHeight w:val="163"/>
          <w:jc w:val="center"/>
        </w:trPr>
        <w:tc>
          <w:tcPr>
            <w:tcW w:w="1600" w:type="dxa"/>
            <w:vMerge/>
            <w:tcBorders>
              <w:top w:val="nil"/>
              <w:left w:val="single" w:sz="4" w:space="0" w:color="auto"/>
              <w:bottom w:val="single" w:sz="4" w:space="0" w:color="auto"/>
              <w:right w:val="single" w:sz="4" w:space="0" w:color="auto"/>
            </w:tcBorders>
            <w:vAlign w:val="center"/>
            <w:hideMark/>
          </w:tcPr>
          <w:p w14:paraId="137EF2A3" w14:textId="77777777" w:rsidR="000B04D6" w:rsidRPr="0003781B" w:rsidRDefault="000B04D6" w:rsidP="002F6D4A">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082F0347" w14:textId="77777777" w:rsidR="000B04D6" w:rsidRPr="0003781B" w:rsidRDefault="000B04D6" w:rsidP="002F6D4A">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Seguridad Publica </w:t>
            </w:r>
          </w:p>
        </w:tc>
        <w:tc>
          <w:tcPr>
            <w:tcW w:w="2268" w:type="dxa"/>
            <w:tcBorders>
              <w:top w:val="nil"/>
              <w:left w:val="nil"/>
              <w:bottom w:val="single" w:sz="4" w:space="0" w:color="auto"/>
              <w:right w:val="single" w:sz="4" w:space="0" w:color="auto"/>
            </w:tcBorders>
            <w:shd w:val="clear" w:color="auto" w:fill="auto"/>
            <w:noWrap/>
            <w:vAlign w:val="bottom"/>
            <w:hideMark/>
          </w:tcPr>
          <w:p w14:paraId="0E9D66C7" w14:textId="77777777" w:rsidR="000B04D6" w:rsidRPr="0003781B" w:rsidRDefault="000B04D6" w:rsidP="002F6D4A">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8,552,431.78 </w:t>
            </w:r>
          </w:p>
        </w:tc>
        <w:tc>
          <w:tcPr>
            <w:tcW w:w="934" w:type="dxa"/>
            <w:tcBorders>
              <w:top w:val="nil"/>
              <w:left w:val="nil"/>
              <w:bottom w:val="single" w:sz="4" w:space="0" w:color="auto"/>
              <w:right w:val="single" w:sz="4" w:space="0" w:color="auto"/>
            </w:tcBorders>
            <w:shd w:val="clear" w:color="auto" w:fill="auto"/>
            <w:noWrap/>
            <w:vAlign w:val="bottom"/>
            <w:hideMark/>
          </w:tcPr>
          <w:p w14:paraId="477CABAC"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7.0%</w:t>
            </w:r>
          </w:p>
        </w:tc>
      </w:tr>
      <w:tr w:rsidR="000B04D6" w:rsidRPr="0003781B" w14:paraId="6D8861A5" w14:textId="77777777" w:rsidTr="0075288D">
        <w:trPr>
          <w:trHeight w:val="195"/>
          <w:jc w:val="center"/>
        </w:trPr>
        <w:tc>
          <w:tcPr>
            <w:tcW w:w="1600" w:type="dxa"/>
            <w:vMerge/>
            <w:tcBorders>
              <w:top w:val="nil"/>
              <w:left w:val="single" w:sz="4" w:space="0" w:color="auto"/>
              <w:bottom w:val="single" w:sz="4" w:space="0" w:color="auto"/>
              <w:right w:val="single" w:sz="4" w:space="0" w:color="auto"/>
            </w:tcBorders>
            <w:vAlign w:val="center"/>
            <w:hideMark/>
          </w:tcPr>
          <w:p w14:paraId="7275F6AB" w14:textId="77777777" w:rsidR="000B04D6" w:rsidRPr="0003781B" w:rsidRDefault="000B04D6" w:rsidP="002F6D4A">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3284F722" w14:textId="77777777" w:rsidR="000B04D6" w:rsidRPr="0003781B" w:rsidRDefault="000B04D6" w:rsidP="002F6D4A">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Apoyo a la Cultura </w:t>
            </w:r>
          </w:p>
        </w:tc>
        <w:tc>
          <w:tcPr>
            <w:tcW w:w="2268" w:type="dxa"/>
            <w:tcBorders>
              <w:top w:val="nil"/>
              <w:left w:val="nil"/>
              <w:bottom w:val="single" w:sz="4" w:space="0" w:color="auto"/>
              <w:right w:val="single" w:sz="4" w:space="0" w:color="auto"/>
            </w:tcBorders>
            <w:shd w:val="clear" w:color="auto" w:fill="auto"/>
            <w:noWrap/>
            <w:vAlign w:val="bottom"/>
            <w:hideMark/>
          </w:tcPr>
          <w:p w14:paraId="32099451" w14:textId="77777777" w:rsidR="000B04D6" w:rsidRPr="0003781B" w:rsidRDefault="000B04D6" w:rsidP="002F6D4A">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2,190,077.41 </w:t>
            </w:r>
          </w:p>
        </w:tc>
        <w:tc>
          <w:tcPr>
            <w:tcW w:w="934" w:type="dxa"/>
            <w:tcBorders>
              <w:top w:val="nil"/>
              <w:left w:val="nil"/>
              <w:bottom w:val="single" w:sz="4" w:space="0" w:color="auto"/>
              <w:right w:val="single" w:sz="4" w:space="0" w:color="auto"/>
            </w:tcBorders>
            <w:shd w:val="clear" w:color="auto" w:fill="auto"/>
            <w:noWrap/>
            <w:vAlign w:val="bottom"/>
            <w:hideMark/>
          </w:tcPr>
          <w:p w14:paraId="348BAD69"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1.8%</w:t>
            </w:r>
          </w:p>
        </w:tc>
      </w:tr>
      <w:tr w:rsidR="000B04D6" w:rsidRPr="0003781B" w14:paraId="53088EC0" w14:textId="77777777" w:rsidTr="0075288D">
        <w:trPr>
          <w:trHeight w:val="217"/>
          <w:jc w:val="center"/>
        </w:trPr>
        <w:tc>
          <w:tcPr>
            <w:tcW w:w="51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6E23E" w14:textId="77777777" w:rsidR="000B04D6" w:rsidRPr="0003781B" w:rsidRDefault="000B04D6" w:rsidP="002F6D4A">
            <w:pPr>
              <w:spacing w:after="0" w:line="240" w:lineRule="auto"/>
              <w:jc w:val="center"/>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Subtotal</w:t>
            </w:r>
          </w:p>
        </w:tc>
        <w:tc>
          <w:tcPr>
            <w:tcW w:w="2268" w:type="dxa"/>
            <w:tcBorders>
              <w:top w:val="nil"/>
              <w:left w:val="nil"/>
              <w:bottom w:val="single" w:sz="4" w:space="0" w:color="auto"/>
              <w:right w:val="single" w:sz="4" w:space="0" w:color="auto"/>
            </w:tcBorders>
            <w:shd w:val="clear" w:color="auto" w:fill="auto"/>
            <w:noWrap/>
            <w:vAlign w:val="bottom"/>
            <w:hideMark/>
          </w:tcPr>
          <w:p w14:paraId="1CF21C33" w14:textId="77777777" w:rsidR="000B04D6" w:rsidRPr="0003781B" w:rsidRDefault="000B04D6" w:rsidP="002F6D4A">
            <w:pPr>
              <w:spacing w:after="0" w:line="240" w:lineRule="auto"/>
              <w:jc w:val="right"/>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 xml:space="preserve"> $        52,098,343.67 </w:t>
            </w:r>
          </w:p>
        </w:tc>
        <w:tc>
          <w:tcPr>
            <w:tcW w:w="934" w:type="dxa"/>
            <w:tcBorders>
              <w:top w:val="nil"/>
              <w:left w:val="nil"/>
              <w:bottom w:val="single" w:sz="4" w:space="0" w:color="auto"/>
              <w:right w:val="single" w:sz="4" w:space="0" w:color="auto"/>
            </w:tcBorders>
            <w:shd w:val="clear" w:color="auto" w:fill="auto"/>
            <w:noWrap/>
            <w:vAlign w:val="bottom"/>
            <w:hideMark/>
          </w:tcPr>
          <w:p w14:paraId="0F30826F" w14:textId="77777777" w:rsidR="000B04D6" w:rsidRPr="0003781B" w:rsidRDefault="000B04D6" w:rsidP="002F6D4A">
            <w:pPr>
              <w:spacing w:after="0" w:line="240" w:lineRule="auto"/>
              <w:jc w:val="center"/>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42.4%</w:t>
            </w:r>
          </w:p>
        </w:tc>
      </w:tr>
      <w:tr w:rsidR="000B04D6" w:rsidRPr="0003781B" w14:paraId="5AA1F919" w14:textId="77777777" w:rsidTr="0075288D">
        <w:trPr>
          <w:trHeight w:val="70"/>
          <w:jc w:val="center"/>
        </w:trPr>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593EF5"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Estatal</w:t>
            </w:r>
          </w:p>
        </w:tc>
        <w:tc>
          <w:tcPr>
            <w:tcW w:w="3539" w:type="dxa"/>
            <w:tcBorders>
              <w:top w:val="nil"/>
              <w:left w:val="nil"/>
              <w:bottom w:val="single" w:sz="4" w:space="0" w:color="auto"/>
              <w:right w:val="single" w:sz="4" w:space="0" w:color="auto"/>
            </w:tcBorders>
            <w:shd w:val="clear" w:color="auto" w:fill="auto"/>
            <w:noWrap/>
            <w:vAlign w:val="center"/>
            <w:hideMark/>
          </w:tcPr>
          <w:p w14:paraId="1CD1035D" w14:textId="77777777" w:rsidR="000B04D6" w:rsidRPr="0003781B" w:rsidRDefault="000B04D6" w:rsidP="002F6D4A">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PNG </w:t>
            </w:r>
          </w:p>
        </w:tc>
        <w:tc>
          <w:tcPr>
            <w:tcW w:w="2268" w:type="dxa"/>
            <w:tcBorders>
              <w:top w:val="nil"/>
              <w:left w:val="nil"/>
              <w:bottom w:val="single" w:sz="4" w:space="0" w:color="auto"/>
              <w:right w:val="single" w:sz="4" w:space="0" w:color="auto"/>
            </w:tcBorders>
            <w:shd w:val="clear" w:color="auto" w:fill="auto"/>
            <w:noWrap/>
            <w:vAlign w:val="bottom"/>
            <w:hideMark/>
          </w:tcPr>
          <w:p w14:paraId="197ACFC5" w14:textId="77777777" w:rsidR="000B04D6" w:rsidRPr="0003781B" w:rsidRDefault="000B04D6" w:rsidP="002F6D4A">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64,123,846.63 </w:t>
            </w:r>
          </w:p>
        </w:tc>
        <w:tc>
          <w:tcPr>
            <w:tcW w:w="934" w:type="dxa"/>
            <w:tcBorders>
              <w:top w:val="nil"/>
              <w:left w:val="nil"/>
              <w:bottom w:val="single" w:sz="4" w:space="0" w:color="auto"/>
              <w:right w:val="single" w:sz="4" w:space="0" w:color="auto"/>
            </w:tcBorders>
            <w:shd w:val="clear" w:color="auto" w:fill="auto"/>
            <w:noWrap/>
            <w:vAlign w:val="bottom"/>
            <w:hideMark/>
          </w:tcPr>
          <w:p w14:paraId="178168E6"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52.2%</w:t>
            </w:r>
          </w:p>
        </w:tc>
      </w:tr>
      <w:tr w:rsidR="000B04D6" w:rsidRPr="0003781B" w14:paraId="5391DEB4" w14:textId="77777777" w:rsidTr="00A602D1">
        <w:trPr>
          <w:trHeight w:val="70"/>
          <w:jc w:val="center"/>
        </w:trPr>
        <w:tc>
          <w:tcPr>
            <w:tcW w:w="1600" w:type="dxa"/>
            <w:vMerge/>
            <w:tcBorders>
              <w:top w:val="nil"/>
              <w:left w:val="single" w:sz="4" w:space="0" w:color="auto"/>
              <w:bottom w:val="single" w:sz="4" w:space="0" w:color="auto"/>
              <w:right w:val="single" w:sz="4" w:space="0" w:color="auto"/>
            </w:tcBorders>
            <w:vAlign w:val="center"/>
            <w:hideMark/>
          </w:tcPr>
          <w:p w14:paraId="12DE211B" w14:textId="77777777" w:rsidR="000B04D6" w:rsidRPr="0003781B" w:rsidRDefault="000B04D6" w:rsidP="002F6D4A">
            <w:pPr>
              <w:spacing w:after="0" w:line="240" w:lineRule="auto"/>
              <w:rPr>
                <w:rFonts w:eastAsia="Times New Roman" w:cstheme="minorHAnsi"/>
                <w:color w:val="000000"/>
                <w:sz w:val="20"/>
                <w:szCs w:val="20"/>
                <w:lang w:eastAsia="es-MX"/>
              </w:rPr>
            </w:pPr>
          </w:p>
        </w:tc>
        <w:tc>
          <w:tcPr>
            <w:tcW w:w="3539" w:type="dxa"/>
            <w:tcBorders>
              <w:top w:val="nil"/>
              <w:left w:val="nil"/>
              <w:bottom w:val="single" w:sz="4" w:space="0" w:color="auto"/>
              <w:right w:val="single" w:sz="4" w:space="0" w:color="auto"/>
            </w:tcBorders>
            <w:shd w:val="clear" w:color="auto" w:fill="auto"/>
            <w:noWrap/>
            <w:vAlign w:val="center"/>
            <w:hideMark/>
          </w:tcPr>
          <w:p w14:paraId="6EA8C74C" w14:textId="77777777" w:rsidR="000B04D6" w:rsidRPr="0003781B" w:rsidRDefault="000B04D6" w:rsidP="002F6D4A">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Secretaria de Salud </w:t>
            </w:r>
          </w:p>
        </w:tc>
        <w:tc>
          <w:tcPr>
            <w:tcW w:w="2268" w:type="dxa"/>
            <w:tcBorders>
              <w:top w:val="nil"/>
              <w:left w:val="nil"/>
              <w:bottom w:val="single" w:sz="4" w:space="0" w:color="auto"/>
              <w:right w:val="single" w:sz="4" w:space="0" w:color="auto"/>
            </w:tcBorders>
            <w:shd w:val="clear" w:color="auto" w:fill="auto"/>
            <w:noWrap/>
            <w:vAlign w:val="bottom"/>
            <w:hideMark/>
          </w:tcPr>
          <w:p w14:paraId="5BF29B2E" w14:textId="77777777" w:rsidR="000B04D6" w:rsidRPr="0003781B" w:rsidRDefault="000B04D6" w:rsidP="002F6D4A">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1,435,146.42 </w:t>
            </w:r>
          </w:p>
        </w:tc>
        <w:tc>
          <w:tcPr>
            <w:tcW w:w="934" w:type="dxa"/>
            <w:tcBorders>
              <w:top w:val="nil"/>
              <w:left w:val="nil"/>
              <w:bottom w:val="single" w:sz="4" w:space="0" w:color="auto"/>
              <w:right w:val="single" w:sz="4" w:space="0" w:color="auto"/>
            </w:tcBorders>
            <w:shd w:val="clear" w:color="auto" w:fill="auto"/>
            <w:noWrap/>
            <w:vAlign w:val="bottom"/>
            <w:hideMark/>
          </w:tcPr>
          <w:p w14:paraId="05381532"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1.2%</w:t>
            </w:r>
          </w:p>
        </w:tc>
      </w:tr>
      <w:tr w:rsidR="000B04D6" w:rsidRPr="0003781B" w14:paraId="37C8B4FF" w14:textId="77777777" w:rsidTr="0075288D">
        <w:trPr>
          <w:trHeight w:val="70"/>
          <w:jc w:val="center"/>
        </w:trPr>
        <w:tc>
          <w:tcPr>
            <w:tcW w:w="51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97A6E" w14:textId="77777777" w:rsidR="000B04D6" w:rsidRPr="0003781B" w:rsidRDefault="000B04D6" w:rsidP="002F6D4A">
            <w:pPr>
              <w:spacing w:after="0" w:line="240" w:lineRule="auto"/>
              <w:jc w:val="center"/>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Subtotal</w:t>
            </w:r>
          </w:p>
        </w:tc>
        <w:tc>
          <w:tcPr>
            <w:tcW w:w="2268" w:type="dxa"/>
            <w:tcBorders>
              <w:top w:val="nil"/>
              <w:left w:val="nil"/>
              <w:bottom w:val="single" w:sz="4" w:space="0" w:color="auto"/>
              <w:right w:val="single" w:sz="4" w:space="0" w:color="auto"/>
            </w:tcBorders>
            <w:shd w:val="clear" w:color="auto" w:fill="auto"/>
            <w:noWrap/>
            <w:vAlign w:val="bottom"/>
            <w:hideMark/>
          </w:tcPr>
          <w:p w14:paraId="527A9C09" w14:textId="77777777" w:rsidR="000B04D6" w:rsidRPr="0003781B" w:rsidRDefault="000B04D6" w:rsidP="002F6D4A">
            <w:pPr>
              <w:spacing w:after="0" w:line="240" w:lineRule="auto"/>
              <w:jc w:val="right"/>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 xml:space="preserve"> $        65,558,993.05 </w:t>
            </w:r>
          </w:p>
        </w:tc>
        <w:tc>
          <w:tcPr>
            <w:tcW w:w="934" w:type="dxa"/>
            <w:tcBorders>
              <w:top w:val="nil"/>
              <w:left w:val="nil"/>
              <w:bottom w:val="single" w:sz="4" w:space="0" w:color="auto"/>
              <w:right w:val="single" w:sz="4" w:space="0" w:color="auto"/>
            </w:tcBorders>
            <w:shd w:val="clear" w:color="auto" w:fill="auto"/>
            <w:noWrap/>
            <w:vAlign w:val="bottom"/>
            <w:hideMark/>
          </w:tcPr>
          <w:p w14:paraId="44C0E973" w14:textId="77777777" w:rsidR="000B04D6" w:rsidRPr="0003781B" w:rsidRDefault="000B04D6" w:rsidP="002F6D4A">
            <w:pPr>
              <w:spacing w:after="0" w:line="240" w:lineRule="auto"/>
              <w:jc w:val="center"/>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53.4%</w:t>
            </w:r>
          </w:p>
        </w:tc>
      </w:tr>
      <w:tr w:rsidR="000B04D6" w:rsidRPr="0003781B" w14:paraId="2AAB274C" w14:textId="77777777" w:rsidTr="002F6D4A">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29D47AC5"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Municipal</w:t>
            </w:r>
          </w:p>
        </w:tc>
        <w:tc>
          <w:tcPr>
            <w:tcW w:w="3539" w:type="dxa"/>
            <w:tcBorders>
              <w:top w:val="nil"/>
              <w:left w:val="nil"/>
              <w:bottom w:val="single" w:sz="4" w:space="0" w:color="auto"/>
              <w:right w:val="single" w:sz="4" w:space="0" w:color="auto"/>
            </w:tcBorders>
            <w:shd w:val="clear" w:color="auto" w:fill="auto"/>
            <w:noWrap/>
            <w:vAlign w:val="center"/>
            <w:hideMark/>
          </w:tcPr>
          <w:p w14:paraId="5776B321" w14:textId="77777777" w:rsidR="000B04D6" w:rsidRPr="0003781B" w:rsidRDefault="000B04D6" w:rsidP="002F6D4A">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Aportación Municipal</w:t>
            </w:r>
          </w:p>
        </w:tc>
        <w:tc>
          <w:tcPr>
            <w:tcW w:w="2268" w:type="dxa"/>
            <w:tcBorders>
              <w:top w:val="nil"/>
              <w:left w:val="nil"/>
              <w:bottom w:val="single" w:sz="4" w:space="0" w:color="auto"/>
              <w:right w:val="single" w:sz="4" w:space="0" w:color="auto"/>
            </w:tcBorders>
            <w:shd w:val="clear" w:color="auto" w:fill="auto"/>
            <w:noWrap/>
            <w:vAlign w:val="bottom"/>
            <w:hideMark/>
          </w:tcPr>
          <w:p w14:paraId="7FC2D17A" w14:textId="77777777" w:rsidR="000B04D6" w:rsidRPr="0003781B" w:rsidRDefault="000B04D6" w:rsidP="002F6D4A">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3,441,182.34 </w:t>
            </w:r>
          </w:p>
        </w:tc>
        <w:tc>
          <w:tcPr>
            <w:tcW w:w="934" w:type="dxa"/>
            <w:tcBorders>
              <w:top w:val="nil"/>
              <w:left w:val="nil"/>
              <w:bottom w:val="single" w:sz="4" w:space="0" w:color="auto"/>
              <w:right w:val="single" w:sz="4" w:space="0" w:color="auto"/>
            </w:tcBorders>
            <w:shd w:val="clear" w:color="auto" w:fill="auto"/>
            <w:noWrap/>
            <w:vAlign w:val="bottom"/>
            <w:hideMark/>
          </w:tcPr>
          <w:p w14:paraId="6FEB2303"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2.8%</w:t>
            </w:r>
          </w:p>
        </w:tc>
      </w:tr>
      <w:tr w:rsidR="000B04D6" w:rsidRPr="0003781B" w14:paraId="14F40BD9" w14:textId="77777777" w:rsidTr="0075288D">
        <w:trPr>
          <w:trHeight w:val="162"/>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030F562C"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Donación</w:t>
            </w:r>
          </w:p>
        </w:tc>
        <w:tc>
          <w:tcPr>
            <w:tcW w:w="3539" w:type="dxa"/>
            <w:tcBorders>
              <w:top w:val="nil"/>
              <w:left w:val="nil"/>
              <w:bottom w:val="single" w:sz="4" w:space="0" w:color="auto"/>
              <w:right w:val="single" w:sz="4" w:space="0" w:color="auto"/>
            </w:tcBorders>
            <w:shd w:val="clear" w:color="auto" w:fill="auto"/>
            <w:noWrap/>
            <w:vAlign w:val="center"/>
            <w:hideMark/>
          </w:tcPr>
          <w:p w14:paraId="7E697500" w14:textId="77777777" w:rsidR="000B04D6" w:rsidRPr="0003781B" w:rsidRDefault="000B04D6" w:rsidP="002F6D4A">
            <w:pPr>
              <w:spacing w:after="0" w:line="240" w:lineRule="auto"/>
              <w:rPr>
                <w:rFonts w:eastAsia="Times New Roman" w:cstheme="minorHAnsi"/>
                <w:color w:val="000000"/>
                <w:sz w:val="20"/>
                <w:szCs w:val="20"/>
                <w:lang w:eastAsia="es-MX"/>
              </w:rPr>
            </w:pPr>
            <w:r w:rsidRPr="0003781B">
              <w:rPr>
                <w:rFonts w:eastAsia="Times New Roman" w:cstheme="minorHAnsi"/>
                <w:color w:val="000000"/>
                <w:sz w:val="20"/>
                <w:szCs w:val="20"/>
                <w:lang w:eastAsia="es-MX"/>
              </w:rPr>
              <w:t>Embajada de Japón</w:t>
            </w:r>
          </w:p>
        </w:tc>
        <w:tc>
          <w:tcPr>
            <w:tcW w:w="2268" w:type="dxa"/>
            <w:tcBorders>
              <w:top w:val="nil"/>
              <w:left w:val="nil"/>
              <w:bottom w:val="single" w:sz="4" w:space="0" w:color="auto"/>
              <w:right w:val="single" w:sz="4" w:space="0" w:color="auto"/>
            </w:tcBorders>
            <w:shd w:val="clear" w:color="auto" w:fill="auto"/>
            <w:noWrap/>
            <w:vAlign w:val="bottom"/>
            <w:hideMark/>
          </w:tcPr>
          <w:p w14:paraId="2EBA88D9" w14:textId="77777777" w:rsidR="000B04D6" w:rsidRPr="0003781B" w:rsidRDefault="000B04D6" w:rsidP="002F6D4A">
            <w:pPr>
              <w:spacing w:after="0" w:line="240" w:lineRule="auto"/>
              <w:jc w:val="right"/>
              <w:rPr>
                <w:rFonts w:eastAsia="Times New Roman" w:cstheme="minorHAnsi"/>
                <w:color w:val="000000"/>
                <w:sz w:val="20"/>
                <w:szCs w:val="20"/>
                <w:lang w:eastAsia="es-MX"/>
              </w:rPr>
            </w:pPr>
            <w:r w:rsidRPr="0003781B">
              <w:rPr>
                <w:rFonts w:eastAsia="Times New Roman" w:cstheme="minorHAnsi"/>
                <w:color w:val="000000"/>
                <w:sz w:val="20"/>
                <w:szCs w:val="20"/>
                <w:lang w:eastAsia="es-MX"/>
              </w:rPr>
              <w:t xml:space="preserve"> $          1,764,668.51 </w:t>
            </w:r>
          </w:p>
        </w:tc>
        <w:tc>
          <w:tcPr>
            <w:tcW w:w="934" w:type="dxa"/>
            <w:tcBorders>
              <w:top w:val="nil"/>
              <w:left w:val="nil"/>
              <w:bottom w:val="single" w:sz="4" w:space="0" w:color="auto"/>
              <w:right w:val="single" w:sz="4" w:space="0" w:color="auto"/>
            </w:tcBorders>
            <w:shd w:val="clear" w:color="auto" w:fill="auto"/>
            <w:noWrap/>
            <w:vAlign w:val="bottom"/>
            <w:hideMark/>
          </w:tcPr>
          <w:p w14:paraId="4520C360" w14:textId="77777777" w:rsidR="000B04D6" w:rsidRPr="0003781B" w:rsidRDefault="000B04D6" w:rsidP="002F6D4A">
            <w:pPr>
              <w:spacing w:after="0" w:line="240" w:lineRule="auto"/>
              <w:jc w:val="center"/>
              <w:rPr>
                <w:rFonts w:eastAsia="Times New Roman" w:cstheme="minorHAnsi"/>
                <w:color w:val="000000"/>
                <w:sz w:val="20"/>
                <w:szCs w:val="20"/>
                <w:lang w:eastAsia="es-MX"/>
              </w:rPr>
            </w:pPr>
            <w:r w:rsidRPr="0003781B">
              <w:rPr>
                <w:rFonts w:eastAsia="Times New Roman" w:cstheme="minorHAnsi"/>
                <w:color w:val="000000"/>
                <w:sz w:val="20"/>
                <w:szCs w:val="20"/>
                <w:lang w:eastAsia="es-MX"/>
              </w:rPr>
              <w:t>1.4%</w:t>
            </w:r>
          </w:p>
        </w:tc>
      </w:tr>
      <w:tr w:rsidR="000B04D6" w:rsidRPr="0003781B" w14:paraId="31EEB25B" w14:textId="77777777" w:rsidTr="0075288D">
        <w:trPr>
          <w:trHeight w:val="142"/>
          <w:jc w:val="center"/>
        </w:trPr>
        <w:tc>
          <w:tcPr>
            <w:tcW w:w="51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752BB" w14:textId="77777777" w:rsidR="000B04D6" w:rsidRPr="0003781B" w:rsidRDefault="000B04D6" w:rsidP="002F6D4A">
            <w:pPr>
              <w:spacing w:after="0" w:line="240" w:lineRule="auto"/>
              <w:jc w:val="center"/>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Total</w:t>
            </w:r>
          </w:p>
        </w:tc>
        <w:tc>
          <w:tcPr>
            <w:tcW w:w="2268" w:type="dxa"/>
            <w:tcBorders>
              <w:top w:val="nil"/>
              <w:left w:val="nil"/>
              <w:bottom w:val="single" w:sz="4" w:space="0" w:color="auto"/>
              <w:right w:val="single" w:sz="4" w:space="0" w:color="auto"/>
            </w:tcBorders>
            <w:shd w:val="clear" w:color="auto" w:fill="auto"/>
            <w:noWrap/>
            <w:vAlign w:val="bottom"/>
            <w:hideMark/>
          </w:tcPr>
          <w:p w14:paraId="09ADB40B" w14:textId="77777777" w:rsidR="000B04D6" w:rsidRPr="0003781B" w:rsidRDefault="000B04D6" w:rsidP="002F6D4A">
            <w:pPr>
              <w:spacing w:after="0" w:line="240" w:lineRule="auto"/>
              <w:jc w:val="right"/>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 xml:space="preserve"> $     122,863,187.57 </w:t>
            </w:r>
          </w:p>
        </w:tc>
        <w:tc>
          <w:tcPr>
            <w:tcW w:w="934" w:type="dxa"/>
            <w:tcBorders>
              <w:top w:val="nil"/>
              <w:left w:val="nil"/>
              <w:bottom w:val="single" w:sz="4" w:space="0" w:color="auto"/>
              <w:right w:val="single" w:sz="4" w:space="0" w:color="auto"/>
            </w:tcBorders>
            <w:shd w:val="clear" w:color="auto" w:fill="auto"/>
            <w:noWrap/>
            <w:vAlign w:val="bottom"/>
            <w:hideMark/>
          </w:tcPr>
          <w:p w14:paraId="67E0B0E2" w14:textId="77777777" w:rsidR="000B04D6" w:rsidRPr="0003781B" w:rsidRDefault="000B04D6" w:rsidP="002F6D4A">
            <w:pPr>
              <w:spacing w:after="0" w:line="240" w:lineRule="auto"/>
              <w:jc w:val="center"/>
              <w:rPr>
                <w:rFonts w:eastAsia="Times New Roman" w:cstheme="minorHAnsi"/>
                <w:b/>
                <w:bCs/>
                <w:color w:val="000000"/>
                <w:sz w:val="20"/>
                <w:szCs w:val="20"/>
                <w:lang w:eastAsia="es-MX"/>
              </w:rPr>
            </w:pPr>
            <w:r w:rsidRPr="0003781B">
              <w:rPr>
                <w:rFonts w:eastAsia="Times New Roman" w:cstheme="minorHAnsi"/>
                <w:b/>
                <w:bCs/>
                <w:color w:val="000000"/>
                <w:sz w:val="20"/>
                <w:szCs w:val="20"/>
                <w:lang w:eastAsia="es-MX"/>
              </w:rPr>
              <w:t>100%</w:t>
            </w:r>
          </w:p>
        </w:tc>
      </w:tr>
      <w:tr w:rsidR="000B04D6" w:rsidRPr="0003781B" w14:paraId="1E3DD4E7" w14:textId="77777777" w:rsidTr="0075288D">
        <w:trPr>
          <w:trHeight w:val="147"/>
          <w:jc w:val="center"/>
        </w:trPr>
        <w:tc>
          <w:tcPr>
            <w:tcW w:w="834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3D283F" w14:textId="77777777" w:rsidR="000B04D6" w:rsidRPr="0003781B" w:rsidRDefault="000B04D6" w:rsidP="002F6D4A">
            <w:pPr>
              <w:spacing w:after="0" w:line="240" w:lineRule="auto"/>
              <w:rPr>
                <w:rFonts w:eastAsia="Times New Roman" w:cstheme="minorHAnsi"/>
                <w:color w:val="000000"/>
                <w:sz w:val="20"/>
                <w:szCs w:val="20"/>
                <w:lang w:eastAsia="es-MX"/>
              </w:rPr>
            </w:pPr>
            <w:r w:rsidRPr="00A602D1">
              <w:rPr>
                <w:rFonts w:eastAsia="Times New Roman" w:cstheme="minorHAnsi"/>
                <w:color w:val="000000"/>
                <w:sz w:val="18"/>
                <w:szCs w:val="20"/>
                <w:lang w:eastAsia="es-MX"/>
              </w:rPr>
              <w:t>Fuente: elaborado por TECSO con base al informe “Resumen Obras 2017” suministrado por la Dependencia</w:t>
            </w:r>
          </w:p>
        </w:tc>
      </w:tr>
    </w:tbl>
    <w:p w14:paraId="451D577E" w14:textId="77777777" w:rsidR="000B04D6" w:rsidRPr="00A602D1" w:rsidRDefault="000B04D6" w:rsidP="007E64E5">
      <w:pPr>
        <w:spacing w:after="240"/>
        <w:jc w:val="both"/>
        <w:rPr>
          <w:rFonts w:ascii="Century Gothic" w:hAnsi="Century Gothic"/>
          <w:sz w:val="2"/>
        </w:rPr>
      </w:pPr>
    </w:p>
    <w:p w14:paraId="11B251BF" w14:textId="77777777" w:rsidR="00AC64FA" w:rsidRDefault="000B04D6" w:rsidP="007E64E5">
      <w:pPr>
        <w:spacing w:after="240"/>
        <w:jc w:val="both"/>
        <w:rPr>
          <w:rFonts w:ascii="Century Gothic" w:hAnsi="Century Gothic"/>
          <w:sz w:val="24"/>
        </w:rPr>
      </w:pPr>
      <w:r>
        <w:rPr>
          <w:rFonts w:ascii="Century Gothic" w:hAnsi="Century Gothic"/>
          <w:sz w:val="24"/>
        </w:rPr>
        <w:t xml:space="preserve">Respecto a las principales fuentes de financiamiento se observa que es equiparado entre lo Estatal y Federal, 53.4% y 42.4% respectivamente. </w:t>
      </w:r>
      <w:r w:rsidR="00237589">
        <w:rPr>
          <w:rFonts w:ascii="Century Gothic" w:hAnsi="Century Gothic"/>
          <w:sz w:val="24"/>
        </w:rPr>
        <w:t>También</w:t>
      </w:r>
      <w:r>
        <w:rPr>
          <w:rFonts w:ascii="Century Gothic" w:hAnsi="Century Gothic"/>
          <w:sz w:val="24"/>
        </w:rPr>
        <w:t xml:space="preserve"> se financió con recursos provenientes de aportaciones municipales, 2.8% y de una donación de la Embajada de Japón, 1.4%.</w:t>
      </w:r>
    </w:p>
    <w:p w14:paraId="00F6BF1E" w14:textId="77777777" w:rsidR="00623BFA" w:rsidRDefault="00623BFA" w:rsidP="00623BFA">
      <w:pPr>
        <w:spacing w:before="240" w:after="240"/>
        <w:jc w:val="both"/>
        <w:rPr>
          <w:rFonts w:ascii="Century Gothic" w:hAnsi="Century Gothic"/>
          <w:sz w:val="24"/>
          <w:szCs w:val="24"/>
        </w:rPr>
      </w:pPr>
      <w:r>
        <w:rPr>
          <w:rFonts w:ascii="Century Gothic" w:hAnsi="Century Gothic"/>
          <w:sz w:val="24"/>
          <w:szCs w:val="24"/>
        </w:rPr>
        <w:t>Este recurso se distribuyó en obras de infraestructura principalmente deportiva y cultural.</w:t>
      </w:r>
      <w:r w:rsidRPr="003B53CE">
        <w:rPr>
          <w:rFonts w:ascii="Century Gothic" w:hAnsi="Century Gothic"/>
          <w:sz w:val="24"/>
          <w:szCs w:val="24"/>
        </w:rPr>
        <w:t xml:space="preserve"> </w:t>
      </w:r>
      <w:r>
        <w:rPr>
          <w:rFonts w:ascii="Century Gothic" w:hAnsi="Century Gothic"/>
          <w:sz w:val="24"/>
          <w:szCs w:val="24"/>
        </w:rPr>
        <w:t xml:space="preserve">En cuanto a la clasificación del gasto de este recurso </w:t>
      </w:r>
      <w:r w:rsidRPr="003B53CE">
        <w:rPr>
          <w:rFonts w:ascii="Century Gothic" w:hAnsi="Century Gothic"/>
          <w:sz w:val="24"/>
          <w:szCs w:val="24"/>
        </w:rPr>
        <w:t xml:space="preserve">el municipio reportó lo siguiente: </w:t>
      </w:r>
    </w:p>
    <w:tbl>
      <w:tblPr>
        <w:tblW w:w="7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626"/>
        <w:gridCol w:w="1941"/>
      </w:tblGrid>
      <w:tr w:rsidR="00623BFA" w:rsidRPr="0075288D" w14:paraId="6B5A377C" w14:textId="77777777" w:rsidTr="0075288D">
        <w:trPr>
          <w:trHeight w:val="59"/>
          <w:jc w:val="center"/>
        </w:trPr>
        <w:tc>
          <w:tcPr>
            <w:tcW w:w="7567" w:type="dxa"/>
            <w:gridSpan w:val="2"/>
            <w:shd w:val="clear" w:color="auto" w:fill="0E4E7A"/>
            <w:tcMar>
              <w:top w:w="72" w:type="dxa"/>
              <w:left w:w="144" w:type="dxa"/>
              <w:bottom w:w="72" w:type="dxa"/>
              <w:right w:w="144" w:type="dxa"/>
            </w:tcMar>
          </w:tcPr>
          <w:p w14:paraId="150E9441" w14:textId="77777777" w:rsidR="00623BFA" w:rsidRPr="0075288D" w:rsidRDefault="003832EF" w:rsidP="0075288D">
            <w:pPr>
              <w:spacing w:after="0" w:line="240" w:lineRule="auto"/>
              <w:jc w:val="center"/>
              <w:rPr>
                <w:rFonts w:eastAsia="Times New Roman" w:cstheme="minorHAnsi"/>
                <w:b/>
                <w:bCs/>
                <w:color w:val="FFFFFF"/>
                <w:kern w:val="24"/>
                <w:sz w:val="18"/>
                <w:szCs w:val="19"/>
                <w:lang w:eastAsia="es-MX"/>
              </w:rPr>
            </w:pPr>
            <w:r w:rsidRPr="0075288D">
              <w:rPr>
                <w:rFonts w:eastAsia="Times New Roman" w:cstheme="minorHAnsi"/>
                <w:b/>
                <w:bCs/>
                <w:color w:val="FFFFFF"/>
                <w:kern w:val="24"/>
                <w:sz w:val="18"/>
                <w:szCs w:val="19"/>
                <w:lang w:eastAsia="es-MX"/>
              </w:rPr>
              <w:t>Cuadro 2.16</w:t>
            </w:r>
            <w:r w:rsidR="00623BFA" w:rsidRPr="0075288D">
              <w:rPr>
                <w:rFonts w:eastAsia="Times New Roman" w:cstheme="minorHAnsi"/>
                <w:b/>
                <w:bCs/>
                <w:color w:val="FFFFFF"/>
                <w:kern w:val="24"/>
                <w:sz w:val="18"/>
                <w:szCs w:val="19"/>
                <w:lang w:eastAsia="es-MX"/>
              </w:rPr>
              <w:t xml:space="preserve"> Clasificación de los gastos del, SEIDUR, 2017.</w:t>
            </w:r>
          </w:p>
        </w:tc>
      </w:tr>
      <w:tr w:rsidR="00623BFA" w:rsidRPr="0075288D" w14:paraId="472331C4" w14:textId="77777777" w:rsidTr="0075288D">
        <w:trPr>
          <w:trHeight w:val="28"/>
          <w:jc w:val="center"/>
        </w:trPr>
        <w:tc>
          <w:tcPr>
            <w:tcW w:w="5626" w:type="dxa"/>
            <w:shd w:val="clear" w:color="auto" w:fill="0E4E7A"/>
            <w:tcMar>
              <w:top w:w="72" w:type="dxa"/>
              <w:left w:w="144" w:type="dxa"/>
              <w:bottom w:w="72" w:type="dxa"/>
              <w:right w:w="144" w:type="dxa"/>
            </w:tcMar>
          </w:tcPr>
          <w:p w14:paraId="7F0F8C63" w14:textId="77777777" w:rsidR="00623BFA" w:rsidRPr="0075288D" w:rsidRDefault="00623BFA" w:rsidP="0075288D">
            <w:pPr>
              <w:tabs>
                <w:tab w:val="left" w:pos="1532"/>
                <w:tab w:val="center" w:pos="2600"/>
              </w:tabs>
              <w:spacing w:after="0" w:line="240" w:lineRule="auto"/>
              <w:jc w:val="center"/>
              <w:rPr>
                <w:rFonts w:eastAsia="Times New Roman" w:cstheme="minorHAnsi"/>
                <w:b/>
                <w:bCs/>
                <w:color w:val="FFFFFF"/>
                <w:kern w:val="24"/>
                <w:sz w:val="18"/>
                <w:szCs w:val="19"/>
                <w:lang w:eastAsia="es-MX"/>
              </w:rPr>
            </w:pPr>
            <w:r w:rsidRPr="0075288D">
              <w:rPr>
                <w:rFonts w:eastAsia="Times New Roman" w:cstheme="minorHAnsi"/>
                <w:b/>
                <w:bCs/>
                <w:color w:val="FFFFFF"/>
                <w:kern w:val="24"/>
                <w:sz w:val="18"/>
                <w:szCs w:val="19"/>
                <w:lang w:eastAsia="es-MX"/>
              </w:rPr>
              <w:t>Capítulo</w:t>
            </w:r>
          </w:p>
        </w:tc>
        <w:tc>
          <w:tcPr>
            <w:tcW w:w="1941" w:type="dxa"/>
            <w:shd w:val="clear" w:color="auto" w:fill="0E4E7A"/>
            <w:tcMar>
              <w:top w:w="72" w:type="dxa"/>
              <w:left w:w="144" w:type="dxa"/>
              <w:bottom w:w="72" w:type="dxa"/>
              <w:right w:w="144" w:type="dxa"/>
            </w:tcMar>
          </w:tcPr>
          <w:p w14:paraId="1289AF9F" w14:textId="77777777" w:rsidR="00623BFA" w:rsidRPr="0075288D" w:rsidRDefault="00623BFA" w:rsidP="0075288D">
            <w:pPr>
              <w:spacing w:after="0" w:line="240" w:lineRule="auto"/>
              <w:jc w:val="center"/>
              <w:rPr>
                <w:rFonts w:eastAsia="Times New Roman" w:cstheme="minorHAnsi"/>
                <w:b/>
                <w:bCs/>
                <w:color w:val="FFFFFF"/>
                <w:kern w:val="24"/>
                <w:sz w:val="18"/>
                <w:szCs w:val="19"/>
                <w:lang w:eastAsia="es-MX"/>
              </w:rPr>
            </w:pPr>
            <w:r w:rsidRPr="0075288D">
              <w:rPr>
                <w:rFonts w:eastAsia="Times New Roman" w:cstheme="minorHAnsi"/>
                <w:b/>
                <w:bCs/>
                <w:color w:val="FFFFFF"/>
                <w:kern w:val="24"/>
                <w:sz w:val="18"/>
                <w:szCs w:val="19"/>
                <w:lang w:eastAsia="es-MX"/>
              </w:rPr>
              <w:t>Presupuesto</w:t>
            </w:r>
          </w:p>
        </w:tc>
      </w:tr>
      <w:tr w:rsidR="00623BFA" w:rsidRPr="0075288D" w14:paraId="2E3DC676" w14:textId="77777777" w:rsidTr="00A602D1">
        <w:trPr>
          <w:trHeight w:val="28"/>
          <w:jc w:val="center"/>
        </w:trPr>
        <w:tc>
          <w:tcPr>
            <w:tcW w:w="5626" w:type="dxa"/>
            <w:shd w:val="clear" w:color="auto" w:fill="FFFFFF" w:themeFill="background1"/>
            <w:tcMar>
              <w:top w:w="72" w:type="dxa"/>
              <w:left w:w="144" w:type="dxa"/>
              <w:bottom w:w="72" w:type="dxa"/>
              <w:right w:w="144" w:type="dxa"/>
            </w:tcMar>
          </w:tcPr>
          <w:p w14:paraId="2C38FF3A" w14:textId="77777777" w:rsidR="00623BFA" w:rsidRPr="0075288D" w:rsidRDefault="00623BFA" w:rsidP="0075288D">
            <w:pPr>
              <w:spacing w:after="0" w:line="240" w:lineRule="auto"/>
              <w:jc w:val="both"/>
              <w:rPr>
                <w:rFonts w:cstheme="minorHAnsi"/>
                <w:sz w:val="18"/>
                <w:szCs w:val="19"/>
              </w:rPr>
            </w:pPr>
            <w:r w:rsidRPr="0075288D">
              <w:rPr>
                <w:rFonts w:cstheme="minorHAnsi"/>
                <w:sz w:val="18"/>
                <w:szCs w:val="19"/>
              </w:rPr>
              <w:t>1000: Servicios Personales</w:t>
            </w:r>
          </w:p>
        </w:tc>
        <w:tc>
          <w:tcPr>
            <w:tcW w:w="1941" w:type="dxa"/>
            <w:shd w:val="clear" w:color="auto" w:fill="FFFFFF" w:themeFill="background1"/>
            <w:tcMar>
              <w:top w:w="72" w:type="dxa"/>
              <w:left w:w="144" w:type="dxa"/>
              <w:bottom w:w="72" w:type="dxa"/>
              <w:right w:w="144" w:type="dxa"/>
            </w:tcMar>
          </w:tcPr>
          <w:p w14:paraId="21A41170" w14:textId="77777777" w:rsidR="00623BFA" w:rsidRPr="0075288D" w:rsidRDefault="00623BFA" w:rsidP="0075288D">
            <w:pPr>
              <w:spacing w:after="0" w:line="240" w:lineRule="auto"/>
              <w:jc w:val="right"/>
              <w:rPr>
                <w:rFonts w:eastAsia="Times New Roman" w:cstheme="minorHAnsi"/>
                <w:sz w:val="18"/>
                <w:szCs w:val="19"/>
                <w:lang w:eastAsia="es-MX"/>
              </w:rPr>
            </w:pPr>
            <w:r w:rsidRPr="0075288D">
              <w:rPr>
                <w:rFonts w:eastAsia="Times New Roman" w:cstheme="minorHAnsi"/>
                <w:sz w:val="18"/>
                <w:szCs w:val="19"/>
                <w:lang w:eastAsia="es-MX"/>
              </w:rPr>
              <w:t>$0</w:t>
            </w:r>
          </w:p>
        </w:tc>
      </w:tr>
      <w:tr w:rsidR="00623BFA" w:rsidRPr="0075288D" w14:paraId="58B6D8B3" w14:textId="77777777" w:rsidTr="00A602D1">
        <w:trPr>
          <w:trHeight w:val="197"/>
          <w:jc w:val="center"/>
        </w:trPr>
        <w:tc>
          <w:tcPr>
            <w:tcW w:w="5626" w:type="dxa"/>
            <w:shd w:val="clear" w:color="auto" w:fill="FFFFFF" w:themeFill="background1"/>
            <w:tcMar>
              <w:top w:w="72" w:type="dxa"/>
              <w:left w:w="144" w:type="dxa"/>
              <w:bottom w:w="72" w:type="dxa"/>
              <w:right w:w="144" w:type="dxa"/>
            </w:tcMar>
          </w:tcPr>
          <w:p w14:paraId="12F36F5E" w14:textId="77777777" w:rsidR="00623BFA" w:rsidRPr="0075288D" w:rsidRDefault="00623BFA" w:rsidP="0075288D">
            <w:pPr>
              <w:spacing w:after="0" w:line="240" w:lineRule="auto"/>
              <w:jc w:val="both"/>
              <w:rPr>
                <w:rFonts w:cstheme="minorHAnsi"/>
                <w:sz w:val="18"/>
                <w:szCs w:val="19"/>
              </w:rPr>
            </w:pPr>
            <w:r w:rsidRPr="0075288D">
              <w:rPr>
                <w:rFonts w:cstheme="minorHAnsi"/>
                <w:sz w:val="18"/>
                <w:szCs w:val="19"/>
              </w:rPr>
              <w:t>2000: Materiales y suministros</w:t>
            </w:r>
          </w:p>
        </w:tc>
        <w:tc>
          <w:tcPr>
            <w:tcW w:w="1941" w:type="dxa"/>
            <w:shd w:val="clear" w:color="auto" w:fill="FFFFFF" w:themeFill="background1"/>
            <w:tcMar>
              <w:top w:w="72" w:type="dxa"/>
              <w:left w:w="144" w:type="dxa"/>
              <w:bottom w:w="72" w:type="dxa"/>
              <w:right w:w="144" w:type="dxa"/>
            </w:tcMar>
          </w:tcPr>
          <w:p w14:paraId="20041C1A" w14:textId="77777777" w:rsidR="00623BFA" w:rsidRPr="0075288D" w:rsidRDefault="00623BFA" w:rsidP="0075288D">
            <w:pPr>
              <w:spacing w:after="0" w:line="240" w:lineRule="auto"/>
              <w:jc w:val="right"/>
              <w:rPr>
                <w:rFonts w:cstheme="minorHAnsi"/>
                <w:sz w:val="18"/>
              </w:rPr>
            </w:pPr>
            <w:r w:rsidRPr="0075288D">
              <w:rPr>
                <w:rFonts w:eastAsia="Times New Roman" w:cstheme="minorHAnsi"/>
                <w:sz w:val="18"/>
                <w:szCs w:val="19"/>
                <w:lang w:eastAsia="es-MX"/>
              </w:rPr>
              <w:t>$0</w:t>
            </w:r>
          </w:p>
        </w:tc>
      </w:tr>
      <w:tr w:rsidR="00623BFA" w:rsidRPr="0075288D" w14:paraId="20CE29D1" w14:textId="77777777" w:rsidTr="00A602D1">
        <w:trPr>
          <w:trHeight w:val="44"/>
          <w:jc w:val="center"/>
        </w:trPr>
        <w:tc>
          <w:tcPr>
            <w:tcW w:w="5626" w:type="dxa"/>
            <w:shd w:val="clear" w:color="auto" w:fill="FFFFFF" w:themeFill="background1"/>
            <w:tcMar>
              <w:top w:w="72" w:type="dxa"/>
              <w:left w:w="144" w:type="dxa"/>
              <w:bottom w:w="72" w:type="dxa"/>
              <w:right w:w="144" w:type="dxa"/>
            </w:tcMar>
          </w:tcPr>
          <w:p w14:paraId="79A44143" w14:textId="77777777" w:rsidR="00623BFA" w:rsidRPr="0075288D" w:rsidRDefault="00623BFA" w:rsidP="0075288D">
            <w:pPr>
              <w:spacing w:after="0" w:line="240" w:lineRule="auto"/>
              <w:jc w:val="both"/>
              <w:rPr>
                <w:rFonts w:cstheme="minorHAnsi"/>
                <w:sz w:val="18"/>
                <w:szCs w:val="19"/>
              </w:rPr>
            </w:pPr>
            <w:r w:rsidRPr="0075288D">
              <w:rPr>
                <w:rFonts w:cstheme="minorHAnsi"/>
                <w:sz w:val="18"/>
                <w:szCs w:val="19"/>
              </w:rPr>
              <w:t>3000: Servicios Generales</w:t>
            </w:r>
          </w:p>
        </w:tc>
        <w:tc>
          <w:tcPr>
            <w:tcW w:w="1941" w:type="dxa"/>
            <w:shd w:val="clear" w:color="auto" w:fill="FFFFFF" w:themeFill="background1"/>
            <w:tcMar>
              <w:top w:w="72" w:type="dxa"/>
              <w:left w:w="144" w:type="dxa"/>
              <w:bottom w:w="72" w:type="dxa"/>
              <w:right w:w="144" w:type="dxa"/>
            </w:tcMar>
          </w:tcPr>
          <w:p w14:paraId="2D68994F" w14:textId="77777777" w:rsidR="00623BFA" w:rsidRPr="0075288D" w:rsidRDefault="00623BFA" w:rsidP="0075288D">
            <w:pPr>
              <w:spacing w:after="0" w:line="240" w:lineRule="auto"/>
              <w:jc w:val="right"/>
              <w:rPr>
                <w:rFonts w:cstheme="minorHAnsi"/>
                <w:sz w:val="18"/>
              </w:rPr>
            </w:pPr>
            <w:r w:rsidRPr="0075288D">
              <w:rPr>
                <w:rFonts w:eastAsia="Times New Roman" w:cstheme="minorHAnsi"/>
                <w:sz w:val="18"/>
                <w:szCs w:val="19"/>
                <w:lang w:eastAsia="es-MX"/>
              </w:rPr>
              <w:t>$0</w:t>
            </w:r>
          </w:p>
        </w:tc>
      </w:tr>
      <w:tr w:rsidR="00623BFA" w:rsidRPr="0075288D" w14:paraId="24FA7C46" w14:textId="77777777" w:rsidTr="0075288D">
        <w:trPr>
          <w:trHeight w:val="28"/>
          <w:jc w:val="center"/>
        </w:trPr>
        <w:tc>
          <w:tcPr>
            <w:tcW w:w="5626" w:type="dxa"/>
            <w:shd w:val="clear" w:color="auto" w:fill="FFFFFF" w:themeFill="background1"/>
            <w:tcMar>
              <w:top w:w="72" w:type="dxa"/>
              <w:left w:w="144" w:type="dxa"/>
              <w:bottom w:w="72" w:type="dxa"/>
              <w:right w:w="144" w:type="dxa"/>
            </w:tcMar>
          </w:tcPr>
          <w:p w14:paraId="202700A8" w14:textId="77777777" w:rsidR="00623BFA" w:rsidRPr="0075288D" w:rsidRDefault="00623BFA" w:rsidP="0075288D">
            <w:pPr>
              <w:spacing w:after="0" w:line="240" w:lineRule="auto"/>
              <w:jc w:val="both"/>
              <w:rPr>
                <w:rFonts w:cstheme="minorHAnsi"/>
                <w:sz w:val="18"/>
                <w:szCs w:val="19"/>
              </w:rPr>
            </w:pPr>
            <w:r w:rsidRPr="0075288D">
              <w:rPr>
                <w:rFonts w:cstheme="minorHAnsi"/>
                <w:sz w:val="18"/>
                <w:szCs w:val="19"/>
              </w:rPr>
              <w:t>4000: Transferencias, asignaciones, subsidios y otras ayudas</w:t>
            </w:r>
          </w:p>
        </w:tc>
        <w:tc>
          <w:tcPr>
            <w:tcW w:w="1941" w:type="dxa"/>
            <w:shd w:val="clear" w:color="auto" w:fill="FFFFFF" w:themeFill="background1"/>
            <w:tcMar>
              <w:top w:w="72" w:type="dxa"/>
              <w:left w:w="144" w:type="dxa"/>
              <w:bottom w:w="72" w:type="dxa"/>
              <w:right w:w="144" w:type="dxa"/>
            </w:tcMar>
          </w:tcPr>
          <w:p w14:paraId="1350FCAF" w14:textId="77777777" w:rsidR="00623BFA" w:rsidRPr="0075288D" w:rsidRDefault="00623BFA" w:rsidP="0075288D">
            <w:pPr>
              <w:spacing w:after="0" w:line="240" w:lineRule="auto"/>
              <w:jc w:val="right"/>
              <w:rPr>
                <w:rFonts w:cstheme="minorHAnsi"/>
                <w:sz w:val="18"/>
              </w:rPr>
            </w:pPr>
            <w:r w:rsidRPr="0075288D">
              <w:rPr>
                <w:rFonts w:eastAsia="Times New Roman" w:cstheme="minorHAnsi"/>
                <w:sz w:val="18"/>
                <w:szCs w:val="19"/>
                <w:lang w:eastAsia="es-MX"/>
              </w:rPr>
              <w:t>$0</w:t>
            </w:r>
          </w:p>
        </w:tc>
      </w:tr>
      <w:tr w:rsidR="00623BFA" w:rsidRPr="0075288D" w14:paraId="2D2C3993" w14:textId="77777777" w:rsidTr="00A602D1">
        <w:trPr>
          <w:trHeight w:val="44"/>
          <w:jc w:val="center"/>
        </w:trPr>
        <w:tc>
          <w:tcPr>
            <w:tcW w:w="5626" w:type="dxa"/>
            <w:shd w:val="clear" w:color="auto" w:fill="FFFFFF" w:themeFill="background1"/>
            <w:tcMar>
              <w:top w:w="72" w:type="dxa"/>
              <w:left w:w="144" w:type="dxa"/>
              <w:bottom w:w="72" w:type="dxa"/>
              <w:right w:w="144" w:type="dxa"/>
            </w:tcMar>
          </w:tcPr>
          <w:p w14:paraId="387E53D6" w14:textId="77777777" w:rsidR="00623BFA" w:rsidRPr="0075288D" w:rsidRDefault="00623BFA" w:rsidP="0075288D">
            <w:pPr>
              <w:spacing w:after="0" w:line="240" w:lineRule="auto"/>
              <w:jc w:val="both"/>
              <w:rPr>
                <w:rFonts w:cstheme="minorHAnsi"/>
                <w:sz w:val="18"/>
                <w:szCs w:val="19"/>
              </w:rPr>
            </w:pPr>
            <w:r w:rsidRPr="0075288D">
              <w:rPr>
                <w:rFonts w:cstheme="minorHAnsi"/>
                <w:sz w:val="18"/>
                <w:szCs w:val="19"/>
              </w:rPr>
              <w:t>5000: Bienes Muebles e Inmuebles</w:t>
            </w:r>
          </w:p>
        </w:tc>
        <w:tc>
          <w:tcPr>
            <w:tcW w:w="1941" w:type="dxa"/>
            <w:shd w:val="clear" w:color="auto" w:fill="FFFFFF" w:themeFill="background1"/>
            <w:tcMar>
              <w:top w:w="72" w:type="dxa"/>
              <w:left w:w="144" w:type="dxa"/>
              <w:bottom w:w="72" w:type="dxa"/>
              <w:right w:w="144" w:type="dxa"/>
            </w:tcMar>
          </w:tcPr>
          <w:p w14:paraId="6162FA61" w14:textId="77777777" w:rsidR="00623BFA" w:rsidRPr="0075288D" w:rsidRDefault="00623BFA" w:rsidP="0075288D">
            <w:pPr>
              <w:spacing w:after="0" w:line="240" w:lineRule="auto"/>
              <w:jc w:val="right"/>
              <w:rPr>
                <w:rFonts w:eastAsia="Times New Roman" w:cstheme="minorHAnsi"/>
                <w:sz w:val="18"/>
                <w:szCs w:val="19"/>
                <w:lang w:eastAsia="es-MX"/>
              </w:rPr>
            </w:pPr>
            <w:r w:rsidRPr="0075288D">
              <w:rPr>
                <w:rFonts w:eastAsia="Times New Roman" w:cstheme="minorHAnsi"/>
                <w:sz w:val="18"/>
                <w:szCs w:val="19"/>
                <w:lang w:eastAsia="es-MX"/>
              </w:rPr>
              <w:t>$0</w:t>
            </w:r>
          </w:p>
        </w:tc>
      </w:tr>
      <w:tr w:rsidR="00623BFA" w:rsidRPr="0075288D" w14:paraId="36E0B128" w14:textId="77777777" w:rsidTr="0075288D">
        <w:trPr>
          <w:trHeight w:val="28"/>
          <w:jc w:val="center"/>
        </w:trPr>
        <w:tc>
          <w:tcPr>
            <w:tcW w:w="5626" w:type="dxa"/>
            <w:shd w:val="clear" w:color="auto" w:fill="FFFFFF" w:themeFill="background1"/>
            <w:tcMar>
              <w:top w:w="72" w:type="dxa"/>
              <w:left w:w="144" w:type="dxa"/>
              <w:bottom w:w="72" w:type="dxa"/>
              <w:right w:w="144" w:type="dxa"/>
            </w:tcMar>
          </w:tcPr>
          <w:p w14:paraId="14A98A2E" w14:textId="77777777" w:rsidR="00623BFA" w:rsidRPr="0075288D" w:rsidRDefault="00623BFA" w:rsidP="0075288D">
            <w:pPr>
              <w:spacing w:after="0" w:line="240" w:lineRule="auto"/>
              <w:jc w:val="both"/>
              <w:rPr>
                <w:rFonts w:cstheme="minorHAnsi"/>
                <w:sz w:val="18"/>
                <w:szCs w:val="19"/>
              </w:rPr>
            </w:pPr>
            <w:r w:rsidRPr="0075288D">
              <w:rPr>
                <w:rFonts w:cstheme="minorHAnsi"/>
                <w:sz w:val="18"/>
                <w:szCs w:val="19"/>
              </w:rPr>
              <w:t>6000: Obras Públicas</w:t>
            </w:r>
          </w:p>
        </w:tc>
        <w:tc>
          <w:tcPr>
            <w:tcW w:w="1941" w:type="dxa"/>
            <w:shd w:val="clear" w:color="auto" w:fill="FFFFFF" w:themeFill="background1"/>
            <w:tcMar>
              <w:top w:w="72" w:type="dxa"/>
              <w:left w:w="144" w:type="dxa"/>
              <w:bottom w:w="72" w:type="dxa"/>
              <w:right w:w="144" w:type="dxa"/>
            </w:tcMar>
          </w:tcPr>
          <w:p w14:paraId="4726CF04" w14:textId="77777777" w:rsidR="00623BFA" w:rsidRPr="0075288D" w:rsidRDefault="00623BFA" w:rsidP="0075288D">
            <w:pPr>
              <w:spacing w:after="0" w:line="240" w:lineRule="auto"/>
              <w:jc w:val="right"/>
              <w:rPr>
                <w:rFonts w:eastAsia="Times New Roman" w:cstheme="minorHAnsi"/>
                <w:sz w:val="18"/>
                <w:szCs w:val="19"/>
                <w:lang w:eastAsia="es-MX"/>
              </w:rPr>
            </w:pPr>
            <w:r w:rsidRPr="0075288D">
              <w:rPr>
                <w:rFonts w:cstheme="minorHAnsi"/>
                <w:sz w:val="18"/>
                <w:szCs w:val="20"/>
              </w:rPr>
              <w:t>$25,000,000</w:t>
            </w:r>
          </w:p>
        </w:tc>
      </w:tr>
      <w:tr w:rsidR="00623BFA" w:rsidRPr="0075288D" w14:paraId="5C858077" w14:textId="77777777" w:rsidTr="0075288D">
        <w:trPr>
          <w:trHeight w:val="28"/>
          <w:jc w:val="center"/>
        </w:trPr>
        <w:tc>
          <w:tcPr>
            <w:tcW w:w="5626" w:type="dxa"/>
            <w:shd w:val="clear" w:color="auto" w:fill="FFFFFF" w:themeFill="background1"/>
            <w:tcMar>
              <w:top w:w="72" w:type="dxa"/>
              <w:left w:w="144" w:type="dxa"/>
              <w:bottom w:w="72" w:type="dxa"/>
              <w:right w:w="144" w:type="dxa"/>
            </w:tcMar>
            <w:hideMark/>
          </w:tcPr>
          <w:p w14:paraId="64F92A2A" w14:textId="77777777" w:rsidR="00623BFA" w:rsidRPr="0075288D" w:rsidRDefault="00623BFA" w:rsidP="0075288D">
            <w:pPr>
              <w:spacing w:after="0" w:line="240" w:lineRule="auto"/>
              <w:jc w:val="center"/>
              <w:rPr>
                <w:rFonts w:eastAsia="Times New Roman" w:cstheme="minorHAnsi"/>
                <w:sz w:val="18"/>
                <w:szCs w:val="19"/>
                <w:lang w:eastAsia="es-MX"/>
              </w:rPr>
            </w:pPr>
            <w:r w:rsidRPr="0075288D">
              <w:rPr>
                <w:rFonts w:eastAsia="Times New Roman" w:cstheme="minorHAnsi"/>
                <w:b/>
                <w:bCs/>
                <w:color w:val="000000"/>
                <w:kern w:val="24"/>
                <w:sz w:val="18"/>
                <w:szCs w:val="19"/>
                <w:lang w:eastAsia="es-MX"/>
              </w:rPr>
              <w:t>TOTAL</w:t>
            </w:r>
          </w:p>
        </w:tc>
        <w:tc>
          <w:tcPr>
            <w:tcW w:w="1941" w:type="dxa"/>
            <w:shd w:val="clear" w:color="auto" w:fill="FFFFFF" w:themeFill="background1"/>
            <w:tcMar>
              <w:top w:w="72" w:type="dxa"/>
              <w:left w:w="144" w:type="dxa"/>
              <w:bottom w:w="72" w:type="dxa"/>
              <w:right w:w="144" w:type="dxa"/>
            </w:tcMar>
            <w:hideMark/>
          </w:tcPr>
          <w:p w14:paraId="45D376E8" w14:textId="77777777" w:rsidR="00623BFA" w:rsidRPr="0075288D" w:rsidRDefault="00623BFA" w:rsidP="0075288D">
            <w:pPr>
              <w:spacing w:after="0" w:line="240" w:lineRule="auto"/>
              <w:jc w:val="right"/>
              <w:rPr>
                <w:rFonts w:eastAsia="Times New Roman" w:cstheme="minorHAnsi"/>
                <w:sz w:val="18"/>
                <w:szCs w:val="19"/>
                <w:lang w:eastAsia="es-MX"/>
              </w:rPr>
            </w:pPr>
            <w:r w:rsidRPr="0075288D">
              <w:rPr>
                <w:rFonts w:cstheme="minorHAnsi"/>
                <w:b/>
                <w:sz w:val="18"/>
                <w:szCs w:val="20"/>
              </w:rPr>
              <w:t>$25,000,000</w:t>
            </w:r>
          </w:p>
        </w:tc>
      </w:tr>
      <w:tr w:rsidR="00623BFA" w:rsidRPr="0075288D" w14:paraId="395AE1DF" w14:textId="77777777" w:rsidTr="0075288D">
        <w:trPr>
          <w:trHeight w:val="28"/>
          <w:jc w:val="center"/>
        </w:trPr>
        <w:tc>
          <w:tcPr>
            <w:tcW w:w="7567" w:type="dxa"/>
            <w:gridSpan w:val="2"/>
            <w:shd w:val="clear" w:color="auto" w:fill="FFFFFF" w:themeFill="background1"/>
            <w:tcMar>
              <w:top w:w="72" w:type="dxa"/>
              <w:left w:w="144" w:type="dxa"/>
              <w:bottom w:w="72" w:type="dxa"/>
              <w:right w:w="144" w:type="dxa"/>
            </w:tcMar>
            <w:hideMark/>
          </w:tcPr>
          <w:p w14:paraId="089E3B70" w14:textId="77777777" w:rsidR="00623BFA" w:rsidRPr="0075288D" w:rsidRDefault="00623BFA" w:rsidP="0075288D">
            <w:pPr>
              <w:spacing w:after="0" w:line="240" w:lineRule="auto"/>
              <w:rPr>
                <w:rFonts w:eastAsia="Times New Roman" w:cstheme="minorHAnsi"/>
                <w:sz w:val="18"/>
                <w:szCs w:val="19"/>
                <w:lang w:eastAsia="es-MX"/>
              </w:rPr>
            </w:pPr>
            <w:r w:rsidRPr="0075288D">
              <w:rPr>
                <w:rFonts w:eastAsia="Times New Roman" w:cstheme="minorHAnsi"/>
                <w:b/>
                <w:bCs/>
                <w:color w:val="000000"/>
                <w:kern w:val="24"/>
                <w:sz w:val="18"/>
                <w:szCs w:val="19"/>
                <w:lang w:eastAsia="es-MX"/>
              </w:rPr>
              <w:t xml:space="preserve">Fuente: </w:t>
            </w:r>
            <w:r w:rsidRPr="0075288D">
              <w:rPr>
                <w:rFonts w:eastAsia="Times New Roman" w:cstheme="minorHAnsi"/>
                <w:color w:val="000000"/>
                <w:kern w:val="24"/>
                <w:sz w:val="18"/>
                <w:szCs w:val="19"/>
                <w:lang w:eastAsia="es-MX"/>
              </w:rPr>
              <w:t xml:space="preserve">Elaborado por TECSO con base </w:t>
            </w:r>
            <w:r w:rsidRPr="0075288D">
              <w:rPr>
                <w:rFonts w:eastAsia="Times New Roman" w:cstheme="minorHAnsi"/>
                <w:color w:val="000000"/>
                <w:sz w:val="18"/>
                <w:szCs w:val="20"/>
                <w:lang w:eastAsia="es-MX"/>
              </w:rPr>
              <w:t>con base lo reportado por la Dependencia en el “Anexo 13”.</w:t>
            </w:r>
          </w:p>
        </w:tc>
      </w:tr>
    </w:tbl>
    <w:p w14:paraId="6E980BF7" w14:textId="77777777" w:rsidR="000D0E0D" w:rsidRPr="000D0E0D" w:rsidRDefault="000D0E0D" w:rsidP="000D0E0D">
      <w:pPr>
        <w:spacing w:after="240"/>
        <w:jc w:val="both"/>
        <w:rPr>
          <w:rFonts w:ascii="Century Gothic" w:hAnsi="Century Gothic"/>
          <w:sz w:val="4"/>
          <w:szCs w:val="24"/>
        </w:rPr>
      </w:pPr>
    </w:p>
    <w:p w14:paraId="5A0FE868" w14:textId="77777777" w:rsidR="00623BFA" w:rsidRDefault="00623BFA" w:rsidP="000D0E0D">
      <w:pPr>
        <w:spacing w:after="240"/>
        <w:jc w:val="both"/>
        <w:rPr>
          <w:rFonts w:ascii="Century Gothic" w:hAnsi="Century Gothic"/>
          <w:sz w:val="24"/>
          <w:szCs w:val="24"/>
        </w:rPr>
      </w:pPr>
      <w:r>
        <w:rPr>
          <w:rFonts w:ascii="Century Gothic" w:hAnsi="Century Gothic"/>
          <w:sz w:val="24"/>
          <w:szCs w:val="24"/>
        </w:rPr>
        <w:lastRenderedPageBreak/>
        <w:t xml:space="preserve">Como se observa, </w:t>
      </w:r>
      <w:r w:rsidRPr="007066E9">
        <w:rPr>
          <w:rFonts w:ascii="Century Gothic" w:hAnsi="Century Gothic"/>
          <w:sz w:val="24"/>
          <w:szCs w:val="24"/>
        </w:rPr>
        <w:t>sólo mencio</w:t>
      </w:r>
      <w:r w:rsidR="001B08FB">
        <w:rPr>
          <w:rFonts w:ascii="Century Gothic" w:hAnsi="Century Gothic"/>
          <w:sz w:val="24"/>
          <w:szCs w:val="24"/>
        </w:rPr>
        <w:t>nan que por parte del capítulo 6</w:t>
      </w:r>
      <w:r w:rsidRPr="007066E9">
        <w:rPr>
          <w:rFonts w:ascii="Century Gothic" w:hAnsi="Century Gothic"/>
          <w:sz w:val="24"/>
          <w:szCs w:val="24"/>
        </w:rPr>
        <w:t xml:space="preserve">000 </w:t>
      </w:r>
      <w:r w:rsidR="001B08FB" w:rsidRPr="001B08FB">
        <w:rPr>
          <w:rFonts w:ascii="Century Gothic" w:hAnsi="Century Gothic"/>
          <w:sz w:val="24"/>
          <w:szCs w:val="24"/>
        </w:rPr>
        <w:t xml:space="preserve">Obras Públicas </w:t>
      </w:r>
      <w:r w:rsidR="000D0E0D">
        <w:rPr>
          <w:rFonts w:ascii="Century Gothic" w:hAnsi="Century Gothic"/>
          <w:sz w:val="24"/>
          <w:szCs w:val="24"/>
        </w:rPr>
        <w:t>por valor de</w:t>
      </w:r>
      <w:r w:rsidRPr="007066E9">
        <w:rPr>
          <w:rFonts w:ascii="Century Gothic" w:hAnsi="Century Gothic"/>
          <w:sz w:val="24"/>
          <w:szCs w:val="24"/>
        </w:rPr>
        <w:t xml:space="preserve"> </w:t>
      </w:r>
      <w:r w:rsidRPr="006F0BC1">
        <w:rPr>
          <w:rFonts w:ascii="Century Gothic" w:hAnsi="Century Gothic"/>
          <w:sz w:val="24"/>
          <w:szCs w:val="24"/>
        </w:rPr>
        <w:t>$</w:t>
      </w:r>
      <w:r w:rsidR="000D0E0D">
        <w:rPr>
          <w:rFonts w:ascii="Century Gothic" w:hAnsi="Century Gothic"/>
          <w:sz w:val="24"/>
          <w:szCs w:val="24"/>
        </w:rPr>
        <w:t>25,000,000</w:t>
      </w:r>
      <w:r>
        <w:rPr>
          <w:rFonts w:ascii="Century Gothic" w:hAnsi="Century Gothic"/>
          <w:sz w:val="24"/>
          <w:szCs w:val="24"/>
        </w:rPr>
        <w:t xml:space="preserve">, </w:t>
      </w:r>
      <w:r w:rsidR="000D0E0D">
        <w:rPr>
          <w:rFonts w:ascii="Century Gothic" w:hAnsi="Century Gothic"/>
          <w:sz w:val="24"/>
          <w:szCs w:val="24"/>
        </w:rPr>
        <w:t>este monto corresponde sólo a una de las obras que realizó el programa “M</w:t>
      </w:r>
      <w:r w:rsidR="000D0E0D" w:rsidRPr="000D0E0D">
        <w:rPr>
          <w:rFonts w:ascii="Century Gothic" w:hAnsi="Century Gothic"/>
          <w:sz w:val="24"/>
          <w:szCs w:val="24"/>
        </w:rPr>
        <w:t>odernización de la unidad deportiva José María Morelos, Colima, col. (2 etapa)</w:t>
      </w:r>
      <w:r w:rsidR="000D0E0D">
        <w:rPr>
          <w:rFonts w:ascii="Century Gothic" w:hAnsi="Century Gothic"/>
          <w:sz w:val="24"/>
          <w:szCs w:val="24"/>
        </w:rPr>
        <w:t>”</w:t>
      </w:r>
      <w:r>
        <w:rPr>
          <w:rFonts w:ascii="Century Gothic" w:hAnsi="Century Gothic"/>
          <w:sz w:val="24"/>
          <w:szCs w:val="24"/>
        </w:rPr>
        <w:t>.</w:t>
      </w:r>
    </w:p>
    <w:p w14:paraId="2F53CA5B" w14:textId="77777777" w:rsidR="000D0E0D" w:rsidRDefault="000D0E0D" w:rsidP="000D0E0D">
      <w:pPr>
        <w:spacing w:after="240"/>
        <w:jc w:val="both"/>
        <w:rPr>
          <w:rFonts w:ascii="Century Gothic" w:eastAsiaTheme="majorEastAsia" w:hAnsi="Century Gothic" w:cstheme="majorBidi"/>
          <w:sz w:val="24"/>
          <w:szCs w:val="32"/>
        </w:rPr>
      </w:pPr>
      <w:r>
        <w:rPr>
          <w:rFonts w:ascii="Century Gothic" w:eastAsiaTheme="majorEastAsia" w:hAnsi="Century Gothic" w:cstheme="majorBidi"/>
          <w:sz w:val="24"/>
          <w:szCs w:val="32"/>
        </w:rPr>
        <w:t>Es importante aclarar que esto se presentó debido a la poca claridad entre la evaluación al fondo y la del programa presupuestario, pues como s comento anteriormente la cédula se contestó sólo en base a la obra realizada con recursos del FAFEF.</w:t>
      </w:r>
    </w:p>
    <w:p w14:paraId="3C86C01A" w14:textId="77777777" w:rsidR="000D0E0D" w:rsidRDefault="000D0E0D" w:rsidP="000D0E0D">
      <w:pPr>
        <w:spacing w:after="240"/>
        <w:jc w:val="both"/>
        <w:rPr>
          <w:rFonts w:ascii="Century Gothic" w:hAnsi="Century Gothic"/>
          <w:sz w:val="24"/>
          <w:szCs w:val="24"/>
        </w:rPr>
      </w:pPr>
      <w:r>
        <w:rPr>
          <w:rFonts w:ascii="Century Gothic" w:eastAsiaTheme="majorEastAsia" w:hAnsi="Century Gothic" w:cstheme="majorBidi"/>
          <w:sz w:val="24"/>
          <w:szCs w:val="32"/>
        </w:rPr>
        <w:t>Ante ello se recomienda registrar de manera específica las operaciones presupuestarias derivadas de su gestión. Dando cumplimiento lo dispuesto por la Ley de Contabilidad Gubernamental, que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 (DOF, 2014).</w:t>
      </w:r>
    </w:p>
    <w:p w14:paraId="18848462" w14:textId="77777777" w:rsidR="00940A4E" w:rsidRDefault="005F7C97" w:rsidP="009170A9">
      <w:pPr>
        <w:pStyle w:val="Ttulo2"/>
        <w:spacing w:before="0" w:after="240"/>
        <w:ind w:left="284"/>
        <w:rPr>
          <w:rFonts w:ascii="Century Gothic" w:hAnsi="Century Gothic"/>
          <w:color w:val="0E4E7A"/>
          <w:sz w:val="28"/>
        </w:rPr>
      </w:pPr>
      <w:bookmarkStart w:id="57" w:name="_Toc505364441"/>
      <w:bookmarkStart w:id="58" w:name="_Toc511859791"/>
      <w:r>
        <w:rPr>
          <w:rFonts w:ascii="Century Gothic" w:hAnsi="Century Gothic"/>
          <w:color w:val="0E4E7A"/>
          <w:sz w:val="28"/>
        </w:rPr>
        <w:t>2.4</w:t>
      </w:r>
      <w:r w:rsidR="00940A4E">
        <w:rPr>
          <w:rFonts w:ascii="Century Gothic" w:hAnsi="Century Gothic"/>
          <w:color w:val="0E4E7A"/>
          <w:sz w:val="28"/>
        </w:rPr>
        <w:t>.</w:t>
      </w:r>
      <w:r w:rsidR="009B116D">
        <w:rPr>
          <w:rFonts w:ascii="Century Gothic" w:hAnsi="Century Gothic"/>
          <w:color w:val="0E4E7A"/>
          <w:sz w:val="28"/>
        </w:rPr>
        <w:t>4</w:t>
      </w:r>
      <w:r w:rsidR="00940A4E">
        <w:rPr>
          <w:rFonts w:ascii="Century Gothic" w:hAnsi="Century Gothic"/>
          <w:color w:val="0E4E7A"/>
          <w:sz w:val="28"/>
        </w:rPr>
        <w:t>.</w:t>
      </w:r>
      <w:r w:rsidR="00940A4E" w:rsidRPr="00745740">
        <w:rPr>
          <w:rFonts w:ascii="Century Gothic" w:hAnsi="Century Gothic"/>
          <w:color w:val="0E4E7A"/>
          <w:sz w:val="28"/>
        </w:rPr>
        <w:t xml:space="preserve"> </w:t>
      </w:r>
      <w:r w:rsidR="009B116D" w:rsidRPr="009B116D">
        <w:rPr>
          <w:rFonts w:ascii="Century Gothic" w:hAnsi="Century Gothic"/>
          <w:color w:val="0E4E7A"/>
          <w:sz w:val="28"/>
        </w:rPr>
        <w:t>Sistematización de la información</w:t>
      </w:r>
      <w:r w:rsidR="00940A4E" w:rsidRPr="00745740">
        <w:rPr>
          <w:rFonts w:ascii="Century Gothic" w:hAnsi="Century Gothic"/>
          <w:color w:val="0E4E7A"/>
          <w:sz w:val="28"/>
        </w:rPr>
        <w:t>.</w:t>
      </w:r>
      <w:bookmarkEnd w:id="57"/>
      <w:bookmarkEnd w:id="58"/>
    </w:p>
    <w:p w14:paraId="2ED75C66" w14:textId="77777777" w:rsidR="00261E9B" w:rsidRPr="009170A9" w:rsidRDefault="009170A9" w:rsidP="009170A9">
      <w:pPr>
        <w:spacing w:after="240"/>
        <w:jc w:val="both"/>
        <w:rPr>
          <w:rFonts w:ascii="Century Gothic" w:eastAsia="Times New Roman" w:hAnsi="Century Gothic" w:cs="Times New Roman"/>
          <w:color w:val="000000"/>
          <w:sz w:val="24"/>
          <w:szCs w:val="24"/>
          <w:lang w:eastAsia="es-ES_tradnl"/>
        </w:rPr>
      </w:pPr>
      <w:r w:rsidRPr="009170A9">
        <w:rPr>
          <w:rFonts w:ascii="Century Gothic" w:eastAsia="Times New Roman" w:hAnsi="Century Gothic" w:cs="Times New Roman"/>
          <w:color w:val="000000"/>
          <w:sz w:val="24"/>
          <w:szCs w:val="24"/>
          <w:lang w:eastAsia="es-ES_tradnl"/>
        </w:rPr>
        <w:t xml:space="preserve">En este apartado se busca conocer si </w:t>
      </w:r>
      <w:r>
        <w:rPr>
          <w:rFonts w:ascii="Century Gothic" w:eastAsia="Times New Roman" w:hAnsi="Century Gothic" w:cs="Times New Roman"/>
          <w:color w:val="000000"/>
          <w:sz w:val="24"/>
          <w:szCs w:val="24"/>
          <w:lang w:eastAsia="es-ES_tradnl"/>
        </w:rPr>
        <w:t xml:space="preserve">se cuenta con </w:t>
      </w:r>
      <w:r w:rsidRPr="009170A9">
        <w:rPr>
          <w:rFonts w:ascii="Century Gothic" w:eastAsia="Times New Roman" w:hAnsi="Century Gothic" w:cs="Times New Roman"/>
          <w:color w:val="000000"/>
          <w:sz w:val="24"/>
          <w:szCs w:val="24"/>
          <w:lang w:eastAsia="es-ES_tradnl"/>
        </w:rPr>
        <w:t>aplicaciones informáticas o sistemas institucionales</w:t>
      </w:r>
      <w:r>
        <w:rPr>
          <w:rFonts w:ascii="Century Gothic" w:eastAsia="Times New Roman" w:hAnsi="Century Gothic" w:cs="Times New Roman"/>
          <w:color w:val="000000"/>
          <w:sz w:val="24"/>
          <w:szCs w:val="24"/>
          <w:lang w:eastAsia="es-ES_tradnl"/>
        </w:rPr>
        <w:t xml:space="preserve"> en las cuales se sistematice la información que recolecta el programa. </w:t>
      </w:r>
    </w:p>
    <w:p w14:paraId="170082C2" w14:textId="77777777" w:rsidR="009170A9" w:rsidRPr="009170A9" w:rsidRDefault="009170A9" w:rsidP="00261E9B">
      <w:pPr>
        <w:jc w:val="both"/>
        <w:rPr>
          <w:rFonts w:ascii="Century Gothic" w:eastAsia="Times New Roman" w:hAnsi="Century Gothic" w:cs="Times New Roman"/>
          <w:color w:val="000000"/>
          <w:sz w:val="24"/>
          <w:szCs w:val="24"/>
          <w:lang w:eastAsia="es-ES_tradnl"/>
        </w:rPr>
      </w:pPr>
      <w:r>
        <w:rPr>
          <w:rFonts w:ascii="Century Gothic" w:eastAsia="Times New Roman" w:hAnsi="Century Gothic" w:cs="Times New Roman"/>
          <w:color w:val="000000"/>
          <w:sz w:val="24"/>
          <w:szCs w:val="24"/>
          <w:lang w:eastAsia="es-ES_tradnl"/>
        </w:rPr>
        <w:t>Como se comentó en el apartado de “Generación de la Información”, la información que se tiene está plasmada en las Actas de entrega recepción de la obras, (</w:t>
      </w:r>
      <w:r>
        <w:rPr>
          <w:rFonts w:ascii="Century Gothic" w:hAnsi="Century Gothic"/>
          <w:sz w:val="24"/>
        </w:rPr>
        <w:t xml:space="preserve">número de contrato, convenio, nombre de la obra, ubicación, descripción de los trabajos realizados, inversión, y están firmado por el encargado de recibir la obra por parte de la SEIDUR (Director de obra pública) y de quien la entrega (Empresa contratista)), pero estas </w:t>
      </w:r>
      <w:r w:rsidRPr="0000527E">
        <w:rPr>
          <w:rFonts w:ascii="Century Gothic" w:hAnsi="Century Gothic"/>
          <w:b/>
          <w:sz w:val="24"/>
        </w:rPr>
        <w:t>no están sistematizadas ni se cuenta con un programa o aplicación</w:t>
      </w:r>
      <w:r>
        <w:rPr>
          <w:rFonts w:ascii="Century Gothic" w:hAnsi="Century Gothic"/>
          <w:sz w:val="24"/>
        </w:rPr>
        <w:t xml:space="preserve"> que registre este tipo de información.</w:t>
      </w:r>
    </w:p>
    <w:p w14:paraId="09A50DD1" w14:textId="77777777" w:rsidR="009B116D" w:rsidRDefault="005F7C97" w:rsidP="004F7D24">
      <w:pPr>
        <w:pStyle w:val="Ttulo2"/>
        <w:spacing w:before="0" w:after="240"/>
        <w:ind w:left="284"/>
        <w:jc w:val="both"/>
        <w:rPr>
          <w:rFonts w:ascii="Century Gothic" w:hAnsi="Century Gothic"/>
          <w:color w:val="0E4E7A"/>
          <w:sz w:val="28"/>
        </w:rPr>
      </w:pPr>
      <w:bookmarkStart w:id="59" w:name="_Toc505364442"/>
      <w:bookmarkStart w:id="60" w:name="_Toc511859792"/>
      <w:r>
        <w:rPr>
          <w:rFonts w:ascii="Century Gothic" w:hAnsi="Century Gothic"/>
          <w:color w:val="0E4E7A"/>
          <w:sz w:val="28"/>
        </w:rPr>
        <w:lastRenderedPageBreak/>
        <w:t>2.4</w:t>
      </w:r>
      <w:r w:rsidR="009B116D">
        <w:rPr>
          <w:rFonts w:ascii="Century Gothic" w:hAnsi="Century Gothic"/>
          <w:color w:val="0E4E7A"/>
          <w:sz w:val="28"/>
        </w:rPr>
        <w:t>.5.</w:t>
      </w:r>
      <w:r w:rsidR="009B116D" w:rsidRPr="00745740">
        <w:rPr>
          <w:rFonts w:ascii="Century Gothic" w:hAnsi="Century Gothic"/>
          <w:color w:val="0E4E7A"/>
          <w:sz w:val="28"/>
        </w:rPr>
        <w:t xml:space="preserve"> </w:t>
      </w:r>
      <w:r w:rsidR="009B116D" w:rsidRPr="009B116D">
        <w:rPr>
          <w:rFonts w:ascii="Century Gothic" w:hAnsi="Century Gothic"/>
          <w:color w:val="0E4E7A"/>
          <w:sz w:val="28"/>
        </w:rPr>
        <w:t>Cumplimiento y avance en los indicadores de gestión y productos</w:t>
      </w:r>
      <w:r w:rsidR="009B116D" w:rsidRPr="00745740">
        <w:rPr>
          <w:rFonts w:ascii="Century Gothic" w:hAnsi="Century Gothic"/>
          <w:color w:val="0E4E7A"/>
          <w:sz w:val="28"/>
        </w:rPr>
        <w:t>.</w:t>
      </w:r>
      <w:bookmarkEnd w:id="59"/>
      <w:bookmarkEnd w:id="60"/>
    </w:p>
    <w:p w14:paraId="1C0FCD64" w14:textId="77777777" w:rsidR="00CB19B9" w:rsidRDefault="004F7D24" w:rsidP="004F7D24">
      <w:pPr>
        <w:spacing w:after="240"/>
        <w:jc w:val="both"/>
        <w:rPr>
          <w:rFonts w:ascii="Century Gothic" w:hAnsi="Century Gothic"/>
          <w:sz w:val="24"/>
        </w:rPr>
      </w:pPr>
      <w:r>
        <w:rPr>
          <w:rFonts w:ascii="Century Gothic" w:hAnsi="Century Gothic"/>
          <w:sz w:val="24"/>
        </w:rPr>
        <w:t xml:space="preserve">En este apartado se busca analizar cuál </w:t>
      </w:r>
      <w:r w:rsidRPr="004F7D24">
        <w:rPr>
          <w:rFonts w:ascii="Century Gothic" w:hAnsi="Century Gothic"/>
          <w:sz w:val="24"/>
        </w:rPr>
        <w:t>es el avance de los indicadores de servicios y de gestión (Actividades y Componentes) y de resultados (Fin y Propósito) de la MIR del programa respecto de sus metas</w:t>
      </w:r>
      <w:r>
        <w:rPr>
          <w:rFonts w:ascii="Century Gothic" w:hAnsi="Century Gothic"/>
          <w:sz w:val="24"/>
        </w:rPr>
        <w:t>.</w:t>
      </w:r>
    </w:p>
    <w:p w14:paraId="25472D3A" w14:textId="77777777" w:rsidR="004F7D24" w:rsidRDefault="00DE78CC" w:rsidP="004F7D24">
      <w:pPr>
        <w:spacing w:after="240"/>
        <w:jc w:val="both"/>
        <w:rPr>
          <w:rFonts w:ascii="Century Gothic" w:hAnsi="Century Gothic"/>
          <w:sz w:val="24"/>
        </w:rPr>
      </w:pPr>
      <w:r>
        <w:rPr>
          <w:rFonts w:ascii="Century Gothic" w:hAnsi="Century Gothic"/>
          <w:sz w:val="24"/>
        </w:rPr>
        <w:t>Revisando la MIR junto con la ficha técnica de los indicadores suministrada por la SEIDUR, sólo se tiene información de la meta a alcanzar, la cual para todos los indicadores es del 100%, y la línea base que establecen es “</w:t>
      </w:r>
      <w:r w:rsidRPr="00DE78CC">
        <w:rPr>
          <w:rFonts w:ascii="Century Gothic" w:hAnsi="Century Gothic"/>
          <w:sz w:val="24"/>
        </w:rPr>
        <w:t>0 obra de infraestructura no habitaciona</w:t>
      </w:r>
      <w:r>
        <w:rPr>
          <w:rFonts w:ascii="Century Gothic" w:hAnsi="Century Gothic"/>
          <w:sz w:val="24"/>
        </w:rPr>
        <w:t>l”, pero esto como tal no refleja un avance o una medición para estos indicadores.</w:t>
      </w:r>
    </w:p>
    <w:p w14:paraId="369ED0E1" w14:textId="77777777" w:rsidR="00DE78CC" w:rsidRDefault="00DE78CC" w:rsidP="004F7D24">
      <w:pPr>
        <w:spacing w:after="240"/>
        <w:jc w:val="both"/>
        <w:rPr>
          <w:rFonts w:ascii="Century Gothic" w:hAnsi="Century Gothic"/>
          <w:sz w:val="24"/>
        </w:rPr>
      </w:pPr>
      <w:r>
        <w:rPr>
          <w:rFonts w:ascii="Century Gothic" w:hAnsi="Century Gothic"/>
          <w:sz w:val="24"/>
        </w:rPr>
        <w:t>Ante ello la principal recomendación para que se pueda medir el avance o logro de los objetivos propuestos por medio de los indicadores, primero es reestructurar la MIR según los bienes finales que entrega el programa y segundo establecer indicadores adecuados.</w:t>
      </w:r>
    </w:p>
    <w:p w14:paraId="05C0142B" w14:textId="77777777" w:rsidR="00DE78CC" w:rsidRDefault="00DE78CC" w:rsidP="004F7D24">
      <w:pPr>
        <w:spacing w:after="240"/>
        <w:jc w:val="both"/>
        <w:rPr>
          <w:rFonts w:ascii="Century Gothic" w:hAnsi="Century Gothic"/>
          <w:sz w:val="24"/>
        </w:rPr>
      </w:pPr>
      <w:r>
        <w:rPr>
          <w:rFonts w:ascii="Century Gothic" w:hAnsi="Century Gothic"/>
          <w:sz w:val="24"/>
        </w:rPr>
        <w:t xml:space="preserve">De igual forma </w:t>
      </w:r>
      <w:r w:rsidR="007C1EC7">
        <w:rPr>
          <w:rFonts w:ascii="Century Gothic" w:hAnsi="Century Gothic"/>
          <w:sz w:val="24"/>
        </w:rPr>
        <w:t xml:space="preserve">se debe tener presente </w:t>
      </w:r>
      <w:r w:rsidR="009F02B5">
        <w:rPr>
          <w:rFonts w:ascii="Century Gothic" w:hAnsi="Century Gothic"/>
          <w:sz w:val="24"/>
        </w:rPr>
        <w:t>que al establecer la meta se debe considerar que esta debe s</w:t>
      </w:r>
      <w:r w:rsidR="009F02B5" w:rsidRPr="009F02B5">
        <w:rPr>
          <w:rFonts w:ascii="Century Gothic" w:hAnsi="Century Gothic"/>
          <w:sz w:val="24"/>
        </w:rPr>
        <w:t>er factible de alcanzar y, por lo tanto, ser realista respecto a los plazos y a los recursos humanos y financieros que involucran</w:t>
      </w:r>
      <w:r w:rsidR="009F02B5">
        <w:rPr>
          <w:rFonts w:ascii="Century Gothic" w:hAnsi="Century Gothic"/>
          <w:sz w:val="24"/>
        </w:rPr>
        <w:t>.</w:t>
      </w:r>
    </w:p>
    <w:p w14:paraId="34D27396" w14:textId="77777777" w:rsidR="00C10E6C" w:rsidRDefault="005F7C97" w:rsidP="00D5794C">
      <w:pPr>
        <w:pStyle w:val="Ttulo2"/>
        <w:spacing w:before="0" w:after="240"/>
        <w:ind w:left="284"/>
        <w:rPr>
          <w:rFonts w:ascii="Century Gothic" w:hAnsi="Century Gothic"/>
          <w:color w:val="0E4E7A"/>
          <w:sz w:val="28"/>
        </w:rPr>
      </w:pPr>
      <w:bookmarkStart w:id="61" w:name="_Toc505364443"/>
      <w:bookmarkStart w:id="62" w:name="_Toc511859793"/>
      <w:r>
        <w:rPr>
          <w:rFonts w:ascii="Century Gothic" w:hAnsi="Century Gothic"/>
          <w:color w:val="0E4E7A"/>
          <w:sz w:val="28"/>
        </w:rPr>
        <w:t>2.4</w:t>
      </w:r>
      <w:r w:rsidR="009B116D">
        <w:rPr>
          <w:rFonts w:ascii="Century Gothic" w:hAnsi="Century Gothic"/>
          <w:color w:val="0E4E7A"/>
          <w:sz w:val="28"/>
        </w:rPr>
        <w:t>.6.</w:t>
      </w:r>
      <w:r w:rsidR="009B116D" w:rsidRPr="00745740">
        <w:rPr>
          <w:rFonts w:ascii="Century Gothic" w:hAnsi="Century Gothic"/>
          <w:color w:val="0E4E7A"/>
          <w:sz w:val="28"/>
        </w:rPr>
        <w:t xml:space="preserve"> </w:t>
      </w:r>
      <w:r w:rsidR="009B116D" w:rsidRPr="009B116D">
        <w:rPr>
          <w:rFonts w:ascii="Century Gothic" w:hAnsi="Century Gothic"/>
          <w:color w:val="0E4E7A"/>
          <w:sz w:val="28"/>
        </w:rPr>
        <w:t>Rendición de cuentas y transparencia</w:t>
      </w:r>
      <w:r w:rsidR="009B116D" w:rsidRPr="00745740">
        <w:rPr>
          <w:rFonts w:ascii="Century Gothic" w:hAnsi="Century Gothic"/>
          <w:color w:val="0E4E7A"/>
          <w:sz w:val="28"/>
        </w:rPr>
        <w:t>.</w:t>
      </w:r>
      <w:bookmarkEnd w:id="61"/>
      <w:bookmarkEnd w:id="62"/>
    </w:p>
    <w:p w14:paraId="08A923A7" w14:textId="77777777" w:rsidR="00D5794C" w:rsidRDefault="00D5794C" w:rsidP="00D5794C">
      <w:pPr>
        <w:jc w:val="both"/>
        <w:rPr>
          <w:rFonts w:ascii="Century Gothic" w:hAnsi="Century Gothic"/>
          <w:sz w:val="24"/>
          <w:szCs w:val="24"/>
        </w:rPr>
      </w:pPr>
      <w:bookmarkStart w:id="63" w:name="_Toc505364444"/>
      <w:r w:rsidRPr="005B0DE5">
        <w:rPr>
          <w:rFonts w:ascii="Century Gothic" w:hAnsi="Century Gothic"/>
          <w:sz w:val="24"/>
          <w:szCs w:val="24"/>
        </w:rPr>
        <w:t>La rendición de cuentas consiste en informar y explicar a los ciudadanos las acciones realizadas por el gobierno de manera transparente y clara para dar a conocer sus estructuras y funcionamiento, y por consecuencia, ser sujeto de la opinión pública.</w:t>
      </w:r>
      <w:r>
        <w:rPr>
          <w:rFonts w:ascii="Century Gothic" w:hAnsi="Century Gothic"/>
          <w:sz w:val="24"/>
          <w:szCs w:val="24"/>
        </w:rPr>
        <w:t xml:space="preserve"> </w:t>
      </w:r>
    </w:p>
    <w:p w14:paraId="5BC96F32" w14:textId="77777777" w:rsidR="00D5794C" w:rsidRDefault="00D5794C" w:rsidP="00D5794C">
      <w:pPr>
        <w:spacing w:after="240"/>
        <w:jc w:val="both"/>
        <w:rPr>
          <w:rFonts w:ascii="Century Gothic" w:hAnsi="Century Gothic"/>
          <w:sz w:val="24"/>
          <w:szCs w:val="24"/>
        </w:rPr>
      </w:pPr>
      <w:r>
        <w:rPr>
          <w:rFonts w:ascii="Century Gothic" w:hAnsi="Century Gothic"/>
          <w:sz w:val="24"/>
          <w:szCs w:val="24"/>
        </w:rPr>
        <w:t xml:space="preserve">Ante esto, se verificó </w:t>
      </w:r>
      <w:r w:rsidR="001947EF">
        <w:rPr>
          <w:rFonts w:ascii="Century Gothic" w:hAnsi="Century Gothic"/>
          <w:sz w:val="24"/>
          <w:szCs w:val="24"/>
        </w:rPr>
        <w:t xml:space="preserve">el portal web del estado de Colima </w:t>
      </w:r>
      <w:r w:rsidRPr="00D5794C">
        <w:rPr>
          <w:rFonts w:ascii="Century Gothic" w:hAnsi="Century Gothic"/>
          <w:sz w:val="24"/>
          <w:szCs w:val="24"/>
        </w:rPr>
        <w:t>http://www.colima-estado.gob.mx/transparencia/</w:t>
      </w:r>
      <w:r>
        <w:rPr>
          <w:rFonts w:ascii="Century Gothic" w:hAnsi="Century Gothic"/>
          <w:sz w:val="24"/>
          <w:szCs w:val="24"/>
        </w:rPr>
        <w:t xml:space="preserve">, en la cual se pudo constatar que cuentan con su </w:t>
      </w:r>
      <w:r w:rsidR="001947EF">
        <w:rPr>
          <w:rFonts w:ascii="Century Gothic" w:hAnsi="Century Gothic"/>
          <w:sz w:val="24"/>
          <w:szCs w:val="24"/>
        </w:rPr>
        <w:t>apartado</w:t>
      </w:r>
      <w:r>
        <w:rPr>
          <w:rFonts w:ascii="Century Gothic" w:hAnsi="Century Gothic"/>
          <w:sz w:val="24"/>
          <w:szCs w:val="24"/>
        </w:rPr>
        <w:t xml:space="preserve"> de transparencia. </w:t>
      </w:r>
    </w:p>
    <w:p w14:paraId="59BBAD79" w14:textId="77777777" w:rsidR="008D5E7C" w:rsidRPr="008D5E7C" w:rsidRDefault="008D5E7C" w:rsidP="00D5794C">
      <w:pPr>
        <w:spacing w:after="240"/>
        <w:jc w:val="both"/>
        <w:rPr>
          <w:rFonts w:ascii="Century Gothic" w:hAnsi="Century Gothic"/>
          <w:sz w:val="24"/>
          <w:szCs w:val="24"/>
        </w:rPr>
      </w:pPr>
      <w:r>
        <w:rPr>
          <w:rFonts w:ascii="Century Gothic" w:hAnsi="Century Gothic"/>
          <w:sz w:val="24"/>
          <w:szCs w:val="24"/>
        </w:rPr>
        <w:t xml:space="preserve">Esto dando cumplimiento al </w:t>
      </w:r>
      <w:r w:rsidRPr="008D5E7C">
        <w:rPr>
          <w:rFonts w:ascii="Century Gothic" w:hAnsi="Century Gothic"/>
          <w:sz w:val="24"/>
          <w:szCs w:val="24"/>
        </w:rPr>
        <w:t xml:space="preserve">Artículo 29 </w:t>
      </w:r>
      <w:r>
        <w:rPr>
          <w:rFonts w:ascii="Century Gothic" w:hAnsi="Century Gothic"/>
          <w:sz w:val="24"/>
          <w:szCs w:val="24"/>
        </w:rPr>
        <w:t xml:space="preserve">de la </w:t>
      </w:r>
      <w:r w:rsidRPr="00A701C8">
        <w:rPr>
          <w:rFonts w:ascii="Century Gothic" w:hAnsi="Century Gothic"/>
          <w:b/>
          <w:sz w:val="24"/>
          <w:szCs w:val="24"/>
        </w:rPr>
        <w:t>Ley de Transparencia y Acceso a la Información Pública del Estado de</w:t>
      </w:r>
      <w:r>
        <w:rPr>
          <w:rFonts w:ascii="Century Gothic" w:hAnsi="Century Gothic"/>
          <w:b/>
          <w:sz w:val="24"/>
          <w:szCs w:val="24"/>
        </w:rPr>
        <w:t xml:space="preserve"> Colima</w:t>
      </w:r>
      <w:r>
        <w:rPr>
          <w:rFonts w:ascii="Century Gothic" w:hAnsi="Century Gothic"/>
          <w:sz w:val="24"/>
          <w:szCs w:val="24"/>
        </w:rPr>
        <w:t>, el cual establece:</w:t>
      </w:r>
    </w:p>
    <w:p w14:paraId="0FFAF2C5" w14:textId="77777777" w:rsidR="001947EF" w:rsidRDefault="008D5E7C" w:rsidP="005C5CB9">
      <w:pPr>
        <w:spacing w:after="240"/>
        <w:ind w:left="284" w:right="333"/>
        <w:jc w:val="both"/>
        <w:rPr>
          <w:rFonts w:ascii="Century Gothic" w:hAnsi="Century Gothic"/>
          <w:sz w:val="24"/>
          <w:szCs w:val="24"/>
        </w:rPr>
      </w:pPr>
      <w:r w:rsidRPr="005C5CB9">
        <w:rPr>
          <w:rFonts w:ascii="Century Gothic" w:hAnsi="Century Gothic"/>
          <w:sz w:val="24"/>
          <w:szCs w:val="24"/>
        </w:rPr>
        <w:t xml:space="preserve">Conforme lo dispone la Ley General, los sujetos obligados a que se refiere la presente Ley deberán </w:t>
      </w:r>
      <w:r w:rsidRPr="005C5CB9">
        <w:rPr>
          <w:rFonts w:ascii="Century Gothic" w:hAnsi="Century Gothic"/>
          <w:b/>
          <w:sz w:val="24"/>
          <w:szCs w:val="24"/>
        </w:rPr>
        <w:t>poner a disposición del público, difundir y actualizar</w:t>
      </w:r>
      <w:r w:rsidRPr="005C5CB9">
        <w:rPr>
          <w:rFonts w:ascii="Century Gothic" w:hAnsi="Century Gothic"/>
          <w:sz w:val="24"/>
          <w:szCs w:val="24"/>
        </w:rPr>
        <w:t xml:space="preserve">, en forma permanente y </w:t>
      </w:r>
      <w:r w:rsidRPr="005C5CB9">
        <w:rPr>
          <w:rFonts w:ascii="Century Gothic" w:hAnsi="Century Gothic"/>
          <w:b/>
          <w:sz w:val="24"/>
          <w:szCs w:val="24"/>
        </w:rPr>
        <w:t>por Internet</w:t>
      </w:r>
      <w:r w:rsidR="002D6032">
        <w:rPr>
          <w:rFonts w:ascii="Century Gothic" w:hAnsi="Century Gothic"/>
          <w:sz w:val="24"/>
          <w:szCs w:val="24"/>
        </w:rPr>
        <w:t>, la información.</w:t>
      </w:r>
    </w:p>
    <w:p w14:paraId="2940340D" w14:textId="77777777" w:rsidR="005C5CB9" w:rsidRDefault="005C5CB9" w:rsidP="00D5794C">
      <w:pPr>
        <w:spacing w:after="240"/>
        <w:jc w:val="both"/>
        <w:rPr>
          <w:rFonts w:ascii="Century Gothic" w:hAnsi="Century Gothic"/>
          <w:sz w:val="24"/>
          <w:szCs w:val="24"/>
        </w:rPr>
      </w:pPr>
      <w:r>
        <w:rPr>
          <w:rFonts w:ascii="Century Gothic" w:hAnsi="Century Gothic"/>
          <w:sz w:val="24"/>
          <w:szCs w:val="24"/>
        </w:rPr>
        <w:lastRenderedPageBreak/>
        <w:t>Así, se constató que dicho portal cuenta con información referente al marco legal, estructura orgánica, directorio de los servidores públicos, informes de gobierno, adjudicaciones, entre otra información.</w:t>
      </w:r>
    </w:p>
    <w:p w14:paraId="1F19B150" w14:textId="77777777" w:rsidR="001947EF" w:rsidRDefault="005C5CB9" w:rsidP="00D5794C">
      <w:pPr>
        <w:spacing w:after="240"/>
        <w:jc w:val="both"/>
        <w:rPr>
          <w:rFonts w:ascii="Century Gothic" w:hAnsi="Century Gothic"/>
          <w:sz w:val="24"/>
          <w:szCs w:val="24"/>
        </w:rPr>
      </w:pPr>
      <w:r>
        <w:rPr>
          <w:rFonts w:ascii="Century Gothic" w:hAnsi="Century Gothic"/>
          <w:sz w:val="24"/>
          <w:szCs w:val="24"/>
        </w:rPr>
        <w:t xml:space="preserve"> De igual forma se constató que </w:t>
      </w:r>
      <w:r w:rsidR="001947EF">
        <w:rPr>
          <w:rFonts w:ascii="Century Gothic" w:hAnsi="Century Gothic"/>
          <w:sz w:val="24"/>
          <w:szCs w:val="24"/>
        </w:rPr>
        <w:t xml:space="preserve">se encuentran </w:t>
      </w:r>
      <w:r>
        <w:rPr>
          <w:rFonts w:ascii="Century Gothic" w:hAnsi="Century Gothic"/>
          <w:sz w:val="24"/>
          <w:szCs w:val="24"/>
        </w:rPr>
        <w:t xml:space="preserve">publicados </w:t>
      </w:r>
      <w:r w:rsidR="001947EF">
        <w:rPr>
          <w:rFonts w:ascii="Century Gothic" w:hAnsi="Century Gothic"/>
          <w:sz w:val="24"/>
          <w:szCs w:val="24"/>
        </w:rPr>
        <w:t>los datos de  “contacto” a través del cual brindan atención a la ciudadanía, identificando un número telefónico y horarios de atención</w:t>
      </w:r>
      <w:r w:rsidR="001947EF">
        <w:rPr>
          <w:rStyle w:val="Refdenotaalpie"/>
          <w:rFonts w:ascii="Century Gothic" w:hAnsi="Century Gothic"/>
          <w:sz w:val="24"/>
          <w:szCs w:val="24"/>
        </w:rPr>
        <w:footnoteReference w:id="24"/>
      </w:r>
      <w:r w:rsidR="001947EF">
        <w:rPr>
          <w:rFonts w:ascii="Century Gothic" w:hAnsi="Century Gothic"/>
          <w:sz w:val="24"/>
          <w:szCs w:val="24"/>
        </w:rPr>
        <w:t>.</w:t>
      </w:r>
    </w:p>
    <w:p w14:paraId="37B414B1" w14:textId="77777777" w:rsidR="008D5E7C" w:rsidRDefault="005C5CB9" w:rsidP="00D5794C">
      <w:pPr>
        <w:spacing w:after="240"/>
        <w:jc w:val="both"/>
        <w:rPr>
          <w:rFonts w:ascii="Century Gothic" w:hAnsi="Century Gothic"/>
          <w:sz w:val="24"/>
          <w:szCs w:val="24"/>
        </w:rPr>
      </w:pPr>
      <w:r>
        <w:rPr>
          <w:rFonts w:ascii="Century Gothic" w:hAnsi="Century Gothic"/>
          <w:sz w:val="24"/>
          <w:szCs w:val="24"/>
        </w:rPr>
        <w:t xml:space="preserve">Sin embargo, no se encontró evidencia de que se haga público los </w:t>
      </w:r>
      <w:r w:rsidRPr="005C5CB9">
        <w:rPr>
          <w:rFonts w:ascii="Century Gothic" w:hAnsi="Century Gothic"/>
          <w:sz w:val="24"/>
          <w:szCs w:val="24"/>
        </w:rPr>
        <w:t>principales</w:t>
      </w:r>
      <w:r>
        <w:rPr>
          <w:rFonts w:ascii="Century Gothic" w:hAnsi="Century Gothic"/>
          <w:sz w:val="24"/>
          <w:szCs w:val="24"/>
        </w:rPr>
        <w:t xml:space="preserve"> </w:t>
      </w:r>
      <w:r w:rsidRPr="005C5CB9">
        <w:rPr>
          <w:rFonts w:ascii="Century Gothic" w:hAnsi="Century Gothic"/>
          <w:sz w:val="24"/>
          <w:szCs w:val="24"/>
        </w:rPr>
        <w:t>resultados del programa, así como la información para monitorear su desempeño</w:t>
      </w:r>
      <w:r>
        <w:rPr>
          <w:rFonts w:ascii="Century Gothic" w:hAnsi="Century Gothic"/>
          <w:sz w:val="24"/>
          <w:szCs w:val="24"/>
        </w:rPr>
        <w:t>.</w:t>
      </w:r>
    </w:p>
    <w:p w14:paraId="128AA0D9" w14:textId="77777777" w:rsidR="005C5CB9" w:rsidRDefault="008D5E7C" w:rsidP="00D5794C">
      <w:pPr>
        <w:spacing w:after="240"/>
        <w:jc w:val="both"/>
        <w:rPr>
          <w:rFonts w:ascii="Century Gothic" w:hAnsi="Century Gothic"/>
          <w:b/>
          <w:sz w:val="24"/>
          <w:szCs w:val="24"/>
        </w:rPr>
      </w:pPr>
      <w:r>
        <w:rPr>
          <w:rFonts w:ascii="Century Gothic" w:hAnsi="Century Gothic"/>
          <w:sz w:val="24"/>
          <w:szCs w:val="24"/>
        </w:rPr>
        <w:t xml:space="preserve">Es importante que la </w:t>
      </w:r>
      <w:r w:rsidR="005C5CB9">
        <w:rPr>
          <w:rFonts w:ascii="Century Gothic" w:hAnsi="Century Gothic"/>
          <w:sz w:val="24"/>
          <w:szCs w:val="24"/>
        </w:rPr>
        <w:t>SEIDUR</w:t>
      </w:r>
      <w:r>
        <w:rPr>
          <w:rFonts w:ascii="Century Gothic" w:hAnsi="Century Gothic"/>
          <w:sz w:val="24"/>
          <w:szCs w:val="24"/>
        </w:rPr>
        <w:t xml:space="preserve">, desarrolle un mecanismo para cumplir con lo estipulado en </w:t>
      </w:r>
      <w:r w:rsidRPr="00A701C8">
        <w:rPr>
          <w:rFonts w:ascii="Century Gothic" w:hAnsi="Century Gothic"/>
          <w:sz w:val="24"/>
          <w:szCs w:val="24"/>
        </w:rPr>
        <w:t xml:space="preserve">la </w:t>
      </w:r>
      <w:r w:rsidRPr="005C5CB9">
        <w:rPr>
          <w:rFonts w:ascii="Century Gothic" w:hAnsi="Century Gothic"/>
          <w:sz w:val="24"/>
          <w:szCs w:val="24"/>
        </w:rPr>
        <w:t xml:space="preserve">Ley de Transparencia y Acceso a la Información Pública del Estado de </w:t>
      </w:r>
      <w:r w:rsidR="005C5CB9" w:rsidRPr="005C5CB9">
        <w:rPr>
          <w:rFonts w:ascii="Century Gothic" w:hAnsi="Century Gothic"/>
          <w:sz w:val="24"/>
          <w:szCs w:val="24"/>
        </w:rPr>
        <w:t>Colima</w:t>
      </w:r>
      <w:r w:rsidR="005C5CB9">
        <w:rPr>
          <w:rFonts w:ascii="Century Gothic" w:hAnsi="Century Gothic"/>
          <w:b/>
          <w:sz w:val="24"/>
          <w:szCs w:val="24"/>
        </w:rPr>
        <w:t xml:space="preserve">, en particular </w:t>
      </w:r>
      <w:r w:rsidR="00095082">
        <w:rPr>
          <w:rFonts w:ascii="Century Gothic" w:hAnsi="Century Gothic"/>
          <w:b/>
          <w:sz w:val="24"/>
          <w:szCs w:val="24"/>
        </w:rPr>
        <w:t>a lo referente a los programas:</w:t>
      </w:r>
    </w:p>
    <w:p w14:paraId="6B495070" w14:textId="77777777" w:rsidR="00095082" w:rsidRPr="00095082" w:rsidRDefault="00095082" w:rsidP="00095082">
      <w:pPr>
        <w:autoSpaceDE w:val="0"/>
        <w:autoSpaceDN w:val="0"/>
        <w:adjustRightInd w:val="0"/>
        <w:spacing w:after="240"/>
        <w:ind w:left="284" w:right="333"/>
        <w:jc w:val="both"/>
        <w:rPr>
          <w:rFonts w:ascii="Century Gothic" w:hAnsi="Century Gothic"/>
          <w:sz w:val="24"/>
          <w:szCs w:val="24"/>
        </w:rPr>
      </w:pPr>
      <w:r w:rsidRPr="00095082">
        <w:rPr>
          <w:rFonts w:ascii="Century Gothic" w:hAnsi="Century Gothic"/>
          <w:sz w:val="24"/>
          <w:szCs w:val="24"/>
        </w:rPr>
        <w:t>XV. La información de los programas de subsidios, estímulos y apoyos, en el que se deberá informar respecto de</w:t>
      </w:r>
      <w:r>
        <w:rPr>
          <w:rFonts w:ascii="Century Gothic" w:hAnsi="Century Gothic"/>
          <w:sz w:val="24"/>
          <w:szCs w:val="24"/>
        </w:rPr>
        <w:t xml:space="preserve"> </w:t>
      </w:r>
      <w:r w:rsidRPr="00095082">
        <w:rPr>
          <w:rFonts w:ascii="Century Gothic" w:hAnsi="Century Gothic"/>
          <w:sz w:val="24"/>
          <w:szCs w:val="24"/>
        </w:rPr>
        <w:t xml:space="preserve">los programas de transferencia, de servicios, de infraestructura social y de subsidio, en los que se </w:t>
      </w:r>
      <w:r w:rsidRPr="003C62FC">
        <w:rPr>
          <w:rFonts w:ascii="Century Gothic" w:hAnsi="Century Gothic"/>
          <w:b/>
          <w:sz w:val="24"/>
          <w:szCs w:val="24"/>
        </w:rPr>
        <w:t>deberá contener lo siguiente</w:t>
      </w:r>
      <w:r w:rsidRPr="00095082">
        <w:rPr>
          <w:rFonts w:ascii="Century Gothic" w:hAnsi="Century Gothic"/>
          <w:sz w:val="24"/>
          <w:szCs w:val="24"/>
        </w:rPr>
        <w:t>:</w:t>
      </w:r>
    </w:p>
    <w:p w14:paraId="769FCDF3" w14:textId="77777777" w:rsidR="00095082" w:rsidRPr="00095082" w:rsidRDefault="00095082" w:rsidP="00095082">
      <w:pPr>
        <w:autoSpaceDE w:val="0"/>
        <w:autoSpaceDN w:val="0"/>
        <w:adjustRightInd w:val="0"/>
        <w:spacing w:after="120"/>
        <w:ind w:left="284" w:right="335"/>
        <w:jc w:val="both"/>
        <w:rPr>
          <w:rFonts w:ascii="Century Gothic" w:hAnsi="Century Gothic"/>
          <w:sz w:val="24"/>
          <w:szCs w:val="24"/>
        </w:rPr>
      </w:pPr>
      <w:r w:rsidRPr="00095082">
        <w:rPr>
          <w:rFonts w:ascii="Century Gothic" w:hAnsi="Century Gothic"/>
          <w:sz w:val="24"/>
          <w:szCs w:val="24"/>
        </w:rPr>
        <w:t>a) Área;</w:t>
      </w:r>
    </w:p>
    <w:p w14:paraId="6BACC774" w14:textId="77777777" w:rsidR="00095082" w:rsidRPr="00095082" w:rsidRDefault="00095082" w:rsidP="00095082">
      <w:pPr>
        <w:autoSpaceDE w:val="0"/>
        <w:autoSpaceDN w:val="0"/>
        <w:adjustRightInd w:val="0"/>
        <w:spacing w:after="120"/>
        <w:ind w:left="284" w:right="335"/>
        <w:jc w:val="both"/>
        <w:rPr>
          <w:rFonts w:ascii="Century Gothic" w:hAnsi="Century Gothic"/>
          <w:sz w:val="24"/>
          <w:szCs w:val="24"/>
        </w:rPr>
      </w:pPr>
      <w:r w:rsidRPr="00095082">
        <w:rPr>
          <w:rFonts w:ascii="Century Gothic" w:hAnsi="Century Gothic"/>
          <w:sz w:val="24"/>
          <w:szCs w:val="24"/>
        </w:rPr>
        <w:t>b) Denominación del programa;</w:t>
      </w:r>
    </w:p>
    <w:p w14:paraId="5E6CA7CC" w14:textId="77777777" w:rsidR="00095082" w:rsidRPr="00095082" w:rsidRDefault="00095082" w:rsidP="00095082">
      <w:pPr>
        <w:autoSpaceDE w:val="0"/>
        <w:autoSpaceDN w:val="0"/>
        <w:adjustRightInd w:val="0"/>
        <w:spacing w:after="120"/>
        <w:ind w:left="284" w:right="335"/>
        <w:jc w:val="both"/>
        <w:rPr>
          <w:rFonts w:ascii="Century Gothic" w:hAnsi="Century Gothic"/>
          <w:sz w:val="24"/>
          <w:szCs w:val="24"/>
        </w:rPr>
      </w:pPr>
      <w:r w:rsidRPr="00095082">
        <w:rPr>
          <w:rFonts w:ascii="Century Gothic" w:hAnsi="Century Gothic"/>
          <w:sz w:val="24"/>
          <w:szCs w:val="24"/>
        </w:rPr>
        <w:t>c) Período de vigencia;</w:t>
      </w:r>
    </w:p>
    <w:p w14:paraId="096E244A" w14:textId="77777777" w:rsidR="00095082" w:rsidRPr="00095082" w:rsidRDefault="00095082" w:rsidP="00095082">
      <w:pPr>
        <w:autoSpaceDE w:val="0"/>
        <w:autoSpaceDN w:val="0"/>
        <w:adjustRightInd w:val="0"/>
        <w:spacing w:after="120"/>
        <w:ind w:left="284" w:right="335"/>
        <w:jc w:val="both"/>
        <w:rPr>
          <w:rFonts w:ascii="Century Gothic" w:hAnsi="Century Gothic"/>
          <w:sz w:val="24"/>
          <w:szCs w:val="24"/>
        </w:rPr>
      </w:pPr>
      <w:r w:rsidRPr="00095082">
        <w:rPr>
          <w:rFonts w:ascii="Century Gothic" w:hAnsi="Century Gothic"/>
          <w:sz w:val="24"/>
          <w:szCs w:val="24"/>
        </w:rPr>
        <w:t>d) Diseño, objetivos y alcances;</w:t>
      </w:r>
    </w:p>
    <w:p w14:paraId="6172E2ED" w14:textId="77777777" w:rsidR="00095082" w:rsidRPr="00095082" w:rsidRDefault="00095082" w:rsidP="00095082">
      <w:pPr>
        <w:autoSpaceDE w:val="0"/>
        <w:autoSpaceDN w:val="0"/>
        <w:adjustRightInd w:val="0"/>
        <w:spacing w:after="120"/>
        <w:ind w:left="284" w:right="335"/>
        <w:jc w:val="both"/>
        <w:rPr>
          <w:rFonts w:ascii="Century Gothic" w:hAnsi="Century Gothic"/>
          <w:sz w:val="24"/>
          <w:szCs w:val="24"/>
        </w:rPr>
      </w:pPr>
      <w:r w:rsidRPr="00095082">
        <w:rPr>
          <w:rFonts w:ascii="Century Gothic" w:hAnsi="Century Gothic"/>
          <w:sz w:val="24"/>
          <w:szCs w:val="24"/>
        </w:rPr>
        <w:t>e) Metas físicas;</w:t>
      </w:r>
    </w:p>
    <w:p w14:paraId="0F789935" w14:textId="77777777" w:rsidR="00095082" w:rsidRPr="00095082" w:rsidRDefault="00095082" w:rsidP="00095082">
      <w:pPr>
        <w:autoSpaceDE w:val="0"/>
        <w:autoSpaceDN w:val="0"/>
        <w:adjustRightInd w:val="0"/>
        <w:spacing w:after="120"/>
        <w:ind w:left="284" w:right="335"/>
        <w:jc w:val="both"/>
        <w:rPr>
          <w:rFonts w:ascii="Century Gothic" w:hAnsi="Century Gothic"/>
          <w:sz w:val="24"/>
          <w:szCs w:val="24"/>
        </w:rPr>
      </w:pPr>
      <w:r w:rsidRPr="00095082">
        <w:rPr>
          <w:rFonts w:ascii="Century Gothic" w:hAnsi="Century Gothic"/>
          <w:sz w:val="24"/>
          <w:szCs w:val="24"/>
        </w:rPr>
        <w:t>f) Población beneficiada estimada;</w:t>
      </w:r>
    </w:p>
    <w:p w14:paraId="209A4A71" w14:textId="77777777" w:rsidR="00095082" w:rsidRPr="00095082" w:rsidRDefault="00095082" w:rsidP="00095082">
      <w:pPr>
        <w:autoSpaceDE w:val="0"/>
        <w:autoSpaceDN w:val="0"/>
        <w:adjustRightInd w:val="0"/>
        <w:spacing w:after="120"/>
        <w:ind w:left="284" w:right="335"/>
        <w:jc w:val="both"/>
        <w:rPr>
          <w:rFonts w:ascii="Century Gothic" w:hAnsi="Century Gothic"/>
          <w:sz w:val="24"/>
          <w:szCs w:val="24"/>
        </w:rPr>
      </w:pPr>
      <w:r w:rsidRPr="00095082">
        <w:rPr>
          <w:rFonts w:ascii="Century Gothic" w:hAnsi="Century Gothic"/>
          <w:sz w:val="24"/>
          <w:szCs w:val="24"/>
        </w:rPr>
        <w:t>g) Monto aprobado, modificado y ejercido, así como los calendarios de su programación presupuestal;</w:t>
      </w:r>
    </w:p>
    <w:p w14:paraId="5A268FC4" w14:textId="77777777" w:rsidR="00095082" w:rsidRPr="00095082" w:rsidRDefault="00095082" w:rsidP="00095082">
      <w:pPr>
        <w:autoSpaceDE w:val="0"/>
        <w:autoSpaceDN w:val="0"/>
        <w:adjustRightInd w:val="0"/>
        <w:spacing w:after="120"/>
        <w:ind w:left="284" w:right="335"/>
        <w:jc w:val="both"/>
        <w:rPr>
          <w:rFonts w:ascii="Century Gothic" w:hAnsi="Century Gothic"/>
          <w:sz w:val="24"/>
          <w:szCs w:val="24"/>
        </w:rPr>
      </w:pPr>
      <w:r w:rsidRPr="00095082">
        <w:rPr>
          <w:rFonts w:ascii="Century Gothic" w:hAnsi="Century Gothic"/>
          <w:sz w:val="24"/>
          <w:szCs w:val="24"/>
        </w:rPr>
        <w:t>h) Requisitos y procedimientos de acceso;</w:t>
      </w:r>
    </w:p>
    <w:p w14:paraId="14662D52" w14:textId="77777777" w:rsidR="00095082" w:rsidRPr="00095082" w:rsidRDefault="00095082" w:rsidP="00095082">
      <w:pPr>
        <w:autoSpaceDE w:val="0"/>
        <w:autoSpaceDN w:val="0"/>
        <w:adjustRightInd w:val="0"/>
        <w:spacing w:after="120"/>
        <w:ind w:left="284" w:right="335"/>
        <w:jc w:val="both"/>
        <w:rPr>
          <w:rFonts w:ascii="Century Gothic" w:hAnsi="Century Gothic"/>
          <w:sz w:val="24"/>
          <w:szCs w:val="24"/>
        </w:rPr>
      </w:pPr>
      <w:r w:rsidRPr="00095082">
        <w:rPr>
          <w:rFonts w:ascii="Century Gothic" w:hAnsi="Century Gothic"/>
          <w:sz w:val="24"/>
          <w:szCs w:val="24"/>
        </w:rPr>
        <w:t>i) Procedimiento de queja o inconformidad ciudadana;</w:t>
      </w:r>
    </w:p>
    <w:p w14:paraId="2EE55179" w14:textId="77777777" w:rsidR="00095082" w:rsidRPr="00095082" w:rsidRDefault="00095082" w:rsidP="00095082">
      <w:pPr>
        <w:autoSpaceDE w:val="0"/>
        <w:autoSpaceDN w:val="0"/>
        <w:adjustRightInd w:val="0"/>
        <w:spacing w:after="120"/>
        <w:ind w:left="284" w:right="335"/>
        <w:jc w:val="both"/>
        <w:rPr>
          <w:rFonts w:ascii="Century Gothic" w:hAnsi="Century Gothic"/>
          <w:sz w:val="24"/>
          <w:szCs w:val="24"/>
        </w:rPr>
      </w:pPr>
      <w:r w:rsidRPr="00095082">
        <w:rPr>
          <w:rFonts w:ascii="Century Gothic" w:hAnsi="Century Gothic"/>
          <w:sz w:val="24"/>
          <w:szCs w:val="24"/>
        </w:rPr>
        <w:t>j) Mecanismos de exigibilidad;</w:t>
      </w:r>
    </w:p>
    <w:p w14:paraId="2E7348A7" w14:textId="77777777" w:rsidR="00095082" w:rsidRPr="00095082" w:rsidRDefault="00193B10" w:rsidP="00095082">
      <w:pPr>
        <w:autoSpaceDE w:val="0"/>
        <w:autoSpaceDN w:val="0"/>
        <w:adjustRightInd w:val="0"/>
        <w:spacing w:after="120"/>
        <w:ind w:left="284" w:right="335"/>
        <w:jc w:val="both"/>
        <w:rPr>
          <w:rFonts w:ascii="Century Gothic" w:hAnsi="Century Gothic"/>
          <w:sz w:val="24"/>
          <w:szCs w:val="24"/>
        </w:rPr>
      </w:pPr>
      <w:r>
        <w:rPr>
          <w:rFonts w:ascii="Century Gothic" w:hAnsi="Century Gothic"/>
          <w:sz w:val="24"/>
          <w:szCs w:val="24"/>
        </w:rPr>
        <w:t>k</w:t>
      </w:r>
      <w:r w:rsidR="00095082" w:rsidRPr="00095082">
        <w:rPr>
          <w:rFonts w:ascii="Century Gothic" w:hAnsi="Century Gothic"/>
          <w:sz w:val="24"/>
          <w:szCs w:val="24"/>
        </w:rPr>
        <w:t>) Mecanismos de evaluación, informes de evaluación y seguimiento de recomendaciones;</w:t>
      </w:r>
    </w:p>
    <w:p w14:paraId="17B70344" w14:textId="77777777" w:rsidR="00095082" w:rsidRPr="00095082" w:rsidRDefault="00095082" w:rsidP="00095082">
      <w:pPr>
        <w:autoSpaceDE w:val="0"/>
        <w:autoSpaceDN w:val="0"/>
        <w:adjustRightInd w:val="0"/>
        <w:spacing w:after="120"/>
        <w:ind w:left="284" w:right="335"/>
        <w:jc w:val="both"/>
        <w:rPr>
          <w:rFonts w:ascii="Century Gothic" w:hAnsi="Century Gothic"/>
          <w:sz w:val="24"/>
          <w:szCs w:val="24"/>
        </w:rPr>
      </w:pPr>
      <w:r w:rsidRPr="00095082">
        <w:rPr>
          <w:rFonts w:ascii="Century Gothic" w:hAnsi="Century Gothic"/>
          <w:sz w:val="24"/>
          <w:szCs w:val="24"/>
        </w:rPr>
        <w:lastRenderedPageBreak/>
        <w:t>l) Indicadores con nombre, definición, método de cálculo, unidad de medida, dimensión, frecuencia de</w:t>
      </w:r>
      <w:r w:rsidR="003C62FC">
        <w:rPr>
          <w:rFonts w:ascii="Century Gothic" w:hAnsi="Century Gothic"/>
          <w:sz w:val="24"/>
          <w:szCs w:val="24"/>
        </w:rPr>
        <w:t xml:space="preserve"> </w:t>
      </w:r>
      <w:r w:rsidRPr="00095082">
        <w:rPr>
          <w:rFonts w:ascii="Century Gothic" w:hAnsi="Century Gothic"/>
          <w:sz w:val="24"/>
          <w:szCs w:val="24"/>
        </w:rPr>
        <w:t>medición, nombre de las bases de datos utilizadas para su cálculo;</w:t>
      </w:r>
    </w:p>
    <w:p w14:paraId="6304FDF3" w14:textId="77777777" w:rsidR="00095082" w:rsidRPr="00095082" w:rsidRDefault="00095082" w:rsidP="00095082">
      <w:pPr>
        <w:autoSpaceDE w:val="0"/>
        <w:autoSpaceDN w:val="0"/>
        <w:adjustRightInd w:val="0"/>
        <w:spacing w:after="120"/>
        <w:ind w:left="284" w:right="335"/>
        <w:jc w:val="both"/>
        <w:rPr>
          <w:rFonts w:ascii="Century Gothic" w:hAnsi="Century Gothic"/>
          <w:sz w:val="24"/>
          <w:szCs w:val="24"/>
        </w:rPr>
      </w:pPr>
      <w:r w:rsidRPr="00095082">
        <w:rPr>
          <w:rFonts w:ascii="Century Gothic" w:hAnsi="Century Gothic"/>
          <w:sz w:val="24"/>
          <w:szCs w:val="24"/>
        </w:rPr>
        <w:t>m) Formas de participación social;</w:t>
      </w:r>
    </w:p>
    <w:p w14:paraId="518F4099" w14:textId="77777777" w:rsidR="00095082" w:rsidRPr="00095082" w:rsidRDefault="00095082" w:rsidP="00095082">
      <w:pPr>
        <w:autoSpaceDE w:val="0"/>
        <w:autoSpaceDN w:val="0"/>
        <w:adjustRightInd w:val="0"/>
        <w:spacing w:after="120"/>
        <w:ind w:left="284" w:right="335"/>
        <w:jc w:val="both"/>
        <w:rPr>
          <w:rFonts w:ascii="Century Gothic" w:hAnsi="Century Gothic"/>
          <w:sz w:val="24"/>
          <w:szCs w:val="24"/>
        </w:rPr>
      </w:pPr>
      <w:r w:rsidRPr="00095082">
        <w:rPr>
          <w:rFonts w:ascii="Century Gothic" w:hAnsi="Century Gothic"/>
          <w:sz w:val="24"/>
          <w:szCs w:val="24"/>
        </w:rPr>
        <w:t>n) Articulación con otros programas sociales;</w:t>
      </w:r>
    </w:p>
    <w:p w14:paraId="7FAE07F1" w14:textId="77777777" w:rsidR="00095082" w:rsidRPr="00095082" w:rsidRDefault="00095082" w:rsidP="00095082">
      <w:pPr>
        <w:autoSpaceDE w:val="0"/>
        <w:autoSpaceDN w:val="0"/>
        <w:adjustRightInd w:val="0"/>
        <w:spacing w:after="120"/>
        <w:ind w:left="284" w:right="335"/>
        <w:jc w:val="both"/>
        <w:rPr>
          <w:rFonts w:ascii="Century Gothic" w:hAnsi="Century Gothic"/>
          <w:sz w:val="24"/>
          <w:szCs w:val="24"/>
        </w:rPr>
      </w:pPr>
      <w:r w:rsidRPr="00095082">
        <w:rPr>
          <w:rFonts w:ascii="Century Gothic" w:hAnsi="Century Gothic"/>
          <w:sz w:val="24"/>
          <w:szCs w:val="24"/>
        </w:rPr>
        <w:t>o) Vínculo a las reglas de operación o documento equivalente;</w:t>
      </w:r>
    </w:p>
    <w:p w14:paraId="5273AB00" w14:textId="77777777" w:rsidR="00095082" w:rsidRPr="00095082" w:rsidRDefault="00095082" w:rsidP="00095082">
      <w:pPr>
        <w:autoSpaceDE w:val="0"/>
        <w:autoSpaceDN w:val="0"/>
        <w:adjustRightInd w:val="0"/>
        <w:spacing w:after="120"/>
        <w:ind w:left="284" w:right="335"/>
        <w:jc w:val="both"/>
        <w:rPr>
          <w:rFonts w:ascii="Century Gothic" w:hAnsi="Century Gothic"/>
          <w:sz w:val="24"/>
          <w:szCs w:val="24"/>
        </w:rPr>
      </w:pPr>
      <w:r w:rsidRPr="00095082">
        <w:rPr>
          <w:rFonts w:ascii="Century Gothic" w:hAnsi="Century Gothic"/>
          <w:sz w:val="24"/>
          <w:szCs w:val="24"/>
        </w:rPr>
        <w:t>p) Informes periódicos sobre la ejecución y los resultados de las evaluaciones realizadas; y</w:t>
      </w:r>
    </w:p>
    <w:p w14:paraId="3A7401FB" w14:textId="77777777" w:rsidR="00095082" w:rsidRPr="00095082" w:rsidRDefault="00095082" w:rsidP="00095082">
      <w:pPr>
        <w:autoSpaceDE w:val="0"/>
        <w:autoSpaceDN w:val="0"/>
        <w:adjustRightInd w:val="0"/>
        <w:spacing w:after="240"/>
        <w:ind w:left="284" w:right="333"/>
        <w:jc w:val="both"/>
        <w:rPr>
          <w:rFonts w:ascii="Century Gothic" w:hAnsi="Century Gothic"/>
          <w:sz w:val="24"/>
          <w:szCs w:val="24"/>
        </w:rPr>
      </w:pPr>
      <w:r w:rsidRPr="00095082">
        <w:rPr>
          <w:rFonts w:ascii="Century Gothic" w:hAnsi="Century Gothic"/>
          <w:sz w:val="24"/>
          <w:szCs w:val="24"/>
        </w:rPr>
        <w:t>q) Padrón de beneficiarios, mismo que deberá contener los siguientes datos: nombre de la persona física o</w:t>
      </w:r>
      <w:r>
        <w:rPr>
          <w:rFonts w:ascii="Century Gothic" w:hAnsi="Century Gothic"/>
          <w:sz w:val="24"/>
          <w:szCs w:val="24"/>
        </w:rPr>
        <w:t xml:space="preserve"> </w:t>
      </w:r>
      <w:r w:rsidRPr="00095082">
        <w:rPr>
          <w:rFonts w:ascii="Century Gothic" w:hAnsi="Century Gothic"/>
          <w:sz w:val="24"/>
          <w:szCs w:val="24"/>
        </w:rPr>
        <w:t>denominación social de las personas morales beneficiarias, el monto, recurso, beneficio o apoyo otorgado</w:t>
      </w:r>
      <w:r>
        <w:rPr>
          <w:rFonts w:ascii="Century Gothic" w:hAnsi="Century Gothic"/>
          <w:sz w:val="24"/>
          <w:szCs w:val="24"/>
        </w:rPr>
        <w:t xml:space="preserve"> </w:t>
      </w:r>
      <w:r w:rsidRPr="00095082">
        <w:rPr>
          <w:rFonts w:ascii="Century Gothic" w:hAnsi="Century Gothic"/>
          <w:sz w:val="24"/>
          <w:szCs w:val="24"/>
        </w:rPr>
        <w:t>para cada una de ellas, unidad territorial en su caso, edad y sexo</w:t>
      </w:r>
      <w:r w:rsidR="003C62FC">
        <w:rPr>
          <w:rFonts w:ascii="Century Gothic" w:hAnsi="Century Gothic"/>
          <w:sz w:val="24"/>
          <w:szCs w:val="24"/>
        </w:rPr>
        <w:t xml:space="preserve"> (</w:t>
      </w:r>
      <w:r w:rsidR="003C62FC" w:rsidRPr="005C5CB9">
        <w:rPr>
          <w:rFonts w:ascii="Century Gothic" w:hAnsi="Century Gothic"/>
          <w:sz w:val="24"/>
          <w:szCs w:val="24"/>
        </w:rPr>
        <w:t>Ley de Transparencia y Acceso a la Información Pública del Estado de Colima</w:t>
      </w:r>
      <w:r w:rsidR="003C62FC">
        <w:rPr>
          <w:rFonts w:ascii="Century Gothic" w:hAnsi="Century Gothic"/>
          <w:sz w:val="24"/>
          <w:szCs w:val="24"/>
        </w:rPr>
        <w:t>, Artículo 49, Fracción XV).</w:t>
      </w:r>
    </w:p>
    <w:p w14:paraId="0F7CD201" w14:textId="77777777" w:rsidR="003C62FC" w:rsidRDefault="003C62FC" w:rsidP="00D5794C">
      <w:pPr>
        <w:spacing w:after="240"/>
        <w:jc w:val="both"/>
        <w:rPr>
          <w:rFonts w:ascii="Century Gothic" w:hAnsi="Century Gothic"/>
          <w:sz w:val="24"/>
          <w:szCs w:val="24"/>
        </w:rPr>
      </w:pPr>
      <w:r>
        <w:rPr>
          <w:rFonts w:ascii="Century Gothic" w:hAnsi="Century Gothic"/>
          <w:sz w:val="24"/>
          <w:szCs w:val="24"/>
        </w:rPr>
        <w:t>S</w:t>
      </w:r>
      <w:r w:rsidR="008D5E7C">
        <w:rPr>
          <w:rFonts w:ascii="Century Gothic" w:hAnsi="Century Gothic"/>
          <w:sz w:val="24"/>
          <w:szCs w:val="24"/>
        </w:rPr>
        <w:t xml:space="preserve">iendo esto de carácter prioritario, </w:t>
      </w:r>
      <w:r w:rsidR="008D5E7C" w:rsidRPr="00A701C8">
        <w:rPr>
          <w:rFonts w:ascii="Century Gothic" w:hAnsi="Century Gothic"/>
          <w:sz w:val="24"/>
          <w:szCs w:val="24"/>
        </w:rPr>
        <w:t>asegurando el principio fundamental de transparencia y acceso a la información pública</w:t>
      </w:r>
      <w:r w:rsidR="008D5E7C">
        <w:rPr>
          <w:rFonts w:ascii="Century Gothic" w:hAnsi="Century Gothic"/>
          <w:sz w:val="24"/>
          <w:szCs w:val="24"/>
        </w:rPr>
        <w:t>, con el objetivo de p</w:t>
      </w:r>
      <w:r w:rsidR="008D5E7C" w:rsidRPr="00A701C8">
        <w:rPr>
          <w:rFonts w:ascii="Century Gothic" w:hAnsi="Century Gothic"/>
          <w:sz w:val="24"/>
          <w:szCs w:val="24"/>
        </w:rPr>
        <w:t>roveer lo necesario para que toda persona pueda tener acceso a la información</w:t>
      </w:r>
      <w:r w:rsidR="008D5E7C">
        <w:rPr>
          <w:rFonts w:ascii="Century Gothic" w:hAnsi="Century Gothic"/>
          <w:sz w:val="24"/>
          <w:szCs w:val="24"/>
        </w:rPr>
        <w:t>, evitando así caer en faltas administrativas que pueden derivarse en sanc</w:t>
      </w:r>
      <w:r>
        <w:rPr>
          <w:rFonts w:ascii="Century Gothic" w:hAnsi="Century Gothic"/>
          <w:sz w:val="24"/>
          <w:szCs w:val="24"/>
        </w:rPr>
        <w:t>iones.</w:t>
      </w:r>
    </w:p>
    <w:p w14:paraId="42911F58" w14:textId="77777777" w:rsidR="009B116D" w:rsidRDefault="00F36F67" w:rsidP="00B23CA3">
      <w:pPr>
        <w:pStyle w:val="Ttulo1"/>
        <w:spacing w:before="0" w:after="240"/>
        <w:rPr>
          <w:rFonts w:ascii="Century Gothic" w:hAnsi="Century Gothic"/>
          <w:b/>
          <w:color w:val="0E4E7A"/>
        </w:rPr>
      </w:pPr>
      <w:bookmarkStart w:id="64" w:name="_Toc505364445"/>
      <w:bookmarkStart w:id="65" w:name="_Toc511859794"/>
      <w:bookmarkEnd w:id="63"/>
      <w:r>
        <w:rPr>
          <w:rFonts w:ascii="Century Gothic" w:hAnsi="Century Gothic"/>
          <w:b/>
          <w:color w:val="0E4E7A"/>
        </w:rPr>
        <w:t>2.5</w:t>
      </w:r>
      <w:r w:rsidR="009B116D" w:rsidRPr="00A07F19">
        <w:rPr>
          <w:rFonts w:ascii="Century Gothic" w:hAnsi="Century Gothic"/>
          <w:b/>
          <w:color w:val="0E4E7A"/>
        </w:rPr>
        <w:t xml:space="preserve">. </w:t>
      </w:r>
      <w:r w:rsidR="00A07F19" w:rsidRPr="00A07F19">
        <w:rPr>
          <w:rFonts w:ascii="Century Gothic" w:hAnsi="Century Gothic"/>
          <w:b/>
          <w:color w:val="0E4E7A"/>
        </w:rPr>
        <w:t>Percepción de la población atendida</w:t>
      </w:r>
      <w:bookmarkEnd w:id="64"/>
      <w:bookmarkEnd w:id="65"/>
    </w:p>
    <w:p w14:paraId="546C4889" w14:textId="77777777" w:rsidR="00C97EAE" w:rsidRPr="00225B9D" w:rsidRDefault="00B23CA3" w:rsidP="00225B9D">
      <w:pPr>
        <w:spacing w:after="240"/>
        <w:jc w:val="both"/>
        <w:rPr>
          <w:rFonts w:ascii="Century Gothic" w:hAnsi="Century Gothic"/>
          <w:sz w:val="24"/>
          <w:szCs w:val="24"/>
        </w:rPr>
      </w:pPr>
      <w:r w:rsidRPr="00B23CA3">
        <w:rPr>
          <w:rFonts w:ascii="Century Gothic" w:hAnsi="Century Gothic"/>
          <w:sz w:val="24"/>
          <w:szCs w:val="24"/>
        </w:rPr>
        <w:t xml:space="preserve">El objeto de este apartado es conocer si se ha realizado estudios para </w:t>
      </w:r>
      <w:r w:rsidRPr="00225B9D">
        <w:rPr>
          <w:rFonts w:ascii="Century Gothic" w:hAnsi="Century Gothic"/>
          <w:sz w:val="24"/>
          <w:szCs w:val="24"/>
        </w:rPr>
        <w:t>conocer el grado de satisfacción o la percepción de la población beneficiaria de las obras que realiza el programa.</w:t>
      </w:r>
    </w:p>
    <w:p w14:paraId="59279A3E" w14:textId="77777777" w:rsidR="00B23CA3" w:rsidRPr="00225B9D" w:rsidRDefault="00A633B4" w:rsidP="00225B9D">
      <w:pPr>
        <w:spacing w:after="240"/>
        <w:jc w:val="both"/>
        <w:rPr>
          <w:rFonts w:ascii="Century Gothic" w:hAnsi="Century Gothic"/>
          <w:sz w:val="24"/>
          <w:szCs w:val="24"/>
        </w:rPr>
      </w:pPr>
      <w:r w:rsidRPr="00225B9D">
        <w:rPr>
          <w:rFonts w:ascii="Century Gothic" w:hAnsi="Century Gothic"/>
          <w:sz w:val="24"/>
          <w:szCs w:val="24"/>
        </w:rPr>
        <w:t>Aunque la dependencia manifestó que “no se tiene” ningún instrumento que permita medir el grado de satisfacción de la poblaci</w:t>
      </w:r>
      <w:r w:rsidR="00225B9D" w:rsidRPr="00225B9D">
        <w:rPr>
          <w:rFonts w:ascii="Century Gothic" w:hAnsi="Century Gothic"/>
          <w:sz w:val="24"/>
          <w:szCs w:val="24"/>
        </w:rPr>
        <w:t>ón atendida, se constató que en el estado opera el “</w:t>
      </w:r>
      <w:r w:rsidR="00225B9D" w:rsidRPr="00225B9D">
        <w:rPr>
          <w:rFonts w:ascii="Century Gothic" w:hAnsi="Century Gothic"/>
          <w:b/>
          <w:sz w:val="24"/>
          <w:szCs w:val="24"/>
        </w:rPr>
        <w:t>Consejo De Participación Social del Estado de Colima</w:t>
      </w:r>
      <w:r w:rsidR="00225B9D" w:rsidRPr="00225B9D">
        <w:rPr>
          <w:rFonts w:ascii="Century Gothic" w:hAnsi="Century Gothic"/>
          <w:sz w:val="24"/>
          <w:szCs w:val="24"/>
        </w:rPr>
        <w:t xml:space="preserve">”, el cual es un  un órgano de Participación, Vinculación y Consulta integrado por las organizaciones de los sectores social y privado y tiene como </w:t>
      </w:r>
      <w:r w:rsidR="00225B9D" w:rsidRPr="00225B9D">
        <w:rPr>
          <w:rFonts w:ascii="Century Gothic" w:hAnsi="Century Gothic"/>
          <w:b/>
          <w:sz w:val="24"/>
          <w:szCs w:val="24"/>
        </w:rPr>
        <w:t>propósito fungir como espacio de dialogo y garantizar la opinión de la sociedad civil organizada en el proceso de planeación</w:t>
      </w:r>
      <w:r w:rsidR="00225B9D" w:rsidRPr="00225B9D">
        <w:rPr>
          <w:rFonts w:ascii="Century Gothic" w:hAnsi="Century Gothic"/>
          <w:sz w:val="24"/>
          <w:szCs w:val="24"/>
        </w:rPr>
        <w:t xml:space="preserve"> democrática para el desarrollo en el ámbito estatal.</w:t>
      </w:r>
    </w:p>
    <w:p w14:paraId="5F551AA2" w14:textId="77777777" w:rsidR="00225B9D" w:rsidRPr="00C904D2" w:rsidRDefault="00225B9D" w:rsidP="00C904D2">
      <w:pPr>
        <w:spacing w:after="240"/>
        <w:jc w:val="both"/>
        <w:rPr>
          <w:rFonts w:ascii="Century Gothic" w:hAnsi="Century Gothic" w:cs="Calibri"/>
          <w:b/>
          <w:color w:val="000000"/>
          <w:sz w:val="24"/>
          <w:szCs w:val="24"/>
        </w:rPr>
      </w:pPr>
      <w:r w:rsidRPr="00225B9D">
        <w:rPr>
          <w:rFonts w:ascii="Century Gothic" w:hAnsi="Century Gothic" w:cs="Calibri"/>
          <w:color w:val="000000"/>
          <w:sz w:val="24"/>
          <w:szCs w:val="24"/>
        </w:rPr>
        <w:lastRenderedPageBreak/>
        <w:t>Dicho órgano está r</w:t>
      </w:r>
      <w:r>
        <w:rPr>
          <w:rFonts w:ascii="Century Gothic" w:hAnsi="Century Gothic" w:cs="Calibri"/>
          <w:color w:val="000000"/>
          <w:sz w:val="24"/>
          <w:szCs w:val="24"/>
        </w:rPr>
        <w:t>e</w:t>
      </w:r>
      <w:r w:rsidRPr="00225B9D">
        <w:rPr>
          <w:rFonts w:ascii="Century Gothic" w:hAnsi="Century Gothic" w:cs="Calibri"/>
          <w:color w:val="000000"/>
          <w:sz w:val="24"/>
          <w:szCs w:val="24"/>
        </w:rPr>
        <w:t>glamentado desde la Ley de</w:t>
      </w:r>
      <w:r>
        <w:rPr>
          <w:rFonts w:ascii="Century Gothic" w:hAnsi="Century Gothic" w:cs="Calibri"/>
          <w:color w:val="000000"/>
          <w:sz w:val="24"/>
          <w:szCs w:val="24"/>
        </w:rPr>
        <w:t xml:space="preserve"> </w:t>
      </w:r>
      <w:r w:rsidRPr="00225B9D">
        <w:rPr>
          <w:rFonts w:ascii="Century Gothic" w:hAnsi="Century Gothic" w:cs="Calibri"/>
          <w:color w:val="000000"/>
          <w:sz w:val="24"/>
          <w:szCs w:val="24"/>
        </w:rPr>
        <w:t>Planeación del estado,</w:t>
      </w:r>
      <w:r>
        <w:rPr>
          <w:rFonts w:ascii="Century Gothic" w:hAnsi="Century Gothic" w:cs="Calibri"/>
          <w:color w:val="000000"/>
          <w:sz w:val="24"/>
          <w:szCs w:val="24"/>
        </w:rPr>
        <w:t xml:space="preserve"> </w:t>
      </w:r>
      <w:r w:rsidRPr="00225B9D">
        <w:rPr>
          <w:rFonts w:ascii="Century Gothic" w:hAnsi="Century Gothic" w:cs="Calibri"/>
          <w:color w:val="000000"/>
          <w:sz w:val="24"/>
          <w:szCs w:val="24"/>
        </w:rPr>
        <w:t xml:space="preserve">la cual en el artículo 36 menciona que el Consejo de Participación Social tiene entre otras, la atribución de </w:t>
      </w:r>
      <w:r w:rsidRPr="00225B9D">
        <w:rPr>
          <w:rFonts w:ascii="Century Gothic" w:hAnsi="Century Gothic" w:cs="Calibri"/>
          <w:b/>
          <w:color w:val="000000"/>
          <w:sz w:val="24"/>
          <w:szCs w:val="24"/>
        </w:rPr>
        <w:t>contribuir con propuestas, estudios y diagnósticos al desarrollo económico, social, cultural y democrático del E</w:t>
      </w:r>
      <w:r w:rsidRPr="00C904D2">
        <w:rPr>
          <w:rFonts w:ascii="Century Gothic" w:hAnsi="Century Gothic" w:cs="Calibri"/>
          <w:b/>
          <w:color w:val="000000"/>
          <w:sz w:val="24"/>
          <w:szCs w:val="24"/>
        </w:rPr>
        <w:t>stado.</w:t>
      </w:r>
    </w:p>
    <w:p w14:paraId="5EEB9815" w14:textId="77777777" w:rsidR="00225B9D" w:rsidRPr="00C904D2" w:rsidRDefault="00225B9D" w:rsidP="00C904D2">
      <w:pPr>
        <w:spacing w:after="240"/>
        <w:jc w:val="both"/>
        <w:rPr>
          <w:rFonts w:ascii="Century Gothic" w:hAnsi="Century Gothic"/>
          <w:sz w:val="24"/>
          <w:szCs w:val="24"/>
        </w:rPr>
      </w:pPr>
      <w:r w:rsidRPr="00C904D2">
        <w:rPr>
          <w:rFonts w:ascii="Century Gothic" w:hAnsi="Century Gothic" w:cs="Calibri"/>
          <w:color w:val="000000"/>
          <w:sz w:val="24"/>
          <w:szCs w:val="24"/>
        </w:rPr>
        <w:t>Bajo estas atribuciones el Consejo de Participación Social del Estado de Colima, con el objetivo de cumplir su alta encomienda</w:t>
      </w:r>
      <w:r w:rsidR="00C904D2" w:rsidRPr="00C904D2">
        <w:rPr>
          <w:rFonts w:ascii="Century Gothic" w:hAnsi="Century Gothic" w:cs="Calibri"/>
          <w:color w:val="000000"/>
          <w:sz w:val="24"/>
          <w:szCs w:val="24"/>
        </w:rPr>
        <w:t xml:space="preserve">, llevo a cabo un estudio de opinión mediante encuestas. Orientado a examinar tendencias de opinión y actitud de los habitantes del estado de Colima, respecto a la gestión política y administrativa de los Gobiernos Federal, Estatal y Municipal, de los Poderes Ejecutivo, Legislativo y </w:t>
      </w:r>
      <w:r w:rsidR="00096EF4" w:rsidRPr="00C904D2">
        <w:rPr>
          <w:rFonts w:ascii="Century Gothic" w:hAnsi="Century Gothic" w:cs="Calibri"/>
          <w:color w:val="000000"/>
          <w:sz w:val="24"/>
          <w:szCs w:val="24"/>
        </w:rPr>
        <w:t>judicial</w:t>
      </w:r>
      <w:r w:rsidR="00A14C10">
        <w:rPr>
          <w:rStyle w:val="Refdenotaalpie"/>
          <w:rFonts w:ascii="Century Gothic" w:hAnsi="Century Gothic" w:cs="Calibri"/>
          <w:color w:val="000000"/>
          <w:sz w:val="24"/>
          <w:szCs w:val="24"/>
        </w:rPr>
        <w:footnoteReference w:id="25"/>
      </w:r>
      <w:r w:rsidR="00C904D2" w:rsidRPr="00C904D2">
        <w:rPr>
          <w:rFonts w:ascii="Century Gothic" w:hAnsi="Century Gothic" w:cs="Calibri"/>
          <w:color w:val="000000"/>
          <w:sz w:val="24"/>
          <w:szCs w:val="24"/>
        </w:rPr>
        <w:t>.</w:t>
      </w:r>
    </w:p>
    <w:p w14:paraId="0F3658AA" w14:textId="77777777" w:rsidR="00225B9D" w:rsidRDefault="00C904D2" w:rsidP="00C904D2">
      <w:pPr>
        <w:spacing w:after="240"/>
        <w:jc w:val="both"/>
        <w:rPr>
          <w:rFonts w:ascii="Century Gothic" w:hAnsi="Century Gothic"/>
          <w:sz w:val="24"/>
          <w:szCs w:val="24"/>
        </w:rPr>
      </w:pPr>
      <w:r>
        <w:rPr>
          <w:rFonts w:ascii="Century Gothic" w:hAnsi="Century Gothic"/>
          <w:sz w:val="24"/>
          <w:szCs w:val="24"/>
        </w:rPr>
        <w:t>En lo referente a infraestructura se evidenciaron los siguientes datos.</w:t>
      </w:r>
    </w:p>
    <w:tbl>
      <w:tblPr>
        <w:tblStyle w:val="Tablaconcuadrcula"/>
        <w:tblW w:w="0" w:type="auto"/>
        <w:jc w:val="center"/>
        <w:tblLook w:val="04A0" w:firstRow="1" w:lastRow="0" w:firstColumn="1" w:lastColumn="0" w:noHBand="0" w:noVBand="1"/>
      </w:tblPr>
      <w:tblGrid>
        <w:gridCol w:w="4110"/>
        <w:gridCol w:w="2066"/>
      </w:tblGrid>
      <w:tr w:rsidR="00C904D2" w:rsidRPr="00C904D2" w14:paraId="5CBAEFA8" w14:textId="77777777" w:rsidTr="00C904D2">
        <w:trPr>
          <w:jc w:val="center"/>
        </w:trPr>
        <w:tc>
          <w:tcPr>
            <w:tcW w:w="6176" w:type="dxa"/>
            <w:gridSpan w:val="2"/>
            <w:shd w:val="clear" w:color="auto" w:fill="0E4E7A"/>
          </w:tcPr>
          <w:p w14:paraId="32F42EFA" w14:textId="77777777" w:rsidR="00C904D2" w:rsidRPr="00C904D2" w:rsidRDefault="003832EF" w:rsidP="00C904D2">
            <w:pPr>
              <w:jc w:val="center"/>
              <w:rPr>
                <w:rFonts w:cstheme="minorHAnsi"/>
                <w:b/>
                <w:color w:val="FFFFFF" w:themeColor="background1"/>
              </w:rPr>
            </w:pPr>
            <w:r>
              <w:rPr>
                <w:rFonts w:cstheme="minorHAnsi"/>
                <w:b/>
                <w:color w:val="FFFFFF" w:themeColor="background1"/>
              </w:rPr>
              <w:t>Cuadro 2.17</w:t>
            </w:r>
            <w:r w:rsidR="00A14C10">
              <w:rPr>
                <w:rFonts w:cstheme="minorHAnsi"/>
                <w:b/>
                <w:color w:val="FFFFFF" w:themeColor="background1"/>
              </w:rPr>
              <w:t xml:space="preserve">. Percepción de la población en Infraestructura </w:t>
            </w:r>
          </w:p>
        </w:tc>
      </w:tr>
      <w:tr w:rsidR="00C904D2" w:rsidRPr="00C904D2" w14:paraId="37CF36A7" w14:textId="77777777" w:rsidTr="00C904D2">
        <w:trPr>
          <w:jc w:val="center"/>
        </w:trPr>
        <w:tc>
          <w:tcPr>
            <w:tcW w:w="4110" w:type="dxa"/>
            <w:shd w:val="clear" w:color="auto" w:fill="0E4E7A"/>
            <w:vAlign w:val="center"/>
          </w:tcPr>
          <w:p w14:paraId="0A88DAC6" w14:textId="77777777" w:rsidR="00C904D2" w:rsidRPr="00C904D2" w:rsidRDefault="00C904D2" w:rsidP="00C904D2">
            <w:pPr>
              <w:jc w:val="center"/>
              <w:rPr>
                <w:rFonts w:cstheme="minorHAnsi"/>
                <w:b/>
                <w:color w:val="FFFFFF" w:themeColor="background1"/>
              </w:rPr>
            </w:pPr>
            <w:r w:rsidRPr="00C904D2">
              <w:rPr>
                <w:rFonts w:cstheme="minorHAnsi"/>
                <w:b/>
                <w:color w:val="FFFFFF" w:themeColor="background1"/>
              </w:rPr>
              <w:t>Tema</w:t>
            </w:r>
          </w:p>
        </w:tc>
        <w:tc>
          <w:tcPr>
            <w:tcW w:w="2066" w:type="dxa"/>
            <w:shd w:val="clear" w:color="auto" w:fill="0E4E7A"/>
            <w:vAlign w:val="center"/>
          </w:tcPr>
          <w:p w14:paraId="3F3D9022" w14:textId="77777777" w:rsidR="00C904D2" w:rsidRPr="00C904D2" w:rsidRDefault="00C904D2" w:rsidP="00C904D2">
            <w:pPr>
              <w:jc w:val="center"/>
              <w:rPr>
                <w:rFonts w:cstheme="minorHAnsi"/>
                <w:b/>
                <w:color w:val="FFFFFF" w:themeColor="background1"/>
              </w:rPr>
            </w:pPr>
            <w:r w:rsidRPr="00C904D2">
              <w:rPr>
                <w:rFonts w:cstheme="minorHAnsi"/>
                <w:b/>
                <w:color w:val="FFFFFF" w:themeColor="background1"/>
              </w:rPr>
              <w:t>Calificación promedio</w:t>
            </w:r>
            <w:r w:rsidR="00C7321D">
              <w:rPr>
                <w:rStyle w:val="Refdenotaalpie"/>
                <w:rFonts w:cstheme="minorHAnsi"/>
                <w:b/>
                <w:color w:val="FFFFFF" w:themeColor="background1"/>
              </w:rPr>
              <w:footnoteReference w:id="26"/>
            </w:r>
          </w:p>
        </w:tc>
      </w:tr>
      <w:tr w:rsidR="00C904D2" w:rsidRPr="00C904D2" w14:paraId="376A8F55" w14:textId="77777777" w:rsidTr="00C904D2">
        <w:trPr>
          <w:trHeight w:val="335"/>
          <w:jc w:val="center"/>
        </w:trPr>
        <w:tc>
          <w:tcPr>
            <w:tcW w:w="4110" w:type="dxa"/>
            <w:vAlign w:val="center"/>
          </w:tcPr>
          <w:p w14:paraId="23707764" w14:textId="77777777" w:rsidR="00C904D2" w:rsidRPr="00C904D2" w:rsidRDefault="00C904D2" w:rsidP="00C904D2">
            <w:pPr>
              <w:rPr>
                <w:rFonts w:cstheme="minorHAnsi"/>
              </w:rPr>
            </w:pPr>
            <w:r w:rsidRPr="00C904D2">
              <w:rPr>
                <w:rFonts w:cstheme="minorHAnsi"/>
              </w:rPr>
              <w:t>Infraestructura</w:t>
            </w:r>
          </w:p>
        </w:tc>
        <w:tc>
          <w:tcPr>
            <w:tcW w:w="2066" w:type="dxa"/>
            <w:vAlign w:val="center"/>
          </w:tcPr>
          <w:p w14:paraId="2CA0FF30" w14:textId="77777777" w:rsidR="00C904D2" w:rsidRPr="00C904D2" w:rsidRDefault="00C904D2" w:rsidP="00C904D2">
            <w:pPr>
              <w:jc w:val="center"/>
              <w:rPr>
                <w:rFonts w:cstheme="minorHAnsi"/>
              </w:rPr>
            </w:pPr>
            <w:r w:rsidRPr="00C904D2">
              <w:rPr>
                <w:rFonts w:cstheme="minorHAnsi"/>
              </w:rPr>
              <w:t>7.5</w:t>
            </w:r>
          </w:p>
        </w:tc>
      </w:tr>
      <w:tr w:rsidR="00C904D2" w:rsidRPr="00C904D2" w14:paraId="69D1B73E" w14:textId="77777777" w:rsidTr="00C904D2">
        <w:trPr>
          <w:trHeight w:val="410"/>
          <w:jc w:val="center"/>
        </w:trPr>
        <w:tc>
          <w:tcPr>
            <w:tcW w:w="4110" w:type="dxa"/>
            <w:vAlign w:val="center"/>
          </w:tcPr>
          <w:p w14:paraId="0E0980E1" w14:textId="77777777" w:rsidR="00C904D2" w:rsidRPr="00C904D2" w:rsidRDefault="00C904D2" w:rsidP="00C904D2">
            <w:pPr>
              <w:rPr>
                <w:rFonts w:cstheme="minorHAnsi"/>
              </w:rPr>
            </w:pPr>
            <w:r w:rsidRPr="00C904D2">
              <w:rPr>
                <w:rFonts w:cstheme="minorHAnsi"/>
              </w:rPr>
              <w:t>Promoción cultural y artística</w:t>
            </w:r>
          </w:p>
        </w:tc>
        <w:tc>
          <w:tcPr>
            <w:tcW w:w="2066" w:type="dxa"/>
            <w:vAlign w:val="center"/>
          </w:tcPr>
          <w:p w14:paraId="1DA1F8C7" w14:textId="77777777" w:rsidR="00C904D2" w:rsidRPr="00C904D2" w:rsidRDefault="00C904D2" w:rsidP="00C904D2">
            <w:pPr>
              <w:jc w:val="center"/>
              <w:rPr>
                <w:rFonts w:cstheme="minorHAnsi"/>
              </w:rPr>
            </w:pPr>
            <w:r w:rsidRPr="00C904D2">
              <w:rPr>
                <w:rFonts w:cstheme="minorHAnsi"/>
              </w:rPr>
              <w:t>7.8</w:t>
            </w:r>
          </w:p>
        </w:tc>
      </w:tr>
      <w:tr w:rsidR="00C904D2" w:rsidRPr="00C904D2" w14:paraId="5140BD63" w14:textId="77777777" w:rsidTr="00C904D2">
        <w:trPr>
          <w:trHeight w:val="417"/>
          <w:jc w:val="center"/>
        </w:trPr>
        <w:tc>
          <w:tcPr>
            <w:tcW w:w="4110" w:type="dxa"/>
            <w:vAlign w:val="center"/>
          </w:tcPr>
          <w:p w14:paraId="2D6FB445" w14:textId="77777777" w:rsidR="00C904D2" w:rsidRPr="00C904D2" w:rsidRDefault="00C904D2" w:rsidP="00C904D2">
            <w:pPr>
              <w:rPr>
                <w:rFonts w:cstheme="minorHAnsi"/>
              </w:rPr>
            </w:pPr>
            <w:r w:rsidRPr="00C904D2">
              <w:rPr>
                <w:rFonts w:cstheme="minorHAnsi"/>
              </w:rPr>
              <w:t xml:space="preserve">Deporte y Recreación </w:t>
            </w:r>
          </w:p>
        </w:tc>
        <w:tc>
          <w:tcPr>
            <w:tcW w:w="2066" w:type="dxa"/>
            <w:vAlign w:val="center"/>
          </w:tcPr>
          <w:p w14:paraId="31638060" w14:textId="77777777" w:rsidR="00C904D2" w:rsidRPr="00C904D2" w:rsidRDefault="00C904D2" w:rsidP="00C904D2">
            <w:pPr>
              <w:jc w:val="center"/>
              <w:rPr>
                <w:rFonts w:cstheme="minorHAnsi"/>
              </w:rPr>
            </w:pPr>
            <w:r w:rsidRPr="00C904D2">
              <w:rPr>
                <w:rFonts w:cstheme="minorHAnsi"/>
              </w:rPr>
              <w:t>7.1</w:t>
            </w:r>
          </w:p>
        </w:tc>
      </w:tr>
      <w:tr w:rsidR="00C904D2" w:rsidRPr="00C904D2" w14:paraId="2CFE8C93" w14:textId="77777777" w:rsidTr="00C904D2">
        <w:trPr>
          <w:jc w:val="center"/>
        </w:trPr>
        <w:tc>
          <w:tcPr>
            <w:tcW w:w="6176" w:type="dxa"/>
            <w:gridSpan w:val="2"/>
          </w:tcPr>
          <w:p w14:paraId="3BAE68FD" w14:textId="77777777" w:rsidR="00C904D2" w:rsidRPr="00C904D2" w:rsidRDefault="00C904D2" w:rsidP="00C904D2">
            <w:pPr>
              <w:jc w:val="both"/>
              <w:rPr>
                <w:rFonts w:cstheme="minorHAnsi"/>
              </w:rPr>
            </w:pPr>
            <w:r w:rsidRPr="00C904D2">
              <w:rPr>
                <w:rFonts w:cstheme="minorHAnsi"/>
              </w:rPr>
              <w:t>Fuente: Elaborado por TECSO con base al estudio de opinión</w:t>
            </w:r>
            <w:r>
              <w:rPr>
                <w:rFonts w:cstheme="minorHAnsi"/>
              </w:rPr>
              <w:t xml:space="preserve"> </w:t>
            </w:r>
            <w:r w:rsidRPr="00C904D2">
              <w:rPr>
                <w:rFonts w:cstheme="minorHAnsi"/>
              </w:rPr>
              <w:t xml:space="preserve">por encuesta del </w:t>
            </w:r>
            <w:r w:rsidRPr="00C904D2">
              <w:rPr>
                <w:rFonts w:cstheme="minorHAnsi"/>
                <w:color w:val="000000"/>
              </w:rPr>
              <w:t>Consejo de Participación Social del Estado de Colima</w:t>
            </w:r>
          </w:p>
        </w:tc>
      </w:tr>
    </w:tbl>
    <w:p w14:paraId="3C63B500" w14:textId="77777777" w:rsidR="00C904D2" w:rsidRPr="00C904D2" w:rsidRDefault="00C904D2" w:rsidP="00C904D2">
      <w:pPr>
        <w:spacing w:after="240"/>
        <w:jc w:val="both"/>
        <w:rPr>
          <w:rFonts w:ascii="Century Gothic" w:hAnsi="Century Gothic"/>
          <w:sz w:val="6"/>
          <w:szCs w:val="24"/>
        </w:rPr>
      </w:pPr>
    </w:p>
    <w:p w14:paraId="5823936C" w14:textId="77777777" w:rsidR="005F2EDC" w:rsidRDefault="005F2EDC" w:rsidP="005F2EDC">
      <w:pPr>
        <w:spacing w:after="240"/>
        <w:jc w:val="both"/>
        <w:rPr>
          <w:rFonts w:ascii="Century Gothic" w:hAnsi="Century Gothic"/>
          <w:sz w:val="24"/>
          <w:szCs w:val="24"/>
        </w:rPr>
      </w:pPr>
      <w:r>
        <w:rPr>
          <w:rFonts w:ascii="Century Gothic" w:hAnsi="Century Gothic"/>
          <w:sz w:val="24"/>
          <w:szCs w:val="24"/>
        </w:rPr>
        <w:t xml:space="preserve">Así, se evidencia que si se cuenta con estudios que permitan ver cuál es la percepción o satisfacción de la población en los temas relacionados con la infraestructura no habitacional. </w:t>
      </w:r>
    </w:p>
    <w:p w14:paraId="67DB6894" w14:textId="77777777" w:rsidR="00A633B4" w:rsidRDefault="005F2EDC" w:rsidP="005F2EDC">
      <w:pPr>
        <w:spacing w:after="240"/>
        <w:jc w:val="both"/>
        <w:rPr>
          <w:rFonts w:ascii="Century Gothic" w:hAnsi="Century Gothic"/>
          <w:sz w:val="24"/>
          <w:szCs w:val="24"/>
        </w:rPr>
      </w:pPr>
      <w:r>
        <w:rPr>
          <w:rFonts w:ascii="Century Gothic" w:hAnsi="Century Gothic"/>
          <w:sz w:val="24"/>
          <w:szCs w:val="24"/>
        </w:rPr>
        <w:t xml:space="preserve">Aunque es un poco escueto ya es un primer paso para empezar a conocer la opinión de la ciudadanía, por lo que una recomendación es que este tipo de análisis se realice más a profundidad para conocer características específicas o requerimientos de la ciudadanía. Dicho trabajo se </w:t>
      </w:r>
      <w:r w:rsidR="006D2380">
        <w:rPr>
          <w:rFonts w:ascii="Century Gothic" w:hAnsi="Century Gothic"/>
          <w:sz w:val="24"/>
          <w:szCs w:val="24"/>
        </w:rPr>
        <w:t>puede</w:t>
      </w:r>
      <w:r>
        <w:rPr>
          <w:rFonts w:ascii="Century Gothic" w:hAnsi="Century Gothic"/>
          <w:sz w:val="24"/>
          <w:szCs w:val="24"/>
        </w:rPr>
        <w:t xml:space="preserve"> hacer en conjunto con el </w:t>
      </w:r>
      <w:r w:rsidRPr="00C904D2">
        <w:rPr>
          <w:rFonts w:ascii="Century Gothic" w:hAnsi="Century Gothic" w:cs="Calibri"/>
          <w:color w:val="000000"/>
          <w:sz w:val="24"/>
          <w:szCs w:val="24"/>
        </w:rPr>
        <w:t>Consejo de Participación Social del Estado</w:t>
      </w:r>
      <w:r>
        <w:rPr>
          <w:rFonts w:ascii="Century Gothic" w:hAnsi="Century Gothic" w:cs="Calibri"/>
          <w:color w:val="000000"/>
          <w:sz w:val="24"/>
          <w:szCs w:val="24"/>
        </w:rPr>
        <w:t>.</w:t>
      </w:r>
    </w:p>
    <w:p w14:paraId="6747E781" w14:textId="77777777" w:rsidR="009B116D" w:rsidRPr="00C97EAE" w:rsidRDefault="00F36F67" w:rsidP="00AC51EA">
      <w:pPr>
        <w:pStyle w:val="Ttulo1"/>
        <w:spacing w:before="0" w:after="240"/>
        <w:rPr>
          <w:rFonts w:ascii="Century Gothic" w:hAnsi="Century Gothic"/>
          <w:b/>
          <w:color w:val="0E4E7A"/>
        </w:rPr>
      </w:pPr>
      <w:bookmarkStart w:id="66" w:name="_Toc505364446"/>
      <w:bookmarkStart w:id="67" w:name="_Toc511859795"/>
      <w:r>
        <w:rPr>
          <w:rFonts w:ascii="Century Gothic" w:hAnsi="Century Gothic"/>
          <w:b/>
          <w:color w:val="0E4E7A"/>
        </w:rPr>
        <w:lastRenderedPageBreak/>
        <w:t>2.6</w:t>
      </w:r>
      <w:r w:rsidR="009B116D" w:rsidRPr="00C97EAE">
        <w:rPr>
          <w:rFonts w:ascii="Century Gothic" w:hAnsi="Century Gothic"/>
          <w:b/>
          <w:color w:val="0E4E7A"/>
        </w:rPr>
        <w:t xml:space="preserve">. </w:t>
      </w:r>
      <w:r w:rsidR="00A07F19" w:rsidRPr="00C97EAE">
        <w:rPr>
          <w:rFonts w:ascii="Century Gothic" w:hAnsi="Century Gothic"/>
          <w:b/>
          <w:color w:val="0E4E7A"/>
        </w:rPr>
        <w:t>Medición de resultados</w:t>
      </w:r>
      <w:bookmarkEnd w:id="66"/>
      <w:bookmarkEnd w:id="67"/>
    </w:p>
    <w:p w14:paraId="4C8935BA" w14:textId="77777777" w:rsidR="00C97EAE" w:rsidRPr="00C32051" w:rsidRDefault="008D5391" w:rsidP="00C32051">
      <w:pPr>
        <w:spacing w:after="240"/>
        <w:jc w:val="both"/>
        <w:rPr>
          <w:rFonts w:ascii="Century Gothic" w:eastAsia="Times New Roman" w:hAnsi="Century Gothic" w:cs="Times New Roman"/>
          <w:sz w:val="24"/>
          <w:szCs w:val="24"/>
          <w:lang w:val="es-ES_tradnl" w:eastAsia="es-ES_tradnl"/>
        </w:rPr>
      </w:pPr>
      <w:r>
        <w:rPr>
          <w:rFonts w:ascii="Century Gothic" w:eastAsia="Times New Roman" w:hAnsi="Century Gothic" w:cs="Times New Roman"/>
          <w:sz w:val="24"/>
          <w:szCs w:val="24"/>
          <w:lang w:val="es-ES_tradnl" w:eastAsia="es-ES_tradnl"/>
        </w:rPr>
        <w:t xml:space="preserve">En este apartado se evalúa los </w:t>
      </w:r>
      <w:r w:rsidR="006618DF">
        <w:rPr>
          <w:rFonts w:ascii="Century Gothic" w:eastAsia="Times New Roman" w:hAnsi="Century Gothic" w:cs="Times New Roman"/>
          <w:sz w:val="24"/>
          <w:szCs w:val="24"/>
          <w:lang w:val="es-ES_tradnl" w:eastAsia="es-ES_tradnl"/>
        </w:rPr>
        <w:t>efectos</w:t>
      </w:r>
      <w:r>
        <w:rPr>
          <w:rFonts w:ascii="Century Gothic" w:eastAsia="Times New Roman" w:hAnsi="Century Gothic" w:cs="Times New Roman"/>
          <w:sz w:val="24"/>
          <w:szCs w:val="24"/>
          <w:lang w:val="es-ES_tradnl" w:eastAsia="es-ES_tradnl"/>
        </w:rPr>
        <w:t xml:space="preserve"> que ha generado el programa, esto a través de los resultados de los indicadores a nivel de fin y propósito, así como del </w:t>
      </w:r>
      <w:r w:rsidRPr="00C32051">
        <w:rPr>
          <w:rFonts w:ascii="Century Gothic" w:eastAsia="Times New Roman" w:hAnsi="Century Gothic" w:cs="Times New Roman"/>
          <w:sz w:val="24"/>
          <w:szCs w:val="24"/>
          <w:lang w:val="es-ES_tradnl" w:eastAsia="es-ES_tradnl"/>
        </w:rPr>
        <w:t>desarrollo de evaluaciones de impacto.</w:t>
      </w:r>
    </w:p>
    <w:p w14:paraId="46DEEFB2" w14:textId="77777777" w:rsidR="00C32051" w:rsidRPr="00C32051" w:rsidRDefault="00C32051" w:rsidP="00C32051">
      <w:pPr>
        <w:spacing w:after="240"/>
        <w:jc w:val="both"/>
        <w:rPr>
          <w:rFonts w:ascii="Century Gothic" w:hAnsi="Century Gothic"/>
          <w:sz w:val="24"/>
          <w:szCs w:val="24"/>
          <w:lang w:val="es-ES_tradnl"/>
        </w:rPr>
      </w:pPr>
      <w:r w:rsidRPr="00C32051">
        <w:rPr>
          <w:rFonts w:ascii="Century Gothic" w:hAnsi="Century Gothic"/>
          <w:sz w:val="24"/>
          <w:szCs w:val="24"/>
          <w:lang w:val="es-ES_tradnl"/>
        </w:rPr>
        <w:t xml:space="preserve">Ante ello la SEIDUR manifestó que a la fecha no se ha desarrollado algún tipo de evaluación de impacto que permita medir el efecto generado en la sociedad el desarrollo de </w:t>
      </w:r>
      <w:r>
        <w:rPr>
          <w:rFonts w:ascii="Century Gothic" w:hAnsi="Century Gothic"/>
          <w:sz w:val="24"/>
          <w:szCs w:val="24"/>
          <w:lang w:val="es-ES_tradnl"/>
        </w:rPr>
        <w:t xml:space="preserve">infraestructura no habitacional. </w:t>
      </w:r>
      <w:r w:rsidRPr="00C32051">
        <w:rPr>
          <w:rFonts w:ascii="Century Gothic" w:eastAsia="Times" w:hAnsi="Century Gothic" w:cs="Arial"/>
          <w:sz w:val="24"/>
          <w:szCs w:val="24"/>
        </w:rPr>
        <w:t xml:space="preserve">El programa </w:t>
      </w:r>
      <w:r w:rsidRPr="00C32051">
        <w:rPr>
          <w:rFonts w:ascii="Century Gothic" w:eastAsia="Times" w:hAnsi="Century Gothic" w:cs="Arial"/>
          <w:b/>
          <w:sz w:val="24"/>
          <w:szCs w:val="24"/>
        </w:rPr>
        <w:t>documenta sus resultados a través de los indicadores establecidos en la MIR</w:t>
      </w:r>
      <w:r>
        <w:rPr>
          <w:rFonts w:ascii="Century Gothic" w:eastAsia="Times" w:hAnsi="Century Gothic" w:cs="Arial"/>
          <w:b/>
          <w:sz w:val="24"/>
          <w:szCs w:val="24"/>
        </w:rPr>
        <w:t>.</w:t>
      </w:r>
    </w:p>
    <w:p w14:paraId="719E524F" w14:textId="77777777" w:rsidR="006618DF" w:rsidRPr="00C32051" w:rsidRDefault="00C32051" w:rsidP="006618DF">
      <w:pPr>
        <w:spacing w:after="240"/>
        <w:jc w:val="both"/>
        <w:rPr>
          <w:rFonts w:ascii="Century Gothic" w:hAnsi="Century Gothic"/>
          <w:sz w:val="24"/>
          <w:szCs w:val="24"/>
          <w:lang w:val="es-ES_tradnl"/>
        </w:rPr>
      </w:pPr>
      <w:r>
        <w:rPr>
          <w:rFonts w:ascii="Century Gothic" w:hAnsi="Century Gothic"/>
          <w:sz w:val="24"/>
          <w:szCs w:val="24"/>
          <w:lang w:val="es-ES_tradnl"/>
        </w:rPr>
        <w:t>Sin embargo, al analizar los indicadores de la MIR a nivel de fin y propósito</w:t>
      </w:r>
      <w:r w:rsidR="006618DF">
        <w:rPr>
          <w:rFonts w:ascii="Century Gothic" w:hAnsi="Century Gothic"/>
          <w:sz w:val="24"/>
          <w:szCs w:val="24"/>
        </w:rPr>
        <w:t>,</w:t>
      </w:r>
      <w:r>
        <w:rPr>
          <w:rFonts w:ascii="Century Gothic" w:hAnsi="Century Gothic"/>
          <w:sz w:val="24"/>
          <w:szCs w:val="24"/>
        </w:rPr>
        <w:t xml:space="preserve"> se evidencio que</w:t>
      </w:r>
      <w:r w:rsidR="006618DF">
        <w:rPr>
          <w:rFonts w:ascii="Century Gothic" w:hAnsi="Century Gothic"/>
          <w:sz w:val="24"/>
          <w:szCs w:val="24"/>
        </w:rPr>
        <w:t xml:space="preserve"> las metas establecidas no se hicieron bajo un diagnóstico o proceso que de referente al logro que se quiere alcanzar, pues esta es muy general, sólo dice 100%.</w:t>
      </w:r>
    </w:p>
    <w:p w14:paraId="61C887F3" w14:textId="77777777" w:rsidR="00303448" w:rsidRPr="006618DF" w:rsidRDefault="00303448" w:rsidP="00AC51EA">
      <w:pPr>
        <w:spacing w:after="240"/>
        <w:jc w:val="both"/>
        <w:rPr>
          <w:rFonts w:ascii="Century Gothic" w:eastAsia="Times New Roman" w:hAnsi="Century Gothic" w:cs="Times New Roman"/>
          <w:sz w:val="24"/>
          <w:szCs w:val="24"/>
          <w:lang w:eastAsia="es-ES_tradnl"/>
        </w:rPr>
      </w:pPr>
      <w:r>
        <w:rPr>
          <w:rFonts w:ascii="Century Gothic" w:eastAsia="Times New Roman" w:hAnsi="Century Gothic" w:cs="Times New Roman"/>
          <w:sz w:val="24"/>
          <w:szCs w:val="24"/>
          <w:lang w:eastAsia="es-ES_tradnl"/>
        </w:rPr>
        <w:t>Por lo cual se recomienda establecer mecanismos que les permita medir el logro del programa, al dotar de infraestructura, particularmente la deportiva y cultural, pues diversos estudios datan de la importancia de esta como la mejor herramienta para la prevención del delito principalmente en zonas urbanas</w:t>
      </w:r>
      <w:r w:rsidR="00E93691">
        <w:rPr>
          <w:rFonts w:ascii="Century Gothic" w:eastAsia="Times New Roman" w:hAnsi="Century Gothic" w:cs="Times New Roman"/>
          <w:sz w:val="24"/>
          <w:szCs w:val="24"/>
          <w:lang w:eastAsia="es-ES_tradnl"/>
        </w:rPr>
        <w:t xml:space="preserve"> y en el caso del deporte en </w:t>
      </w:r>
      <w:r w:rsidR="00E93691" w:rsidRPr="00E93691">
        <w:rPr>
          <w:rFonts w:ascii="Century Gothic" w:eastAsia="Times New Roman" w:hAnsi="Century Gothic" w:cs="Times New Roman"/>
          <w:sz w:val="24"/>
          <w:szCs w:val="24"/>
          <w:lang w:eastAsia="es-ES_tradnl"/>
        </w:rPr>
        <w:t>la preservación de la salud y prevención de enfermedades</w:t>
      </w:r>
      <w:r>
        <w:rPr>
          <w:rFonts w:ascii="Century Gothic" w:eastAsia="Times New Roman" w:hAnsi="Century Gothic" w:cs="Times New Roman"/>
          <w:sz w:val="24"/>
          <w:szCs w:val="24"/>
          <w:lang w:eastAsia="es-ES_tradnl"/>
        </w:rPr>
        <w:t>.</w:t>
      </w:r>
    </w:p>
    <w:p w14:paraId="65145ACE" w14:textId="77777777" w:rsidR="00C10E6C" w:rsidRDefault="00E93691" w:rsidP="00AC51EA">
      <w:pPr>
        <w:spacing w:after="240"/>
        <w:jc w:val="both"/>
        <w:rPr>
          <w:rFonts w:ascii="Century Gothic" w:eastAsia="Times New Roman" w:hAnsi="Century Gothic" w:cs="Times New Roman"/>
          <w:sz w:val="24"/>
          <w:szCs w:val="24"/>
          <w:lang w:eastAsia="es-ES_tradnl"/>
        </w:rPr>
      </w:pPr>
      <w:r>
        <w:rPr>
          <w:rFonts w:ascii="Century Gothic" w:eastAsia="Times New Roman" w:hAnsi="Century Gothic" w:cs="Times New Roman"/>
          <w:sz w:val="24"/>
          <w:szCs w:val="24"/>
          <w:lang w:eastAsia="es-ES_tradnl"/>
        </w:rPr>
        <w:t>Esto de igual forma lo contempla la Ley General de Cultura Física y</w:t>
      </w:r>
      <w:r w:rsidRPr="00E93691">
        <w:rPr>
          <w:rFonts w:ascii="Century Gothic" w:eastAsia="Times New Roman" w:hAnsi="Century Gothic" w:cs="Times New Roman"/>
          <w:sz w:val="24"/>
          <w:szCs w:val="24"/>
          <w:lang w:eastAsia="es-ES_tradnl"/>
        </w:rPr>
        <w:t xml:space="preserve"> Deporte</w:t>
      </w:r>
      <w:r>
        <w:rPr>
          <w:rFonts w:ascii="Century Gothic" w:eastAsia="Times New Roman" w:hAnsi="Century Gothic" w:cs="Times New Roman"/>
          <w:sz w:val="24"/>
          <w:szCs w:val="24"/>
          <w:lang w:eastAsia="es-ES_tradnl"/>
        </w:rPr>
        <w:t>, artículo 2, fracción IV y V:</w:t>
      </w:r>
    </w:p>
    <w:p w14:paraId="58EC6F65" w14:textId="77777777" w:rsidR="00E93691" w:rsidRPr="00E93691" w:rsidRDefault="00E93691" w:rsidP="00E93691">
      <w:pPr>
        <w:spacing w:after="240"/>
        <w:ind w:left="284" w:right="333"/>
        <w:jc w:val="both"/>
        <w:rPr>
          <w:rFonts w:ascii="Century Gothic" w:eastAsia="Times New Roman" w:hAnsi="Century Gothic" w:cs="Times New Roman"/>
          <w:sz w:val="24"/>
          <w:szCs w:val="24"/>
          <w:lang w:eastAsia="es-ES_tradnl"/>
        </w:rPr>
      </w:pPr>
      <w:r w:rsidRPr="00E93691">
        <w:rPr>
          <w:rFonts w:ascii="Century Gothic" w:eastAsia="Times New Roman" w:hAnsi="Century Gothic" w:cs="Times New Roman"/>
          <w:sz w:val="24"/>
          <w:szCs w:val="24"/>
          <w:lang w:eastAsia="es-ES_tradnl"/>
        </w:rPr>
        <w:t>IV. Fomentar el desarrollo de la activación física, la cultura física y el deporte, como medio importante en la preservación de la salud y prevención de enfermedades;</w:t>
      </w:r>
    </w:p>
    <w:p w14:paraId="017A5860" w14:textId="77777777" w:rsidR="00E93691" w:rsidRPr="00E93691" w:rsidRDefault="00E93691" w:rsidP="00E93691">
      <w:pPr>
        <w:spacing w:after="240"/>
        <w:ind w:left="284" w:right="333"/>
        <w:jc w:val="both"/>
        <w:rPr>
          <w:rFonts w:ascii="Century Gothic" w:eastAsia="Times New Roman" w:hAnsi="Century Gothic" w:cs="Times New Roman"/>
          <w:sz w:val="24"/>
          <w:szCs w:val="24"/>
          <w:lang w:eastAsia="es-ES_tradnl"/>
        </w:rPr>
      </w:pPr>
      <w:r w:rsidRPr="00E93691">
        <w:rPr>
          <w:rFonts w:ascii="Century Gothic" w:eastAsia="Times New Roman" w:hAnsi="Century Gothic" w:cs="Times New Roman"/>
          <w:sz w:val="24"/>
          <w:szCs w:val="24"/>
          <w:lang w:eastAsia="es-ES_tradnl"/>
        </w:rPr>
        <w:t>V. Fomentar el desarrollo de la activación física, la cultura física y el deporte, como medio importa</w:t>
      </w:r>
      <w:r>
        <w:rPr>
          <w:rFonts w:ascii="Century Gothic" w:eastAsia="Times New Roman" w:hAnsi="Century Gothic" w:cs="Times New Roman"/>
          <w:sz w:val="24"/>
          <w:szCs w:val="24"/>
          <w:lang w:eastAsia="es-ES_tradnl"/>
        </w:rPr>
        <w:t>nte en la prevención del delito.</w:t>
      </w:r>
    </w:p>
    <w:p w14:paraId="4D9D16D1" w14:textId="77777777" w:rsidR="00F36F67" w:rsidRDefault="00F36F67">
      <w:r>
        <w:br w:type="page"/>
      </w:r>
    </w:p>
    <w:p w14:paraId="1E8135C2" w14:textId="77777777" w:rsidR="009B116D" w:rsidRPr="00E81089" w:rsidRDefault="00F36F67" w:rsidP="002F1D5D">
      <w:pPr>
        <w:pStyle w:val="Ttulo1"/>
        <w:spacing w:before="0" w:after="240"/>
        <w:rPr>
          <w:rFonts w:ascii="Century Gothic" w:hAnsi="Century Gothic"/>
          <w:b/>
          <w:color w:val="0E4E7A"/>
        </w:rPr>
      </w:pPr>
      <w:bookmarkStart w:id="68" w:name="_Toc505364447"/>
      <w:bookmarkStart w:id="69" w:name="_Toc511859796"/>
      <w:r>
        <w:rPr>
          <w:rFonts w:ascii="Century Gothic" w:hAnsi="Century Gothic"/>
          <w:b/>
          <w:color w:val="0E4E7A"/>
        </w:rPr>
        <w:lastRenderedPageBreak/>
        <w:t>3</w:t>
      </w:r>
      <w:r w:rsidR="009B116D" w:rsidRPr="00E81089">
        <w:rPr>
          <w:rFonts w:ascii="Century Gothic" w:hAnsi="Century Gothic"/>
          <w:b/>
          <w:color w:val="0E4E7A"/>
        </w:rPr>
        <w:t xml:space="preserve">. </w:t>
      </w:r>
      <w:r w:rsidR="00E81089" w:rsidRPr="00E81089">
        <w:rPr>
          <w:rFonts w:ascii="Century Gothic" w:hAnsi="Century Gothic"/>
          <w:b/>
          <w:color w:val="0E4E7A"/>
        </w:rPr>
        <w:t>Análisis de fortalezas, oportunidades, debilidades, amenazas (</w:t>
      </w:r>
      <w:r w:rsidR="00E81089">
        <w:rPr>
          <w:rFonts w:ascii="Century Gothic" w:hAnsi="Century Gothic"/>
          <w:b/>
          <w:color w:val="0E4E7A"/>
        </w:rPr>
        <w:t>FODA</w:t>
      </w:r>
      <w:r w:rsidR="00E81089" w:rsidRPr="00E81089">
        <w:rPr>
          <w:rFonts w:ascii="Century Gothic" w:hAnsi="Century Gothic"/>
          <w:b/>
          <w:color w:val="0E4E7A"/>
        </w:rPr>
        <w:t>) y recomendaciones</w:t>
      </w:r>
      <w:bookmarkEnd w:id="68"/>
      <w:bookmarkEnd w:id="69"/>
      <w:r w:rsidR="00E81089" w:rsidRPr="00E81089">
        <w:rPr>
          <w:rFonts w:ascii="Century Gothic" w:hAnsi="Century Gothic"/>
          <w:b/>
          <w:color w:val="0E4E7A"/>
        </w:rPr>
        <w:t xml:space="preserve"> </w:t>
      </w:r>
    </w:p>
    <w:p w14:paraId="5DF80CA5" w14:textId="77777777" w:rsidR="00C42B26" w:rsidRPr="002F1D5D" w:rsidRDefault="002F1D5D" w:rsidP="002F1D5D">
      <w:pPr>
        <w:pStyle w:val="Ttulo2"/>
        <w:spacing w:before="0" w:after="240"/>
        <w:rPr>
          <w:rFonts w:ascii="Century Gothic" w:hAnsi="Century Gothic"/>
          <w:color w:val="1F497D" w:themeColor="text2"/>
          <w:sz w:val="28"/>
          <w:lang w:val="es-ES_tradnl" w:eastAsia="es-ES_tradnl"/>
        </w:rPr>
      </w:pPr>
      <w:bookmarkStart w:id="70" w:name="_Toc511859797"/>
      <w:r w:rsidRPr="002F1D5D">
        <w:rPr>
          <w:rFonts w:ascii="Century Gothic" w:hAnsi="Century Gothic"/>
          <w:color w:val="1F497D" w:themeColor="text2"/>
          <w:sz w:val="28"/>
          <w:lang w:val="es-ES_tradnl" w:eastAsia="es-ES_tradnl"/>
        </w:rPr>
        <w:t>3.1 Análisis Interno</w:t>
      </w:r>
      <w:bookmarkEnd w:id="70"/>
    </w:p>
    <w:tbl>
      <w:tblPr>
        <w:tblStyle w:val="Tablaconcuadrcula"/>
        <w:tblW w:w="0" w:type="auto"/>
        <w:tblLook w:val="04A0" w:firstRow="1" w:lastRow="0" w:firstColumn="1" w:lastColumn="0" w:noHBand="0" w:noVBand="1"/>
      </w:tblPr>
      <w:tblGrid>
        <w:gridCol w:w="4414"/>
        <w:gridCol w:w="4414"/>
      </w:tblGrid>
      <w:tr w:rsidR="002F1D5D" w:rsidRPr="004C5A86" w14:paraId="1737CDC7" w14:textId="77777777" w:rsidTr="002F1D5D">
        <w:trPr>
          <w:trHeight w:val="629"/>
          <w:tblHeader/>
        </w:trPr>
        <w:tc>
          <w:tcPr>
            <w:tcW w:w="4414" w:type="dxa"/>
            <w:shd w:val="clear" w:color="auto" w:fill="0E4E7A"/>
            <w:vAlign w:val="center"/>
          </w:tcPr>
          <w:p w14:paraId="100A067D" w14:textId="77777777" w:rsidR="002F1D5D" w:rsidRPr="004C5A86" w:rsidRDefault="002F1D5D" w:rsidP="00FF4038">
            <w:pPr>
              <w:spacing w:after="120" w:line="276" w:lineRule="auto"/>
              <w:jc w:val="center"/>
              <w:rPr>
                <w:rFonts w:ascii="Century Gothic" w:eastAsiaTheme="majorEastAsia" w:hAnsi="Century Gothic" w:cstheme="majorBidi"/>
                <w:b/>
                <w:color w:val="FFFFFF" w:themeColor="background1"/>
                <w:sz w:val="24"/>
                <w:szCs w:val="24"/>
              </w:rPr>
            </w:pPr>
            <w:r w:rsidRPr="004C5A86">
              <w:rPr>
                <w:rFonts w:ascii="Century Gothic" w:eastAsiaTheme="majorEastAsia" w:hAnsi="Century Gothic" w:cstheme="majorBidi"/>
                <w:b/>
                <w:color w:val="FFFFFF" w:themeColor="background1"/>
                <w:sz w:val="24"/>
                <w:szCs w:val="24"/>
              </w:rPr>
              <w:t>FORTALEZAS</w:t>
            </w:r>
          </w:p>
        </w:tc>
        <w:tc>
          <w:tcPr>
            <w:tcW w:w="4414" w:type="dxa"/>
            <w:shd w:val="clear" w:color="auto" w:fill="0E4E7A"/>
            <w:vAlign w:val="center"/>
          </w:tcPr>
          <w:p w14:paraId="6BA79624" w14:textId="77777777" w:rsidR="002F1D5D" w:rsidRPr="004C5A86" w:rsidRDefault="002F1D5D" w:rsidP="00FF4038">
            <w:pPr>
              <w:spacing w:after="120" w:line="276" w:lineRule="auto"/>
              <w:jc w:val="center"/>
              <w:rPr>
                <w:rFonts w:ascii="Century Gothic" w:eastAsiaTheme="majorEastAsia" w:hAnsi="Century Gothic" w:cstheme="majorBidi"/>
                <w:b/>
                <w:color w:val="FFFFFF" w:themeColor="background1"/>
                <w:sz w:val="24"/>
                <w:szCs w:val="24"/>
              </w:rPr>
            </w:pPr>
            <w:r w:rsidRPr="004C5A86">
              <w:rPr>
                <w:rFonts w:ascii="Century Gothic" w:eastAsiaTheme="majorEastAsia" w:hAnsi="Century Gothic" w:cstheme="majorBidi"/>
                <w:b/>
                <w:color w:val="FFFFFF" w:themeColor="background1"/>
                <w:sz w:val="24"/>
                <w:szCs w:val="24"/>
              </w:rPr>
              <w:t>RECOMENDACIONES</w:t>
            </w:r>
          </w:p>
        </w:tc>
      </w:tr>
      <w:tr w:rsidR="002F1D5D" w:rsidRPr="004C5A86" w14:paraId="759F01CF" w14:textId="77777777" w:rsidTr="00FF4038">
        <w:trPr>
          <w:trHeight w:val="656"/>
        </w:trPr>
        <w:tc>
          <w:tcPr>
            <w:tcW w:w="4414" w:type="dxa"/>
            <w:vAlign w:val="center"/>
          </w:tcPr>
          <w:p w14:paraId="52DE17F2" w14:textId="77777777" w:rsidR="002F1D5D" w:rsidRPr="004C5A86" w:rsidRDefault="002F1D5D" w:rsidP="00FF4038">
            <w:pPr>
              <w:spacing w:after="120" w:line="276" w:lineRule="auto"/>
              <w:jc w:val="both"/>
              <w:rPr>
                <w:rFonts w:ascii="Century Gothic" w:eastAsiaTheme="majorEastAsia" w:hAnsi="Century Gothic" w:cstheme="majorBidi"/>
                <w:sz w:val="24"/>
                <w:szCs w:val="24"/>
              </w:rPr>
            </w:pPr>
            <w:r w:rsidRPr="004C5A86">
              <w:rPr>
                <w:rFonts w:ascii="Century Gothic" w:hAnsi="Century Gothic"/>
                <w:sz w:val="24"/>
                <w:szCs w:val="24"/>
              </w:rPr>
              <w:t xml:space="preserve">El programa </w:t>
            </w:r>
            <w:r w:rsidRPr="004C5A86">
              <w:rPr>
                <w:rFonts w:ascii="Century Gothic" w:hAnsi="Century Gothic"/>
                <w:sz w:val="24"/>
                <w:szCs w:val="24"/>
                <w:lang w:val="es-ES"/>
              </w:rPr>
              <w:t xml:space="preserve">cuenta con los </w:t>
            </w:r>
            <w:r w:rsidRPr="004C5A86">
              <w:rPr>
                <w:rFonts w:ascii="Century Gothic" w:hAnsi="Century Gothic"/>
                <w:b/>
                <w:sz w:val="24"/>
                <w:szCs w:val="24"/>
                <w:lang w:val="es-ES"/>
              </w:rPr>
              <w:t>elementos normativos y técnicos</w:t>
            </w:r>
            <w:r w:rsidRPr="004C5A86">
              <w:rPr>
                <w:rFonts w:ascii="Century Gothic" w:hAnsi="Century Gothic"/>
                <w:sz w:val="24"/>
                <w:szCs w:val="24"/>
                <w:lang w:val="es-ES"/>
              </w:rPr>
              <w:t xml:space="preserve"> que justifican su creación, y datan de la importancia del desarrollo de infraestructura.</w:t>
            </w:r>
          </w:p>
        </w:tc>
        <w:tc>
          <w:tcPr>
            <w:tcW w:w="4414" w:type="dxa"/>
            <w:vAlign w:val="center"/>
          </w:tcPr>
          <w:p w14:paraId="2D4971C9" w14:textId="77777777" w:rsidR="002F1D5D" w:rsidRPr="004C5A86" w:rsidRDefault="002F1D5D" w:rsidP="00FF4038">
            <w:pPr>
              <w:spacing w:after="120" w:line="276" w:lineRule="auto"/>
              <w:jc w:val="both"/>
              <w:rPr>
                <w:rFonts w:ascii="Century Gothic" w:eastAsiaTheme="majorEastAsia" w:hAnsi="Century Gothic" w:cstheme="majorBidi"/>
                <w:sz w:val="24"/>
                <w:szCs w:val="24"/>
              </w:rPr>
            </w:pPr>
            <w:r w:rsidRPr="004C5A86">
              <w:rPr>
                <w:rFonts w:ascii="Century Gothic" w:hAnsi="Century Gothic"/>
                <w:sz w:val="24"/>
                <w:szCs w:val="24"/>
              </w:rPr>
              <w:t>Integrar en un documento todos los elementos tanto normativos como técnicos que justifican el programa. En dicho documento se debe considerar la problemática a atender y las demandas de la ciudadanía.</w:t>
            </w:r>
          </w:p>
        </w:tc>
      </w:tr>
      <w:tr w:rsidR="002F1D5D" w:rsidRPr="004C5A86" w14:paraId="51174E06" w14:textId="77777777" w:rsidTr="00FF4038">
        <w:trPr>
          <w:trHeight w:val="656"/>
        </w:trPr>
        <w:tc>
          <w:tcPr>
            <w:tcW w:w="4414" w:type="dxa"/>
            <w:vAlign w:val="center"/>
          </w:tcPr>
          <w:p w14:paraId="70156193" w14:textId="77777777" w:rsidR="002F1D5D" w:rsidRPr="004C5A86" w:rsidRDefault="002F1D5D" w:rsidP="00FF4038">
            <w:pPr>
              <w:spacing w:after="120" w:line="276" w:lineRule="auto"/>
              <w:jc w:val="both"/>
              <w:rPr>
                <w:rFonts w:ascii="Century Gothic" w:hAnsi="Century Gothic"/>
                <w:sz w:val="24"/>
                <w:szCs w:val="24"/>
              </w:rPr>
            </w:pPr>
            <w:r w:rsidRPr="004C5A86">
              <w:rPr>
                <w:rFonts w:ascii="Century Gothic" w:hAnsi="Century Gothic"/>
                <w:sz w:val="24"/>
                <w:szCs w:val="24"/>
              </w:rPr>
              <w:t xml:space="preserve">Los objetivos del programa </w:t>
            </w:r>
            <w:r w:rsidRPr="004C5A86">
              <w:rPr>
                <w:rFonts w:ascii="Century Gothic" w:hAnsi="Century Gothic"/>
                <w:b/>
                <w:sz w:val="24"/>
                <w:szCs w:val="24"/>
              </w:rPr>
              <w:t>contribuyen al logro</w:t>
            </w:r>
            <w:r w:rsidRPr="004C5A86">
              <w:rPr>
                <w:rFonts w:ascii="Century Gothic" w:hAnsi="Century Gothic"/>
                <w:sz w:val="24"/>
                <w:szCs w:val="24"/>
              </w:rPr>
              <w:t xml:space="preserve"> de los objetivos de política pública en los diferentes niveles.</w:t>
            </w:r>
          </w:p>
        </w:tc>
        <w:tc>
          <w:tcPr>
            <w:tcW w:w="4414" w:type="dxa"/>
            <w:vAlign w:val="center"/>
          </w:tcPr>
          <w:p w14:paraId="7F4D3C82" w14:textId="77777777" w:rsidR="002F1D5D" w:rsidRPr="004C5A86" w:rsidRDefault="002F1D5D" w:rsidP="00FF4038">
            <w:pPr>
              <w:spacing w:after="120" w:line="276" w:lineRule="auto"/>
              <w:jc w:val="both"/>
              <w:rPr>
                <w:rFonts w:ascii="Century Gothic" w:hAnsi="Century Gothic"/>
                <w:sz w:val="24"/>
                <w:szCs w:val="24"/>
                <w:highlight w:val="yellow"/>
              </w:rPr>
            </w:pPr>
            <w:r w:rsidRPr="004C5A86">
              <w:rPr>
                <w:rFonts w:ascii="Century Gothic" w:hAnsi="Century Gothic"/>
                <w:sz w:val="24"/>
                <w:szCs w:val="24"/>
              </w:rPr>
              <w:t>Se recomienda continuar con la visión de vinculación a una política pública superior identificando puntualmente aquellos según el tipo de  infraestructura no otorgada.</w:t>
            </w:r>
          </w:p>
        </w:tc>
      </w:tr>
      <w:tr w:rsidR="002F1D5D" w:rsidRPr="004C5A86" w14:paraId="339B8C7C" w14:textId="77777777" w:rsidTr="00FF4038">
        <w:trPr>
          <w:trHeight w:val="1645"/>
        </w:trPr>
        <w:tc>
          <w:tcPr>
            <w:tcW w:w="4414" w:type="dxa"/>
            <w:vAlign w:val="center"/>
          </w:tcPr>
          <w:p w14:paraId="06190D55" w14:textId="77777777" w:rsidR="002F1D5D" w:rsidRPr="004C5A86" w:rsidRDefault="002F1D5D" w:rsidP="00FF4038">
            <w:pPr>
              <w:spacing w:after="120" w:line="276" w:lineRule="auto"/>
              <w:jc w:val="both"/>
              <w:rPr>
                <w:rFonts w:ascii="Century Gothic" w:eastAsiaTheme="majorEastAsia" w:hAnsi="Century Gothic" w:cstheme="majorBidi"/>
                <w:sz w:val="24"/>
                <w:szCs w:val="24"/>
              </w:rPr>
            </w:pPr>
            <w:r w:rsidRPr="004C5A86">
              <w:rPr>
                <w:rFonts w:ascii="Century Gothic" w:hAnsi="Century Gothic"/>
                <w:sz w:val="24"/>
                <w:szCs w:val="24"/>
                <w:lang w:val="es-ES"/>
              </w:rPr>
              <w:t xml:space="preserve">La </w:t>
            </w:r>
            <w:r w:rsidRPr="004C5A86">
              <w:rPr>
                <w:rFonts w:ascii="Century Gothic" w:hAnsi="Century Gothic"/>
                <w:b/>
                <w:sz w:val="24"/>
                <w:szCs w:val="24"/>
                <w:lang w:val="es-ES"/>
              </w:rPr>
              <w:t>gestión de recursos</w:t>
            </w:r>
            <w:r w:rsidRPr="004C5A86">
              <w:rPr>
                <w:rFonts w:ascii="Century Gothic" w:hAnsi="Century Gothic"/>
                <w:sz w:val="24"/>
                <w:szCs w:val="24"/>
                <w:lang w:val="es-ES"/>
              </w:rPr>
              <w:t xml:space="preserve"> que tuvo el estado fue adecuada, pues el programa ejerció recursos federales (42.4%), estatales (53.4%), municipales (2.8%) y de donaciones (1.4%). </w:t>
            </w:r>
          </w:p>
        </w:tc>
        <w:tc>
          <w:tcPr>
            <w:tcW w:w="4414" w:type="dxa"/>
            <w:vAlign w:val="center"/>
          </w:tcPr>
          <w:p w14:paraId="0A211E7E" w14:textId="77777777" w:rsidR="002F1D5D" w:rsidRPr="004C5A86" w:rsidRDefault="002F1D5D" w:rsidP="00FF4038">
            <w:pPr>
              <w:spacing w:after="120" w:line="276" w:lineRule="auto"/>
              <w:jc w:val="both"/>
              <w:rPr>
                <w:rFonts w:ascii="Century Gothic" w:eastAsiaTheme="majorEastAsia" w:hAnsi="Century Gothic" w:cstheme="majorBidi"/>
                <w:sz w:val="24"/>
                <w:szCs w:val="24"/>
              </w:rPr>
            </w:pPr>
            <w:r w:rsidRPr="004C5A86">
              <w:rPr>
                <w:rFonts w:ascii="Century Gothic" w:hAnsi="Century Gothic"/>
                <w:sz w:val="24"/>
                <w:szCs w:val="24"/>
                <w:lang w:val="es-ES"/>
              </w:rPr>
              <w:t>Continuar con la gestión de recursos de diversas fuentes (Federales, estatales, municipales)  y así lograr una mayor cobertura de sus objetivos.</w:t>
            </w:r>
          </w:p>
        </w:tc>
      </w:tr>
      <w:tr w:rsidR="002F1D5D" w:rsidRPr="004C5A86" w14:paraId="5CD0B28F" w14:textId="77777777" w:rsidTr="00FF4038">
        <w:trPr>
          <w:trHeight w:val="1645"/>
        </w:trPr>
        <w:tc>
          <w:tcPr>
            <w:tcW w:w="4414" w:type="dxa"/>
            <w:vAlign w:val="center"/>
          </w:tcPr>
          <w:p w14:paraId="71693A2D" w14:textId="77777777" w:rsidR="002F1D5D" w:rsidRPr="004C5A86" w:rsidRDefault="002F1D5D" w:rsidP="00FF4038">
            <w:pPr>
              <w:spacing w:after="120" w:line="276" w:lineRule="auto"/>
              <w:jc w:val="both"/>
              <w:rPr>
                <w:rFonts w:ascii="Century Gothic" w:hAnsi="Century Gothic"/>
                <w:sz w:val="24"/>
                <w:szCs w:val="24"/>
              </w:rPr>
            </w:pPr>
            <w:r w:rsidRPr="004C5A86">
              <w:rPr>
                <w:rFonts w:ascii="Century Gothic" w:hAnsi="Century Gothic"/>
                <w:sz w:val="24"/>
                <w:szCs w:val="24"/>
              </w:rPr>
              <w:t xml:space="preserve">La SEIDUR cuenta en su página web con el </w:t>
            </w:r>
            <w:r w:rsidRPr="004C5A86">
              <w:rPr>
                <w:rFonts w:ascii="Century Gothic" w:hAnsi="Century Gothic"/>
                <w:b/>
                <w:sz w:val="24"/>
                <w:szCs w:val="24"/>
              </w:rPr>
              <w:t>apartado de transparencia</w:t>
            </w:r>
            <w:r w:rsidRPr="004C5A86">
              <w:rPr>
                <w:rFonts w:ascii="Century Gothic" w:hAnsi="Century Gothic"/>
                <w:sz w:val="24"/>
                <w:szCs w:val="24"/>
              </w:rPr>
              <w:t xml:space="preserve"> en el cual se pudo constatar que tienen información sobre normatividad, contactos, presupuesto entre otra.</w:t>
            </w:r>
          </w:p>
        </w:tc>
        <w:tc>
          <w:tcPr>
            <w:tcW w:w="4414" w:type="dxa"/>
            <w:vAlign w:val="center"/>
          </w:tcPr>
          <w:p w14:paraId="6CE9B4F9" w14:textId="77777777" w:rsidR="002F1D5D" w:rsidRPr="004C5A86" w:rsidRDefault="002F1D5D" w:rsidP="00FF4038">
            <w:pPr>
              <w:spacing w:after="120" w:line="276" w:lineRule="auto"/>
              <w:jc w:val="both"/>
              <w:rPr>
                <w:rFonts w:ascii="Century Gothic" w:hAnsi="Century Gothic"/>
                <w:sz w:val="24"/>
                <w:szCs w:val="24"/>
              </w:rPr>
            </w:pPr>
            <w:r w:rsidRPr="004C5A86">
              <w:rPr>
                <w:rFonts w:ascii="Century Gothic" w:hAnsi="Century Gothic"/>
                <w:sz w:val="24"/>
                <w:szCs w:val="24"/>
              </w:rPr>
              <w:t>Un tema en el cual se debe profundizar para garantizar una mayor transparencia y rendición de cuentas a la ciudadanía, es publicar información específica del desarrollo de las obras ejecutadas por cada uno de los programas presupuestarios.</w:t>
            </w:r>
          </w:p>
        </w:tc>
      </w:tr>
    </w:tbl>
    <w:p w14:paraId="4D5F0CC3" w14:textId="77777777" w:rsidR="00C10E6C" w:rsidRDefault="00C10E6C" w:rsidP="00C10E6C">
      <w:pPr>
        <w:jc w:val="both"/>
        <w:rPr>
          <w:rFonts w:ascii="Century Gothic" w:eastAsia="Times New Roman" w:hAnsi="Century Gothic" w:cs="Times New Roman"/>
          <w:color w:val="000000"/>
          <w:sz w:val="24"/>
          <w:szCs w:val="24"/>
          <w:lang w:eastAsia="es-ES_tradnl"/>
        </w:rPr>
      </w:pPr>
    </w:p>
    <w:tbl>
      <w:tblPr>
        <w:tblStyle w:val="Tablaconcuadrcula"/>
        <w:tblW w:w="0" w:type="auto"/>
        <w:tblLook w:val="04A0" w:firstRow="1" w:lastRow="0" w:firstColumn="1" w:lastColumn="0" w:noHBand="0" w:noVBand="1"/>
      </w:tblPr>
      <w:tblGrid>
        <w:gridCol w:w="4414"/>
        <w:gridCol w:w="4414"/>
      </w:tblGrid>
      <w:tr w:rsidR="002F1D5D" w:rsidRPr="004C5A86" w14:paraId="6ABC8D8A" w14:textId="77777777" w:rsidTr="002F1D5D">
        <w:trPr>
          <w:trHeight w:val="656"/>
          <w:tblHeader/>
        </w:trPr>
        <w:tc>
          <w:tcPr>
            <w:tcW w:w="4414" w:type="dxa"/>
            <w:shd w:val="clear" w:color="auto" w:fill="0C4E79"/>
            <w:vAlign w:val="center"/>
          </w:tcPr>
          <w:p w14:paraId="5279757F" w14:textId="77777777" w:rsidR="002F1D5D" w:rsidRPr="004C5A86" w:rsidRDefault="002F1D5D" w:rsidP="00FF4038">
            <w:pPr>
              <w:spacing w:after="120" w:line="276" w:lineRule="auto"/>
              <w:jc w:val="center"/>
              <w:rPr>
                <w:rFonts w:ascii="Century Gothic" w:eastAsiaTheme="majorEastAsia" w:hAnsi="Century Gothic" w:cstheme="majorBidi"/>
                <w:sz w:val="24"/>
                <w:szCs w:val="24"/>
              </w:rPr>
            </w:pPr>
            <w:r w:rsidRPr="004C5A86">
              <w:rPr>
                <w:rFonts w:ascii="Century Gothic" w:eastAsiaTheme="majorEastAsia" w:hAnsi="Century Gothic" w:cstheme="majorBidi"/>
                <w:b/>
                <w:color w:val="FFFFFF" w:themeColor="background1"/>
                <w:sz w:val="24"/>
                <w:szCs w:val="24"/>
              </w:rPr>
              <w:lastRenderedPageBreak/>
              <w:t>DEBILIDADES</w:t>
            </w:r>
          </w:p>
        </w:tc>
        <w:tc>
          <w:tcPr>
            <w:tcW w:w="4414" w:type="dxa"/>
            <w:shd w:val="clear" w:color="auto" w:fill="0C4E79"/>
            <w:vAlign w:val="center"/>
          </w:tcPr>
          <w:p w14:paraId="189D6F1E" w14:textId="77777777" w:rsidR="002F1D5D" w:rsidRPr="004C5A86" w:rsidRDefault="002F1D5D" w:rsidP="00FF4038">
            <w:pPr>
              <w:spacing w:after="120" w:line="276" w:lineRule="auto"/>
              <w:jc w:val="center"/>
              <w:rPr>
                <w:rFonts w:ascii="Century Gothic" w:eastAsiaTheme="majorEastAsia" w:hAnsi="Century Gothic" w:cstheme="majorBidi"/>
                <w:b/>
                <w:color w:val="FFFFFF" w:themeColor="background1"/>
                <w:sz w:val="24"/>
                <w:szCs w:val="24"/>
              </w:rPr>
            </w:pPr>
            <w:r w:rsidRPr="004C5A86">
              <w:rPr>
                <w:rFonts w:ascii="Century Gothic" w:eastAsiaTheme="majorEastAsia" w:hAnsi="Century Gothic" w:cstheme="majorBidi"/>
                <w:b/>
                <w:color w:val="FFFFFF" w:themeColor="background1"/>
                <w:sz w:val="24"/>
                <w:szCs w:val="24"/>
              </w:rPr>
              <w:t>RECOMENDACIONES</w:t>
            </w:r>
          </w:p>
        </w:tc>
      </w:tr>
      <w:tr w:rsidR="002F1D5D" w:rsidRPr="004C5A86" w14:paraId="09ACFC95" w14:textId="77777777" w:rsidTr="00FF4038">
        <w:trPr>
          <w:trHeight w:val="656"/>
        </w:trPr>
        <w:tc>
          <w:tcPr>
            <w:tcW w:w="4414" w:type="dxa"/>
            <w:vAlign w:val="center"/>
          </w:tcPr>
          <w:p w14:paraId="5E8ED773" w14:textId="77777777" w:rsidR="002F1D5D" w:rsidRPr="004C5A86" w:rsidRDefault="002F1D5D" w:rsidP="00FF4038">
            <w:pPr>
              <w:spacing w:after="120" w:line="276" w:lineRule="auto"/>
              <w:jc w:val="both"/>
              <w:rPr>
                <w:rFonts w:ascii="Century Gothic" w:eastAsiaTheme="majorEastAsia" w:hAnsi="Century Gothic" w:cstheme="majorBidi"/>
                <w:b/>
                <w:color w:val="365F91" w:themeColor="accent1" w:themeShade="BF"/>
                <w:sz w:val="24"/>
                <w:szCs w:val="24"/>
              </w:rPr>
            </w:pPr>
            <w:r w:rsidRPr="004C5A86">
              <w:rPr>
                <w:rFonts w:ascii="Century Gothic" w:hAnsi="Century Gothic"/>
                <w:sz w:val="24"/>
                <w:szCs w:val="24"/>
                <w:lang w:val="es-ES"/>
              </w:rPr>
              <w:t>No se cuenta con información que detalle las características y requerimientos en cuanto a infraestructura no habitacional en el estado.</w:t>
            </w:r>
          </w:p>
        </w:tc>
        <w:tc>
          <w:tcPr>
            <w:tcW w:w="4414" w:type="dxa"/>
            <w:vAlign w:val="center"/>
          </w:tcPr>
          <w:p w14:paraId="28EC3B55" w14:textId="77777777" w:rsidR="002F1D5D" w:rsidRPr="004C5A86" w:rsidRDefault="002F1D5D" w:rsidP="00FF4038">
            <w:pPr>
              <w:spacing w:after="120" w:line="276" w:lineRule="auto"/>
              <w:jc w:val="both"/>
              <w:rPr>
                <w:rFonts w:ascii="Century Gothic" w:eastAsiaTheme="majorEastAsia" w:hAnsi="Century Gothic" w:cstheme="majorBidi"/>
                <w:b/>
                <w:color w:val="365F91" w:themeColor="accent1" w:themeShade="BF"/>
                <w:sz w:val="24"/>
                <w:szCs w:val="24"/>
              </w:rPr>
            </w:pPr>
            <w:r w:rsidRPr="004C5A86">
              <w:rPr>
                <w:rFonts w:ascii="Century Gothic" w:hAnsi="Century Gothic"/>
                <w:sz w:val="24"/>
                <w:szCs w:val="24"/>
              </w:rPr>
              <w:t>Integrar en un documento diagnóstico las características y situación de la infraestructura no habitacional (deportiva cultural), así como de requerimientos de construcción.  Esto les permitirá una planeación más asertiva de los recursos.</w:t>
            </w:r>
          </w:p>
        </w:tc>
      </w:tr>
      <w:tr w:rsidR="002F1D5D" w:rsidRPr="004C5A86" w14:paraId="774FDF74" w14:textId="77777777" w:rsidTr="00FF4038">
        <w:trPr>
          <w:trHeight w:val="656"/>
        </w:trPr>
        <w:tc>
          <w:tcPr>
            <w:tcW w:w="4414" w:type="dxa"/>
            <w:vAlign w:val="center"/>
          </w:tcPr>
          <w:p w14:paraId="4C62854B" w14:textId="77777777" w:rsidR="002F1D5D" w:rsidRPr="004C5A86" w:rsidRDefault="002F1D5D" w:rsidP="00FF4038">
            <w:pPr>
              <w:spacing w:after="120" w:line="276" w:lineRule="auto"/>
              <w:jc w:val="both"/>
              <w:rPr>
                <w:rFonts w:ascii="Century Gothic" w:hAnsi="Century Gothic"/>
                <w:sz w:val="24"/>
                <w:szCs w:val="24"/>
                <w:lang w:val="es-ES"/>
              </w:rPr>
            </w:pPr>
            <w:r w:rsidRPr="004C5A86">
              <w:rPr>
                <w:rFonts w:ascii="Century Gothic" w:hAnsi="Century Gothic"/>
                <w:sz w:val="24"/>
                <w:szCs w:val="24"/>
                <w:lang w:val="es-ES"/>
              </w:rPr>
              <w:t xml:space="preserve">La clasificación de las obras que se desarrollan a través del programa presupuestario “Infraestructura no habitacional”, es muy amplia, </w:t>
            </w:r>
            <w:r w:rsidRPr="004C5A86">
              <w:rPr>
                <w:rFonts w:ascii="Century Gothic" w:hAnsi="Century Gothic"/>
                <w:sz w:val="24"/>
                <w:szCs w:val="24"/>
                <w:lang w:val="es-ES_tradnl"/>
              </w:rPr>
              <w:t>lo que puede generar inconvenientes para medir el logro de las acciones de gobierno.</w:t>
            </w:r>
            <w:r w:rsidRPr="004C5A86">
              <w:rPr>
                <w:rFonts w:ascii="Century Gothic" w:hAnsi="Century Gothic"/>
                <w:sz w:val="24"/>
                <w:szCs w:val="24"/>
                <w:lang w:val="es-ES"/>
              </w:rPr>
              <w:t xml:space="preserve"> </w:t>
            </w:r>
          </w:p>
        </w:tc>
        <w:tc>
          <w:tcPr>
            <w:tcW w:w="4414" w:type="dxa"/>
            <w:vAlign w:val="center"/>
          </w:tcPr>
          <w:p w14:paraId="7AA06BAE" w14:textId="77777777" w:rsidR="002F1D5D" w:rsidRPr="004C5A86" w:rsidRDefault="002F1D5D" w:rsidP="00FF4038">
            <w:pPr>
              <w:spacing w:after="120" w:line="276" w:lineRule="auto"/>
              <w:jc w:val="both"/>
              <w:rPr>
                <w:rFonts w:ascii="Century Gothic" w:hAnsi="Century Gothic"/>
                <w:sz w:val="24"/>
                <w:szCs w:val="24"/>
                <w:lang w:val="es-ES"/>
              </w:rPr>
            </w:pPr>
            <w:r w:rsidRPr="004C5A86">
              <w:rPr>
                <w:rFonts w:ascii="Century Gothic" w:hAnsi="Century Gothic"/>
                <w:b/>
                <w:sz w:val="24"/>
                <w:szCs w:val="24"/>
              </w:rPr>
              <w:t>Realizar una adecuada clasificación de las obras en los programas a los que se relacionan y contribuyen a su logro</w:t>
            </w:r>
            <w:r w:rsidRPr="004C5A86">
              <w:rPr>
                <w:rFonts w:ascii="Century Gothic" w:hAnsi="Century Gothic"/>
                <w:sz w:val="24"/>
                <w:szCs w:val="24"/>
              </w:rPr>
              <w:t>, independientemente de que dependencia ejecute o lleve a cabo la obra</w:t>
            </w:r>
          </w:p>
        </w:tc>
      </w:tr>
      <w:tr w:rsidR="002F1D5D" w:rsidRPr="004C5A86" w14:paraId="7FA23805" w14:textId="77777777" w:rsidTr="00FF4038">
        <w:trPr>
          <w:trHeight w:val="656"/>
        </w:trPr>
        <w:tc>
          <w:tcPr>
            <w:tcW w:w="4414" w:type="dxa"/>
            <w:vAlign w:val="center"/>
          </w:tcPr>
          <w:p w14:paraId="4E3C5F0C" w14:textId="77777777" w:rsidR="002F1D5D" w:rsidRPr="004C5A86" w:rsidRDefault="002F1D5D" w:rsidP="00FF4038">
            <w:pPr>
              <w:spacing w:after="120" w:line="276" w:lineRule="auto"/>
              <w:jc w:val="both"/>
              <w:rPr>
                <w:rFonts w:ascii="Century Gothic" w:hAnsi="Century Gothic"/>
                <w:sz w:val="24"/>
                <w:szCs w:val="24"/>
                <w:lang w:val="es-ES"/>
              </w:rPr>
            </w:pPr>
            <w:r w:rsidRPr="004C5A86">
              <w:rPr>
                <w:rFonts w:ascii="Century Gothic" w:hAnsi="Century Gothic"/>
                <w:b/>
                <w:sz w:val="24"/>
                <w:szCs w:val="24"/>
                <w:lang w:val="es-ES"/>
              </w:rPr>
              <w:t>No se cuentan con todos los instrumentos de planeación</w:t>
            </w:r>
            <w:r w:rsidRPr="004C5A86">
              <w:rPr>
                <w:rFonts w:ascii="Century Gothic" w:hAnsi="Century Gothic"/>
                <w:sz w:val="24"/>
                <w:szCs w:val="24"/>
                <w:lang w:val="es-ES"/>
              </w:rPr>
              <w:t xml:space="preserve"> requeridos por la normatividad de la metodología del marco lógico, ya que no se presentó el árbol de objetivos.</w:t>
            </w:r>
          </w:p>
        </w:tc>
        <w:tc>
          <w:tcPr>
            <w:tcW w:w="4414" w:type="dxa"/>
            <w:vAlign w:val="center"/>
          </w:tcPr>
          <w:p w14:paraId="7D173D93" w14:textId="77777777" w:rsidR="002F1D5D" w:rsidRPr="004C5A86" w:rsidRDefault="002F1D5D" w:rsidP="00FF4038">
            <w:pPr>
              <w:spacing w:after="120" w:line="276" w:lineRule="auto"/>
              <w:ind w:left="-47"/>
              <w:jc w:val="both"/>
              <w:rPr>
                <w:rFonts w:ascii="Century Gothic" w:hAnsi="Century Gothic"/>
                <w:sz w:val="24"/>
                <w:szCs w:val="24"/>
                <w:lang w:val="es-ES"/>
              </w:rPr>
            </w:pPr>
            <w:r w:rsidRPr="004C5A86">
              <w:rPr>
                <w:rFonts w:ascii="Century Gothic" w:hAnsi="Century Gothic"/>
                <w:sz w:val="24"/>
                <w:szCs w:val="24"/>
                <w:lang w:val="es-ES"/>
              </w:rPr>
              <w:t>Desarrollar todos los instrumentos que requiere la metodología del marco lógico (árbol de problemas, árbol de objetivos y MIR), basándose en un diagnóstico de la problemática, necesidades y requerimientos en cuanto a infraestructura no habitacional en el estado.</w:t>
            </w:r>
          </w:p>
        </w:tc>
      </w:tr>
      <w:tr w:rsidR="002F1D5D" w:rsidRPr="004C5A86" w14:paraId="0124FE5C" w14:textId="77777777" w:rsidTr="00FF4038">
        <w:trPr>
          <w:trHeight w:val="656"/>
        </w:trPr>
        <w:tc>
          <w:tcPr>
            <w:tcW w:w="4414" w:type="dxa"/>
            <w:vAlign w:val="center"/>
          </w:tcPr>
          <w:p w14:paraId="0D4C0F55" w14:textId="77777777" w:rsidR="002F1D5D" w:rsidRPr="004C5A86" w:rsidRDefault="002F1D5D" w:rsidP="00FF4038">
            <w:pPr>
              <w:spacing w:after="120" w:line="276" w:lineRule="auto"/>
              <w:jc w:val="both"/>
              <w:rPr>
                <w:rFonts w:ascii="Century Gothic" w:eastAsiaTheme="majorEastAsia" w:hAnsi="Century Gothic" w:cstheme="majorBidi"/>
                <w:b/>
                <w:color w:val="365F91" w:themeColor="accent1" w:themeShade="BF"/>
                <w:sz w:val="24"/>
                <w:szCs w:val="24"/>
              </w:rPr>
            </w:pPr>
            <w:r w:rsidRPr="004C5A86">
              <w:rPr>
                <w:rFonts w:ascii="Century Gothic" w:hAnsi="Century Gothic"/>
                <w:b/>
                <w:sz w:val="24"/>
                <w:szCs w:val="24"/>
                <w:lang w:val="es-ES"/>
              </w:rPr>
              <w:t>No se cuenta con una definición precisa</w:t>
            </w:r>
            <w:r w:rsidRPr="004C5A86">
              <w:rPr>
                <w:rFonts w:ascii="Century Gothic" w:hAnsi="Century Gothic"/>
                <w:sz w:val="24"/>
                <w:szCs w:val="24"/>
                <w:lang w:val="es-ES"/>
              </w:rPr>
              <w:t xml:space="preserve"> de las poblaciones potencial, objetivo y atendida.</w:t>
            </w:r>
          </w:p>
        </w:tc>
        <w:tc>
          <w:tcPr>
            <w:tcW w:w="4414" w:type="dxa"/>
            <w:vAlign w:val="center"/>
          </w:tcPr>
          <w:p w14:paraId="39F4D891" w14:textId="77777777" w:rsidR="002F1D5D" w:rsidRPr="004C5A86" w:rsidRDefault="002F1D5D" w:rsidP="00FF4038">
            <w:pPr>
              <w:spacing w:after="120" w:line="276" w:lineRule="auto"/>
              <w:jc w:val="both"/>
              <w:rPr>
                <w:rFonts w:ascii="Century Gothic" w:eastAsiaTheme="majorEastAsia" w:hAnsi="Century Gothic" w:cstheme="majorBidi"/>
                <w:b/>
                <w:color w:val="365F91" w:themeColor="accent1" w:themeShade="BF"/>
                <w:sz w:val="24"/>
                <w:szCs w:val="24"/>
              </w:rPr>
            </w:pPr>
            <w:r w:rsidRPr="004C5A86">
              <w:rPr>
                <w:rFonts w:ascii="Century Gothic" w:hAnsi="Century Gothic"/>
                <w:sz w:val="24"/>
                <w:szCs w:val="24"/>
              </w:rPr>
              <w:t>Diferenciar los diferentes tipos de población según el tipo de obra que se otorga, es decir, identificar aquellas localidades o zonas que requieren determinado tipo de infraestructura (deportiva, cultural, entre otras).</w:t>
            </w:r>
          </w:p>
        </w:tc>
      </w:tr>
      <w:tr w:rsidR="002F1D5D" w:rsidRPr="004C5A86" w14:paraId="4716C6DE" w14:textId="77777777" w:rsidTr="00FF4038">
        <w:trPr>
          <w:trHeight w:val="656"/>
        </w:trPr>
        <w:tc>
          <w:tcPr>
            <w:tcW w:w="4414" w:type="dxa"/>
            <w:vAlign w:val="center"/>
          </w:tcPr>
          <w:p w14:paraId="033EAE12" w14:textId="77777777" w:rsidR="002F1D5D" w:rsidRPr="004C5A86" w:rsidRDefault="002F1D5D" w:rsidP="00FF4038">
            <w:pPr>
              <w:spacing w:after="120" w:line="276" w:lineRule="auto"/>
              <w:jc w:val="both"/>
              <w:rPr>
                <w:rFonts w:ascii="Century Gothic" w:eastAsiaTheme="majorEastAsia" w:hAnsi="Century Gothic" w:cstheme="majorBidi"/>
                <w:b/>
                <w:color w:val="365F91" w:themeColor="accent1" w:themeShade="BF"/>
                <w:sz w:val="24"/>
                <w:szCs w:val="24"/>
              </w:rPr>
            </w:pPr>
            <w:r w:rsidRPr="004C5A86">
              <w:rPr>
                <w:rFonts w:ascii="Century Gothic" w:hAnsi="Century Gothic"/>
                <w:b/>
                <w:sz w:val="24"/>
                <w:szCs w:val="24"/>
              </w:rPr>
              <w:t>No cuentan con mecanismos de sistematización</w:t>
            </w:r>
            <w:r w:rsidRPr="004C5A86">
              <w:rPr>
                <w:rFonts w:ascii="Century Gothic" w:hAnsi="Century Gothic"/>
                <w:sz w:val="24"/>
                <w:szCs w:val="24"/>
              </w:rPr>
              <w:t xml:space="preserve"> de información que permitan registrar las </w:t>
            </w:r>
            <w:r w:rsidRPr="004C5A86">
              <w:rPr>
                <w:rFonts w:ascii="Century Gothic" w:hAnsi="Century Gothic"/>
                <w:b/>
                <w:sz w:val="24"/>
                <w:szCs w:val="24"/>
              </w:rPr>
              <w:t xml:space="preserve">demandas de </w:t>
            </w:r>
            <w:r w:rsidRPr="004C5A86">
              <w:rPr>
                <w:rFonts w:ascii="Century Gothic" w:hAnsi="Century Gothic"/>
                <w:b/>
                <w:sz w:val="24"/>
                <w:szCs w:val="24"/>
              </w:rPr>
              <w:lastRenderedPageBreak/>
              <w:t>la población</w:t>
            </w:r>
            <w:r w:rsidRPr="004C5A86">
              <w:rPr>
                <w:rFonts w:ascii="Century Gothic" w:hAnsi="Century Gothic"/>
                <w:sz w:val="24"/>
                <w:szCs w:val="24"/>
              </w:rPr>
              <w:t xml:space="preserve">, sus características y los apoyos otorgados </w:t>
            </w:r>
          </w:p>
        </w:tc>
        <w:tc>
          <w:tcPr>
            <w:tcW w:w="4414" w:type="dxa"/>
            <w:vAlign w:val="center"/>
          </w:tcPr>
          <w:p w14:paraId="16A8A72F" w14:textId="77777777" w:rsidR="002F1D5D" w:rsidRPr="004C5A86" w:rsidRDefault="002F1D5D" w:rsidP="00FF4038">
            <w:pPr>
              <w:spacing w:after="120" w:line="276" w:lineRule="auto"/>
              <w:jc w:val="both"/>
              <w:rPr>
                <w:rFonts w:ascii="Century Gothic" w:hAnsi="Century Gothic"/>
                <w:sz w:val="24"/>
                <w:szCs w:val="24"/>
              </w:rPr>
            </w:pPr>
            <w:r w:rsidRPr="004C5A86">
              <w:rPr>
                <w:rFonts w:ascii="Century Gothic" w:hAnsi="Century Gothic"/>
                <w:sz w:val="24"/>
                <w:szCs w:val="24"/>
              </w:rPr>
              <w:lastRenderedPageBreak/>
              <w:t xml:space="preserve">Establecer un área como encargada, que pueda llevar a </w:t>
            </w:r>
            <w:r w:rsidRPr="004C5A86">
              <w:rPr>
                <w:rFonts w:ascii="Century Gothic" w:hAnsi="Century Gothic"/>
                <w:sz w:val="24"/>
                <w:szCs w:val="24"/>
              </w:rPr>
              <w:lastRenderedPageBreak/>
              <w:t>cabo la sistematización y registro de las demandas de la población.</w:t>
            </w:r>
          </w:p>
          <w:p w14:paraId="5F226F5A" w14:textId="77777777" w:rsidR="002F1D5D" w:rsidRPr="004C5A86" w:rsidRDefault="002F1D5D" w:rsidP="00FF4038">
            <w:pPr>
              <w:spacing w:after="120" w:line="276" w:lineRule="auto"/>
              <w:jc w:val="both"/>
              <w:rPr>
                <w:rFonts w:ascii="Century Gothic" w:eastAsiaTheme="majorEastAsia" w:hAnsi="Century Gothic" w:cstheme="majorBidi"/>
                <w:b/>
                <w:color w:val="365F91" w:themeColor="accent1" w:themeShade="BF"/>
                <w:sz w:val="24"/>
                <w:szCs w:val="24"/>
              </w:rPr>
            </w:pPr>
            <w:r w:rsidRPr="004C5A86">
              <w:rPr>
                <w:rFonts w:ascii="Century Gothic" w:hAnsi="Century Gothic"/>
                <w:sz w:val="24"/>
                <w:szCs w:val="24"/>
              </w:rPr>
              <w:t>Esto debe complementarse con un diagnóstico de las características de infraestructura en el estado.</w:t>
            </w:r>
          </w:p>
        </w:tc>
      </w:tr>
      <w:tr w:rsidR="002F1D5D" w:rsidRPr="004C5A86" w14:paraId="11A94265" w14:textId="77777777" w:rsidTr="00FF4038">
        <w:trPr>
          <w:trHeight w:val="656"/>
        </w:trPr>
        <w:tc>
          <w:tcPr>
            <w:tcW w:w="4414" w:type="dxa"/>
            <w:vAlign w:val="center"/>
          </w:tcPr>
          <w:p w14:paraId="4FD81BD9" w14:textId="77777777" w:rsidR="002F1D5D" w:rsidRPr="004C5A86" w:rsidRDefault="002F1D5D" w:rsidP="00FF4038">
            <w:pPr>
              <w:spacing w:after="120" w:line="276" w:lineRule="auto"/>
              <w:jc w:val="both"/>
              <w:rPr>
                <w:rFonts w:ascii="Century Gothic" w:hAnsi="Century Gothic"/>
                <w:sz w:val="24"/>
                <w:szCs w:val="24"/>
              </w:rPr>
            </w:pPr>
            <w:r w:rsidRPr="004C5A86">
              <w:rPr>
                <w:rFonts w:ascii="Century Gothic" w:hAnsi="Century Gothic"/>
                <w:sz w:val="24"/>
                <w:szCs w:val="24"/>
              </w:rPr>
              <w:lastRenderedPageBreak/>
              <w:t>Aunque se cuenta con MIR, esta no refleja con claridad los objetivos del programa presupuestario ni los bienes finales que otorga.</w:t>
            </w:r>
          </w:p>
        </w:tc>
        <w:tc>
          <w:tcPr>
            <w:tcW w:w="4414" w:type="dxa"/>
            <w:vAlign w:val="center"/>
          </w:tcPr>
          <w:p w14:paraId="30B12E92" w14:textId="77777777" w:rsidR="002F1D5D" w:rsidRPr="004C5A86" w:rsidRDefault="002F1D5D" w:rsidP="00FF4038">
            <w:pPr>
              <w:spacing w:after="120" w:line="276" w:lineRule="auto"/>
              <w:jc w:val="both"/>
              <w:rPr>
                <w:rFonts w:ascii="Century Gothic" w:hAnsi="Century Gothic"/>
                <w:sz w:val="24"/>
                <w:szCs w:val="24"/>
              </w:rPr>
            </w:pPr>
            <w:r w:rsidRPr="004C5A86">
              <w:rPr>
                <w:rFonts w:ascii="Century Gothic" w:hAnsi="Century Gothic"/>
                <w:sz w:val="24"/>
                <w:szCs w:val="24"/>
              </w:rPr>
              <w:t>Rediseñar la MIR para que refiera con mayor claridad el mejoramiento y el impacto que genera en el desarrollo de infraestructura (deportiva, cultural, etc), para esto se debe:</w:t>
            </w:r>
          </w:p>
          <w:p w14:paraId="18546F9B" w14:textId="77777777" w:rsidR="002F1D5D" w:rsidRPr="004C5A86" w:rsidRDefault="002F1D5D" w:rsidP="00FF4038">
            <w:pPr>
              <w:spacing w:after="120" w:line="276" w:lineRule="auto"/>
              <w:jc w:val="both"/>
              <w:rPr>
                <w:rFonts w:ascii="Century Gothic" w:hAnsi="Century Gothic"/>
                <w:sz w:val="24"/>
                <w:szCs w:val="24"/>
              </w:rPr>
            </w:pPr>
            <w:r w:rsidRPr="004C5A86">
              <w:rPr>
                <w:rFonts w:ascii="Century Gothic" w:hAnsi="Century Gothic"/>
                <w:sz w:val="24"/>
                <w:szCs w:val="24"/>
              </w:rPr>
              <w:t>Estructurar los componentes según los bienes o servicios que otorga el programa.</w:t>
            </w:r>
          </w:p>
          <w:p w14:paraId="7A4A5B9B" w14:textId="77777777" w:rsidR="002F1D5D" w:rsidRPr="004C5A86" w:rsidRDefault="002F1D5D" w:rsidP="00FF4038">
            <w:pPr>
              <w:spacing w:after="120" w:line="276" w:lineRule="auto"/>
              <w:jc w:val="both"/>
              <w:rPr>
                <w:rFonts w:ascii="Century Gothic" w:hAnsi="Century Gothic"/>
                <w:sz w:val="24"/>
                <w:szCs w:val="24"/>
              </w:rPr>
            </w:pPr>
            <w:r w:rsidRPr="004C5A86">
              <w:rPr>
                <w:rFonts w:ascii="Century Gothic" w:hAnsi="Century Gothic"/>
                <w:sz w:val="24"/>
                <w:szCs w:val="24"/>
              </w:rPr>
              <w:t>Construir indicadores de resultados que tengan mayor precisión para medir los objetivos planteados, considerando lo establecido en la Guía para el diseño de la Matriz de Indicadores para Resultados de la SHCP y atendiendo las recomendaciones dadas por TECSO.</w:t>
            </w:r>
          </w:p>
        </w:tc>
      </w:tr>
      <w:tr w:rsidR="002F1D5D" w:rsidRPr="004C5A86" w14:paraId="71913FE5" w14:textId="77777777" w:rsidTr="00FF4038">
        <w:trPr>
          <w:trHeight w:val="656"/>
        </w:trPr>
        <w:tc>
          <w:tcPr>
            <w:tcW w:w="4414" w:type="dxa"/>
            <w:vAlign w:val="center"/>
          </w:tcPr>
          <w:p w14:paraId="2564E48D" w14:textId="77777777" w:rsidR="002F1D5D" w:rsidRPr="004C5A86" w:rsidRDefault="002F1D5D" w:rsidP="00FF4038">
            <w:pPr>
              <w:spacing w:after="120" w:line="276" w:lineRule="auto"/>
              <w:jc w:val="both"/>
              <w:rPr>
                <w:rFonts w:ascii="Century Gothic" w:hAnsi="Century Gothic"/>
                <w:sz w:val="24"/>
                <w:szCs w:val="24"/>
              </w:rPr>
            </w:pPr>
            <w:r w:rsidRPr="004C5A86">
              <w:rPr>
                <w:rFonts w:ascii="Century Gothic" w:hAnsi="Century Gothic"/>
                <w:sz w:val="24"/>
                <w:szCs w:val="24"/>
              </w:rPr>
              <w:t xml:space="preserve">A pesar de que se cuenta con las </w:t>
            </w:r>
            <w:r w:rsidRPr="004C5A86">
              <w:rPr>
                <w:rFonts w:ascii="Century Gothic" w:hAnsi="Century Gothic"/>
                <w:b/>
                <w:sz w:val="24"/>
                <w:szCs w:val="24"/>
              </w:rPr>
              <w:t>fichas técnicas</w:t>
            </w:r>
            <w:r w:rsidRPr="004C5A86">
              <w:rPr>
                <w:rFonts w:ascii="Century Gothic" w:hAnsi="Century Gothic"/>
                <w:sz w:val="24"/>
                <w:szCs w:val="24"/>
              </w:rPr>
              <w:t xml:space="preserve"> de los indicadores, éstas </w:t>
            </w:r>
            <w:r w:rsidRPr="004C5A86">
              <w:rPr>
                <w:rFonts w:ascii="Century Gothic" w:hAnsi="Century Gothic"/>
                <w:b/>
                <w:sz w:val="24"/>
                <w:szCs w:val="24"/>
              </w:rPr>
              <w:t>carecen de algunos elementos</w:t>
            </w:r>
            <w:r w:rsidRPr="004C5A86">
              <w:rPr>
                <w:rFonts w:ascii="Century Gothic" w:hAnsi="Century Gothic"/>
                <w:sz w:val="24"/>
                <w:szCs w:val="24"/>
              </w:rPr>
              <w:t>.</w:t>
            </w:r>
          </w:p>
        </w:tc>
        <w:tc>
          <w:tcPr>
            <w:tcW w:w="4414" w:type="dxa"/>
            <w:vAlign w:val="center"/>
          </w:tcPr>
          <w:p w14:paraId="2AA0B01E" w14:textId="77777777" w:rsidR="002F1D5D" w:rsidRPr="004C5A86" w:rsidRDefault="002F1D5D" w:rsidP="00FF4038">
            <w:pPr>
              <w:spacing w:after="120" w:line="276" w:lineRule="auto"/>
              <w:jc w:val="both"/>
              <w:rPr>
                <w:rFonts w:ascii="Century Gothic" w:hAnsi="Century Gothic"/>
                <w:sz w:val="24"/>
                <w:szCs w:val="24"/>
              </w:rPr>
            </w:pPr>
            <w:r w:rsidRPr="004C5A86">
              <w:rPr>
                <w:rFonts w:ascii="Century Gothic" w:hAnsi="Century Gothic"/>
                <w:sz w:val="24"/>
                <w:szCs w:val="24"/>
              </w:rPr>
              <w:t>Se recomienda que una vez se tengan los indicadores adecuados para cada nivel dela MIR se reestructuren las fichas técnicas con la información requerida.</w:t>
            </w:r>
          </w:p>
        </w:tc>
      </w:tr>
    </w:tbl>
    <w:p w14:paraId="6C4D1B97" w14:textId="77777777" w:rsidR="002F1D5D" w:rsidRDefault="002F1D5D" w:rsidP="00C10E6C">
      <w:pPr>
        <w:jc w:val="both"/>
        <w:rPr>
          <w:rFonts w:ascii="Century Gothic" w:eastAsia="Times New Roman" w:hAnsi="Century Gothic" w:cs="Times New Roman"/>
          <w:color w:val="000000"/>
          <w:sz w:val="24"/>
          <w:szCs w:val="24"/>
          <w:lang w:eastAsia="es-ES_tradnl"/>
        </w:rPr>
      </w:pPr>
    </w:p>
    <w:p w14:paraId="6528632B" w14:textId="77777777" w:rsidR="008F42FE" w:rsidRDefault="008F42FE" w:rsidP="00C10E6C">
      <w:pPr>
        <w:jc w:val="both"/>
        <w:rPr>
          <w:rFonts w:ascii="Century Gothic" w:eastAsia="Times New Roman" w:hAnsi="Century Gothic" w:cs="Times New Roman"/>
          <w:color w:val="000000"/>
          <w:sz w:val="24"/>
          <w:szCs w:val="24"/>
          <w:lang w:eastAsia="es-ES_tradnl"/>
        </w:rPr>
      </w:pPr>
    </w:p>
    <w:p w14:paraId="59715770" w14:textId="77777777" w:rsidR="002F1D5D" w:rsidRPr="002F1D5D" w:rsidRDefault="002F1D5D" w:rsidP="002F1D5D">
      <w:pPr>
        <w:pStyle w:val="Ttulo2"/>
        <w:spacing w:before="0" w:after="240"/>
        <w:rPr>
          <w:rFonts w:ascii="Century Gothic" w:hAnsi="Century Gothic"/>
          <w:color w:val="1F497D" w:themeColor="text2"/>
          <w:sz w:val="28"/>
          <w:lang w:eastAsia="es-ES_tradnl"/>
        </w:rPr>
      </w:pPr>
      <w:bookmarkStart w:id="71" w:name="_Toc511859798"/>
      <w:r w:rsidRPr="002F1D5D">
        <w:rPr>
          <w:rFonts w:ascii="Century Gothic" w:hAnsi="Century Gothic"/>
          <w:color w:val="1F497D" w:themeColor="text2"/>
          <w:sz w:val="28"/>
          <w:lang w:eastAsia="es-ES_tradnl"/>
        </w:rPr>
        <w:lastRenderedPageBreak/>
        <w:t>3.2 Análisis Externo</w:t>
      </w:r>
      <w:bookmarkEnd w:id="71"/>
    </w:p>
    <w:tbl>
      <w:tblPr>
        <w:tblStyle w:val="Tablaconcuadrcula"/>
        <w:tblW w:w="0" w:type="auto"/>
        <w:tblLook w:val="04A0" w:firstRow="1" w:lastRow="0" w:firstColumn="1" w:lastColumn="0" w:noHBand="0" w:noVBand="1"/>
      </w:tblPr>
      <w:tblGrid>
        <w:gridCol w:w="4414"/>
        <w:gridCol w:w="4414"/>
      </w:tblGrid>
      <w:tr w:rsidR="002F1D5D" w:rsidRPr="004C5A86" w14:paraId="7C0970C0" w14:textId="77777777" w:rsidTr="00FF4038">
        <w:trPr>
          <w:trHeight w:val="656"/>
        </w:trPr>
        <w:tc>
          <w:tcPr>
            <w:tcW w:w="4414" w:type="dxa"/>
            <w:shd w:val="clear" w:color="auto" w:fill="0C4E79"/>
            <w:vAlign w:val="center"/>
          </w:tcPr>
          <w:p w14:paraId="6C345653" w14:textId="77777777" w:rsidR="002F1D5D" w:rsidRPr="004C5A86" w:rsidRDefault="002F1D5D" w:rsidP="00FF4038">
            <w:pPr>
              <w:spacing w:after="120" w:line="276" w:lineRule="auto"/>
              <w:jc w:val="center"/>
              <w:rPr>
                <w:rFonts w:ascii="Century Gothic" w:eastAsiaTheme="majorEastAsia" w:hAnsi="Century Gothic" w:cstheme="majorBidi"/>
                <w:sz w:val="24"/>
                <w:szCs w:val="24"/>
              </w:rPr>
            </w:pPr>
            <w:r w:rsidRPr="004C5A86">
              <w:rPr>
                <w:rFonts w:ascii="Century Gothic" w:eastAsiaTheme="majorEastAsia" w:hAnsi="Century Gothic" w:cstheme="majorBidi"/>
                <w:b/>
                <w:color w:val="FFFFFF" w:themeColor="background1"/>
                <w:sz w:val="24"/>
                <w:szCs w:val="24"/>
              </w:rPr>
              <w:t>OPORTUNIDADES</w:t>
            </w:r>
          </w:p>
        </w:tc>
        <w:tc>
          <w:tcPr>
            <w:tcW w:w="4414" w:type="dxa"/>
            <w:shd w:val="clear" w:color="auto" w:fill="0C4E79"/>
            <w:vAlign w:val="center"/>
          </w:tcPr>
          <w:p w14:paraId="2EE0AAE9" w14:textId="77777777" w:rsidR="002F1D5D" w:rsidRPr="004C5A86" w:rsidRDefault="002F1D5D" w:rsidP="00FF4038">
            <w:pPr>
              <w:spacing w:after="120" w:line="276" w:lineRule="auto"/>
              <w:jc w:val="center"/>
              <w:rPr>
                <w:rFonts w:ascii="Century Gothic" w:eastAsiaTheme="majorEastAsia" w:hAnsi="Century Gothic" w:cstheme="majorBidi"/>
                <w:sz w:val="24"/>
                <w:szCs w:val="24"/>
              </w:rPr>
            </w:pPr>
            <w:r w:rsidRPr="004C5A86">
              <w:rPr>
                <w:rFonts w:ascii="Century Gothic" w:eastAsiaTheme="majorEastAsia" w:hAnsi="Century Gothic" w:cstheme="majorBidi"/>
                <w:b/>
                <w:color w:val="FFFFFF" w:themeColor="background1"/>
                <w:sz w:val="24"/>
                <w:szCs w:val="24"/>
              </w:rPr>
              <w:t>RECOMENDACIONES</w:t>
            </w:r>
          </w:p>
        </w:tc>
      </w:tr>
      <w:tr w:rsidR="002F1D5D" w:rsidRPr="004C5A86" w14:paraId="1F2EE139" w14:textId="77777777" w:rsidTr="00FF4038">
        <w:trPr>
          <w:trHeight w:val="656"/>
        </w:trPr>
        <w:tc>
          <w:tcPr>
            <w:tcW w:w="4414" w:type="dxa"/>
            <w:vAlign w:val="center"/>
          </w:tcPr>
          <w:p w14:paraId="11377A3A" w14:textId="77777777" w:rsidR="002F1D5D" w:rsidRPr="004C5A86" w:rsidRDefault="002F1D5D" w:rsidP="00FF4038">
            <w:pPr>
              <w:spacing w:after="120" w:line="276" w:lineRule="auto"/>
              <w:jc w:val="both"/>
              <w:rPr>
                <w:rFonts w:ascii="Century Gothic" w:eastAsiaTheme="majorEastAsia" w:hAnsi="Century Gothic" w:cstheme="majorBidi"/>
                <w:b/>
                <w:color w:val="FFFFFF" w:themeColor="background1"/>
                <w:sz w:val="24"/>
                <w:szCs w:val="24"/>
              </w:rPr>
            </w:pPr>
            <w:r w:rsidRPr="004C5A86">
              <w:rPr>
                <w:rFonts w:ascii="Century Gothic" w:hAnsi="Century Gothic"/>
                <w:sz w:val="24"/>
                <w:szCs w:val="24"/>
              </w:rPr>
              <w:t>Sinergia entre otras dependencias y niveles de gobierno, que operan programas con el mismo objeto.</w:t>
            </w:r>
          </w:p>
        </w:tc>
        <w:tc>
          <w:tcPr>
            <w:tcW w:w="4414" w:type="dxa"/>
            <w:vAlign w:val="center"/>
          </w:tcPr>
          <w:p w14:paraId="1858BBF2" w14:textId="77777777" w:rsidR="002F1D5D" w:rsidRPr="004C5A86" w:rsidRDefault="002F1D5D" w:rsidP="00FF4038">
            <w:pPr>
              <w:spacing w:after="120" w:line="276" w:lineRule="auto"/>
              <w:jc w:val="both"/>
              <w:rPr>
                <w:rFonts w:ascii="Century Gothic" w:eastAsiaTheme="majorEastAsia" w:hAnsi="Century Gothic" w:cstheme="majorBidi"/>
                <w:b/>
                <w:color w:val="FFFFFF" w:themeColor="background1"/>
                <w:sz w:val="24"/>
                <w:szCs w:val="24"/>
              </w:rPr>
            </w:pPr>
            <w:r w:rsidRPr="004C5A86">
              <w:rPr>
                <w:rFonts w:ascii="Century Gothic" w:hAnsi="Century Gothic"/>
                <w:sz w:val="24"/>
                <w:szCs w:val="24"/>
              </w:rPr>
              <w:t>Fortalecer la comunicación con otras dependencias en todos los niveles de gobierno para crear sinergias que permitan desarrollar o mejorar la infraestructura no habitacional, a través de nuevos y/o fortalecimiento de proyectos.</w:t>
            </w:r>
          </w:p>
        </w:tc>
      </w:tr>
      <w:tr w:rsidR="002F1D5D" w:rsidRPr="004C5A86" w14:paraId="097695E2" w14:textId="77777777" w:rsidTr="00FF4038">
        <w:trPr>
          <w:trHeight w:val="656"/>
        </w:trPr>
        <w:tc>
          <w:tcPr>
            <w:tcW w:w="4414" w:type="dxa"/>
            <w:vAlign w:val="center"/>
          </w:tcPr>
          <w:p w14:paraId="648304EC" w14:textId="77777777" w:rsidR="002F1D5D" w:rsidRPr="004C5A86" w:rsidRDefault="002F1D5D" w:rsidP="00FF4038">
            <w:pPr>
              <w:spacing w:after="120" w:line="276" w:lineRule="auto"/>
              <w:jc w:val="both"/>
              <w:rPr>
                <w:rFonts w:ascii="Century Gothic" w:hAnsi="Century Gothic" w:cs="Century Gothic"/>
                <w:sz w:val="24"/>
                <w:szCs w:val="24"/>
              </w:rPr>
            </w:pPr>
            <w:r w:rsidRPr="004C5A86">
              <w:rPr>
                <w:rFonts w:ascii="Century Gothic" w:hAnsi="Century Gothic" w:cs="Century Gothic"/>
                <w:sz w:val="24"/>
                <w:szCs w:val="24"/>
              </w:rPr>
              <w:t>Para consolidar o fortalecer la Infraestructura no habitacional, además de este programa, se pueden aprovechar específicamente los recursos otorgados en otras dependencias, específicamente de</w:t>
            </w:r>
            <w:r w:rsidR="000B5CF1">
              <w:rPr>
                <w:rFonts w:ascii="Century Gothic" w:hAnsi="Century Gothic" w:cs="Century Gothic"/>
                <w:sz w:val="24"/>
                <w:szCs w:val="24"/>
              </w:rPr>
              <w:t xml:space="preserve"> </w:t>
            </w:r>
            <w:r w:rsidRPr="004C5A86">
              <w:rPr>
                <w:rFonts w:ascii="Century Gothic" w:hAnsi="Century Gothic" w:cs="Century Gothic"/>
                <w:sz w:val="24"/>
                <w:szCs w:val="24"/>
              </w:rPr>
              <w:t>la CONADE para el caso de  la infraestructura deportiva y del programa Apoyo a la Infraestructura Cultural de los Estados – PAICE.</w:t>
            </w:r>
          </w:p>
          <w:p w14:paraId="1160BAF0" w14:textId="77777777" w:rsidR="002F1D5D" w:rsidRPr="004C5A86" w:rsidRDefault="002F1D5D" w:rsidP="00FF4038">
            <w:pPr>
              <w:spacing w:after="120" w:line="276" w:lineRule="auto"/>
              <w:jc w:val="both"/>
              <w:rPr>
                <w:rFonts w:ascii="Century Gothic" w:hAnsi="Century Gothic"/>
                <w:sz w:val="24"/>
                <w:szCs w:val="24"/>
              </w:rPr>
            </w:pPr>
          </w:p>
        </w:tc>
        <w:tc>
          <w:tcPr>
            <w:tcW w:w="4414" w:type="dxa"/>
            <w:vAlign w:val="center"/>
          </w:tcPr>
          <w:p w14:paraId="46F03D90" w14:textId="77777777" w:rsidR="002F1D5D" w:rsidRPr="004C5A86" w:rsidRDefault="002F1D5D" w:rsidP="00FF4038">
            <w:pPr>
              <w:spacing w:after="120" w:line="276" w:lineRule="auto"/>
              <w:jc w:val="both"/>
              <w:rPr>
                <w:rFonts w:ascii="Century Gothic" w:hAnsi="Century Gothic"/>
                <w:sz w:val="24"/>
                <w:szCs w:val="24"/>
                <w:lang w:val="es-ES"/>
              </w:rPr>
            </w:pPr>
            <w:r w:rsidRPr="004C5A86">
              <w:rPr>
                <w:rFonts w:ascii="Century Gothic" w:hAnsi="Century Gothic"/>
                <w:sz w:val="24"/>
                <w:szCs w:val="24"/>
                <w:lang w:val="es-ES"/>
              </w:rPr>
              <w:t>Gestionar recursos, o consolidar un convenio con dichas dependencias que permita mayor cobertura de estas obras en el estado.</w:t>
            </w:r>
          </w:p>
        </w:tc>
      </w:tr>
    </w:tbl>
    <w:p w14:paraId="2560A70A" w14:textId="77777777" w:rsidR="002F1D5D" w:rsidRDefault="002F1D5D" w:rsidP="002F1D5D">
      <w:pPr>
        <w:rPr>
          <w:lang w:eastAsia="es-ES_tradnl"/>
        </w:rPr>
      </w:pPr>
    </w:p>
    <w:tbl>
      <w:tblPr>
        <w:tblStyle w:val="Tablaconcuadrcula"/>
        <w:tblW w:w="0" w:type="auto"/>
        <w:tblLook w:val="04A0" w:firstRow="1" w:lastRow="0" w:firstColumn="1" w:lastColumn="0" w:noHBand="0" w:noVBand="1"/>
      </w:tblPr>
      <w:tblGrid>
        <w:gridCol w:w="4414"/>
        <w:gridCol w:w="4414"/>
      </w:tblGrid>
      <w:tr w:rsidR="002F1D5D" w:rsidRPr="004C5A86" w14:paraId="40A81944" w14:textId="77777777" w:rsidTr="00FF4038">
        <w:trPr>
          <w:trHeight w:val="656"/>
        </w:trPr>
        <w:tc>
          <w:tcPr>
            <w:tcW w:w="4414" w:type="dxa"/>
            <w:shd w:val="clear" w:color="auto" w:fill="0C4E79"/>
            <w:vAlign w:val="center"/>
          </w:tcPr>
          <w:p w14:paraId="07F4FD5B" w14:textId="77777777" w:rsidR="002F1D5D" w:rsidRPr="004C5A86" w:rsidRDefault="002F1D5D" w:rsidP="00FF4038">
            <w:pPr>
              <w:spacing w:after="120" w:line="276" w:lineRule="auto"/>
              <w:jc w:val="center"/>
              <w:rPr>
                <w:rFonts w:ascii="Century Gothic" w:eastAsiaTheme="majorEastAsia" w:hAnsi="Century Gothic" w:cstheme="majorBidi"/>
                <w:sz w:val="24"/>
                <w:szCs w:val="24"/>
              </w:rPr>
            </w:pPr>
            <w:r w:rsidRPr="004C5A86">
              <w:rPr>
                <w:rFonts w:ascii="Century Gothic" w:eastAsiaTheme="majorEastAsia" w:hAnsi="Century Gothic" w:cstheme="majorBidi"/>
                <w:b/>
                <w:color w:val="FFFFFF" w:themeColor="background1"/>
                <w:sz w:val="24"/>
                <w:szCs w:val="24"/>
              </w:rPr>
              <w:t>AMENAZAS</w:t>
            </w:r>
          </w:p>
        </w:tc>
        <w:tc>
          <w:tcPr>
            <w:tcW w:w="4414" w:type="dxa"/>
            <w:shd w:val="clear" w:color="auto" w:fill="0C4E79"/>
            <w:vAlign w:val="center"/>
          </w:tcPr>
          <w:p w14:paraId="5CA853EA" w14:textId="77777777" w:rsidR="002F1D5D" w:rsidRPr="004C5A86" w:rsidRDefault="002F1D5D" w:rsidP="00FF4038">
            <w:pPr>
              <w:spacing w:after="120" w:line="276" w:lineRule="auto"/>
              <w:jc w:val="center"/>
              <w:rPr>
                <w:rFonts w:ascii="Century Gothic" w:eastAsiaTheme="majorEastAsia" w:hAnsi="Century Gothic" w:cstheme="majorBidi"/>
                <w:b/>
                <w:color w:val="FFFFFF" w:themeColor="background1"/>
                <w:sz w:val="24"/>
                <w:szCs w:val="24"/>
              </w:rPr>
            </w:pPr>
            <w:r w:rsidRPr="004C5A86">
              <w:rPr>
                <w:rFonts w:ascii="Century Gothic" w:eastAsiaTheme="majorEastAsia" w:hAnsi="Century Gothic" w:cstheme="majorBidi"/>
                <w:b/>
                <w:color w:val="FFFFFF" w:themeColor="background1"/>
                <w:sz w:val="24"/>
                <w:szCs w:val="24"/>
              </w:rPr>
              <w:t>RECOMENDACIONES</w:t>
            </w:r>
          </w:p>
        </w:tc>
      </w:tr>
      <w:tr w:rsidR="002F1D5D" w:rsidRPr="004C5A86" w14:paraId="0FC520EA" w14:textId="77777777" w:rsidTr="00FF4038">
        <w:trPr>
          <w:trHeight w:val="656"/>
        </w:trPr>
        <w:tc>
          <w:tcPr>
            <w:tcW w:w="4414" w:type="dxa"/>
            <w:vAlign w:val="center"/>
          </w:tcPr>
          <w:p w14:paraId="0BDE16B4" w14:textId="77777777" w:rsidR="002F1D5D" w:rsidRPr="004C5A86" w:rsidRDefault="002F1D5D" w:rsidP="00FF4038">
            <w:pPr>
              <w:spacing w:after="120" w:line="276" w:lineRule="auto"/>
              <w:jc w:val="both"/>
              <w:rPr>
                <w:rFonts w:ascii="Century Gothic" w:hAnsi="Century Gothic"/>
                <w:sz w:val="24"/>
                <w:szCs w:val="24"/>
              </w:rPr>
            </w:pPr>
            <w:r w:rsidRPr="004C5A86">
              <w:rPr>
                <w:rFonts w:ascii="Century Gothic" w:hAnsi="Century Gothic"/>
                <w:sz w:val="24"/>
                <w:szCs w:val="24"/>
              </w:rPr>
              <w:t xml:space="preserve">Que el programa no cuente con un diagnóstico preciso y una estrategia de focalización y cobertura puede ser motivo de reducciones presupuestales.  </w:t>
            </w:r>
          </w:p>
        </w:tc>
        <w:tc>
          <w:tcPr>
            <w:tcW w:w="4414" w:type="dxa"/>
            <w:vAlign w:val="center"/>
          </w:tcPr>
          <w:p w14:paraId="6219B86D" w14:textId="77777777" w:rsidR="002F1D5D" w:rsidRPr="004C5A86" w:rsidRDefault="002F1D5D" w:rsidP="00FF4038">
            <w:pPr>
              <w:spacing w:after="120" w:line="276" w:lineRule="auto"/>
              <w:jc w:val="both"/>
              <w:rPr>
                <w:rFonts w:ascii="Century Gothic" w:hAnsi="Century Gothic"/>
                <w:sz w:val="24"/>
                <w:szCs w:val="24"/>
              </w:rPr>
            </w:pPr>
            <w:r w:rsidRPr="004C5A86">
              <w:rPr>
                <w:rFonts w:ascii="Century Gothic" w:hAnsi="Century Gothic"/>
                <w:sz w:val="24"/>
                <w:szCs w:val="24"/>
              </w:rPr>
              <w:t>Establecer un diagnóstico de manera adecuada que permita definir estrategias de focalización y cobertura adecuadas.</w:t>
            </w:r>
          </w:p>
        </w:tc>
      </w:tr>
    </w:tbl>
    <w:p w14:paraId="188C7964" w14:textId="77777777" w:rsidR="002F1D5D" w:rsidRPr="002F1D5D" w:rsidRDefault="002F1D5D" w:rsidP="002F1D5D">
      <w:pPr>
        <w:rPr>
          <w:lang w:eastAsia="es-ES_tradnl"/>
        </w:rPr>
      </w:pPr>
    </w:p>
    <w:p w14:paraId="6019B6A3" w14:textId="77777777" w:rsidR="00F36F67" w:rsidRDefault="00F36F67">
      <w:pPr>
        <w:rPr>
          <w:rFonts w:ascii="Century Gothic" w:eastAsiaTheme="majorEastAsia" w:hAnsi="Century Gothic" w:cstheme="majorBidi"/>
          <w:b/>
          <w:color w:val="0E4E7A"/>
          <w:sz w:val="32"/>
          <w:szCs w:val="32"/>
        </w:rPr>
      </w:pPr>
      <w:bookmarkStart w:id="72" w:name="_Toc505364448"/>
      <w:r>
        <w:rPr>
          <w:rFonts w:ascii="Century Gothic" w:hAnsi="Century Gothic"/>
          <w:b/>
          <w:color w:val="0E4E7A"/>
        </w:rPr>
        <w:br w:type="page"/>
      </w:r>
    </w:p>
    <w:p w14:paraId="558065BA" w14:textId="77777777" w:rsidR="00F21168" w:rsidRPr="000C68A1" w:rsidRDefault="00F36F67" w:rsidP="002C0D8D">
      <w:pPr>
        <w:pStyle w:val="Ttulo1"/>
        <w:spacing w:before="0" w:after="240"/>
        <w:rPr>
          <w:rFonts w:ascii="Century Gothic" w:hAnsi="Century Gothic"/>
          <w:b/>
          <w:color w:val="0E4E7A"/>
        </w:rPr>
      </w:pPr>
      <w:bookmarkStart w:id="73" w:name="_Toc511859799"/>
      <w:r>
        <w:rPr>
          <w:rFonts w:ascii="Century Gothic" w:hAnsi="Century Gothic"/>
          <w:b/>
          <w:color w:val="0E4E7A"/>
        </w:rPr>
        <w:lastRenderedPageBreak/>
        <w:t>4</w:t>
      </w:r>
      <w:r w:rsidR="009B116D" w:rsidRPr="000C68A1">
        <w:rPr>
          <w:rFonts w:ascii="Century Gothic" w:hAnsi="Century Gothic"/>
          <w:b/>
          <w:color w:val="0E4E7A"/>
        </w:rPr>
        <w:t xml:space="preserve">. </w:t>
      </w:r>
      <w:r w:rsidR="000C68A1" w:rsidRPr="000C68A1">
        <w:rPr>
          <w:rFonts w:ascii="Century Gothic" w:hAnsi="Century Gothic"/>
          <w:b/>
          <w:color w:val="0E4E7A"/>
        </w:rPr>
        <w:t>Conclusiones</w:t>
      </w:r>
      <w:bookmarkEnd w:id="72"/>
      <w:bookmarkEnd w:id="73"/>
      <w:r w:rsidR="00F21168" w:rsidRPr="000C68A1">
        <w:rPr>
          <w:rFonts w:ascii="Century Gothic" w:hAnsi="Century Gothic"/>
          <w:b/>
          <w:color w:val="0E4E7A"/>
        </w:rPr>
        <w:t xml:space="preserve"> </w:t>
      </w:r>
    </w:p>
    <w:p w14:paraId="39CB7A98" w14:textId="77777777" w:rsidR="002C0D8D" w:rsidRDefault="002C0D8D" w:rsidP="002C0D8D">
      <w:pPr>
        <w:spacing w:after="240"/>
        <w:jc w:val="both"/>
        <w:rPr>
          <w:rFonts w:ascii="Century Gothic" w:hAnsi="Century Gothic"/>
          <w:sz w:val="24"/>
          <w:szCs w:val="24"/>
        </w:rPr>
      </w:pPr>
      <w:r w:rsidRPr="003668F1">
        <w:rPr>
          <w:rFonts w:ascii="Century Gothic" w:hAnsi="Century Gothic"/>
          <w:sz w:val="24"/>
          <w:szCs w:val="24"/>
        </w:rPr>
        <w:t xml:space="preserve">En este documento se muestra la utilidad fundamental de los ejercicios de evaluación que, actualmente, son normas que deben regular a todos los niveles de la función pública. </w:t>
      </w:r>
    </w:p>
    <w:p w14:paraId="4E2AF3E2" w14:textId="77777777" w:rsidR="002C0D8D" w:rsidRDefault="002C0D8D" w:rsidP="002C0D8D">
      <w:pPr>
        <w:spacing w:after="240"/>
        <w:jc w:val="both"/>
        <w:rPr>
          <w:rFonts w:ascii="Century Gothic" w:hAnsi="Century Gothic"/>
          <w:sz w:val="24"/>
          <w:szCs w:val="24"/>
        </w:rPr>
      </w:pPr>
      <w:r w:rsidRPr="003668F1">
        <w:rPr>
          <w:rFonts w:ascii="Century Gothic" w:hAnsi="Century Gothic"/>
          <w:sz w:val="24"/>
          <w:szCs w:val="24"/>
        </w:rPr>
        <w:t>Es importante destacar el compromiso del Gobierno del Estado de Colima, que por medio de la Dirección G</w:t>
      </w:r>
      <w:r>
        <w:rPr>
          <w:rFonts w:ascii="Century Gothic" w:hAnsi="Century Gothic"/>
          <w:sz w:val="24"/>
          <w:szCs w:val="24"/>
        </w:rPr>
        <w:t>e</w:t>
      </w:r>
      <w:r w:rsidRPr="003668F1">
        <w:rPr>
          <w:rFonts w:ascii="Century Gothic" w:hAnsi="Century Gothic"/>
          <w:sz w:val="24"/>
          <w:szCs w:val="24"/>
        </w:rPr>
        <w:t xml:space="preserve">neral </w:t>
      </w:r>
      <w:r>
        <w:rPr>
          <w:rFonts w:ascii="Century Gothic" w:hAnsi="Century Gothic"/>
          <w:sz w:val="24"/>
          <w:szCs w:val="24"/>
        </w:rPr>
        <w:t>de la Secretaría de Planeación y Finanzas</w:t>
      </w:r>
      <w:r w:rsidRPr="003668F1">
        <w:rPr>
          <w:rFonts w:ascii="Century Gothic" w:hAnsi="Century Gothic"/>
          <w:sz w:val="24"/>
          <w:szCs w:val="24"/>
        </w:rPr>
        <w:t xml:space="preserve"> </w:t>
      </w:r>
      <w:r>
        <w:rPr>
          <w:rFonts w:ascii="Century Gothic" w:hAnsi="Century Gothic"/>
          <w:sz w:val="24"/>
          <w:szCs w:val="24"/>
        </w:rPr>
        <w:t>asumió</w:t>
      </w:r>
      <w:r w:rsidRPr="003668F1">
        <w:rPr>
          <w:rFonts w:ascii="Century Gothic" w:hAnsi="Century Gothic"/>
          <w:sz w:val="24"/>
          <w:szCs w:val="24"/>
        </w:rPr>
        <w:t xml:space="preserve"> la responsabilidad de evaluar el ejercicio gubernamental, a partir de la evaluación de Consistencia y Resultados, al Fondo “Fondo para el Fortalecimiento de las Entidades Federativas (FAFEF).” a través del programa presupuestario: Infraestructura no Habitacional, para el ejercicio fiscal 2017</w:t>
      </w:r>
      <w:r>
        <w:rPr>
          <w:rFonts w:ascii="Century Gothic" w:hAnsi="Century Gothic"/>
          <w:sz w:val="24"/>
          <w:szCs w:val="24"/>
        </w:rPr>
        <w:t>.</w:t>
      </w:r>
    </w:p>
    <w:p w14:paraId="60DAF6B2" w14:textId="77777777" w:rsidR="002C0D8D" w:rsidRDefault="002C0D8D" w:rsidP="002C0D8D">
      <w:pPr>
        <w:spacing w:after="240"/>
        <w:jc w:val="both"/>
        <w:rPr>
          <w:rFonts w:ascii="Century Gothic" w:hAnsi="Century Gothic" w:cs="Arial"/>
          <w:bCs/>
          <w:sz w:val="24"/>
          <w:szCs w:val="24"/>
        </w:rPr>
      </w:pPr>
      <w:r>
        <w:rPr>
          <w:rFonts w:ascii="Century Gothic" w:hAnsi="Century Gothic" w:cs="Arial"/>
          <w:bCs/>
          <w:sz w:val="24"/>
          <w:szCs w:val="24"/>
        </w:rPr>
        <w:t>Así, l</w:t>
      </w:r>
      <w:r w:rsidRPr="00BB7592">
        <w:rPr>
          <w:rFonts w:ascii="Century Gothic" w:hAnsi="Century Gothic" w:cs="Arial"/>
          <w:bCs/>
          <w:sz w:val="24"/>
          <w:szCs w:val="24"/>
        </w:rPr>
        <w:t>os recursos del FAFEF se constituyeron como aportaciones federales que la Federación transfirió a las haciendas públicas de los estados y del</w:t>
      </w:r>
      <w:r>
        <w:rPr>
          <w:rFonts w:ascii="Century Gothic" w:hAnsi="Century Gothic" w:cs="Arial"/>
          <w:bCs/>
          <w:sz w:val="24"/>
          <w:szCs w:val="24"/>
        </w:rPr>
        <w:t xml:space="preserve"> </w:t>
      </w:r>
      <w:r w:rsidRPr="00BB7592">
        <w:rPr>
          <w:rFonts w:ascii="Century Gothic" w:hAnsi="Century Gothic" w:cs="Arial"/>
          <w:bCs/>
          <w:sz w:val="24"/>
          <w:szCs w:val="24"/>
        </w:rPr>
        <w:t>Distrito Federal</w:t>
      </w:r>
      <w:r>
        <w:rPr>
          <w:rFonts w:ascii="Century Gothic" w:hAnsi="Century Gothic" w:cs="Arial"/>
          <w:bCs/>
          <w:sz w:val="24"/>
          <w:szCs w:val="24"/>
        </w:rPr>
        <w:t>, para que estos las ejerzan, esto condicionado al cumplimiento de la normatividad que en este caso es la LCF en su artículo 47.</w:t>
      </w:r>
    </w:p>
    <w:p w14:paraId="4B370373" w14:textId="77777777" w:rsidR="002C0D8D" w:rsidRDefault="002C0D8D" w:rsidP="002C0D8D">
      <w:pPr>
        <w:spacing w:after="240"/>
        <w:jc w:val="both"/>
        <w:rPr>
          <w:rFonts w:ascii="Century Gothic" w:hAnsi="Century Gothic" w:cs="Arial"/>
          <w:bCs/>
          <w:sz w:val="24"/>
          <w:szCs w:val="24"/>
        </w:rPr>
      </w:pPr>
      <w:r>
        <w:rPr>
          <w:rFonts w:ascii="Century Gothic" w:hAnsi="Century Gothic" w:cs="Arial"/>
          <w:bCs/>
          <w:sz w:val="24"/>
          <w:szCs w:val="24"/>
        </w:rPr>
        <w:t>La evaluación constó de dos apartados específicos, por un lado el análisis de la inversión de los recursos del FAFEF en obras de infraestructura por parte de la SEIDUR; y por otro lado el análisis de consistencia y resultados del programa presupuestario Infraestructura no habitacional” financiado con dicho fondo.</w:t>
      </w:r>
    </w:p>
    <w:p w14:paraId="188C2520" w14:textId="77777777" w:rsidR="002C0D8D" w:rsidRDefault="002C0D8D" w:rsidP="002C0D8D">
      <w:pPr>
        <w:spacing w:after="240"/>
        <w:jc w:val="both"/>
        <w:rPr>
          <w:rFonts w:ascii="Century Gothic" w:hAnsi="Century Gothic" w:cs="Arial"/>
          <w:bCs/>
          <w:sz w:val="24"/>
          <w:szCs w:val="24"/>
        </w:rPr>
      </w:pPr>
      <w:r>
        <w:rPr>
          <w:rFonts w:ascii="Century Gothic" w:hAnsi="Century Gothic" w:cs="Arial"/>
          <w:bCs/>
          <w:sz w:val="24"/>
          <w:szCs w:val="24"/>
        </w:rPr>
        <w:t xml:space="preserve">En cuanto al análisis de la inversión del FAFEF uno de los rubros en que se puede ejercer los recursos es en </w:t>
      </w:r>
      <w:r w:rsidRPr="005D2B67">
        <w:rPr>
          <w:rFonts w:ascii="Century Gothic" w:hAnsi="Century Gothic" w:cs="Arial"/>
          <w:b/>
          <w:bCs/>
          <w:sz w:val="24"/>
          <w:szCs w:val="24"/>
        </w:rPr>
        <w:t>infraestructura física</w:t>
      </w:r>
      <w:r>
        <w:rPr>
          <w:rFonts w:ascii="Century Gothic" w:hAnsi="Century Gothic" w:cs="Arial"/>
          <w:b/>
          <w:bCs/>
          <w:sz w:val="24"/>
          <w:szCs w:val="24"/>
        </w:rPr>
        <w:t xml:space="preserve">, </w:t>
      </w:r>
      <w:r>
        <w:rPr>
          <w:rFonts w:ascii="Century Gothic" w:hAnsi="Century Gothic" w:cs="Arial"/>
          <w:bCs/>
          <w:sz w:val="24"/>
          <w:szCs w:val="24"/>
        </w:rPr>
        <w:t>ante ello el gobierno del estado de Colima  por medio de la SEIDUR opera parte de estos recursos enfocados a infraestructura no habitacional. Para el año 2017 la inversión fue por fue por $2</w:t>
      </w:r>
      <w:r w:rsidRPr="00B82E36">
        <w:rPr>
          <w:rFonts w:ascii="Century Gothic" w:hAnsi="Century Gothic" w:cs="Arial"/>
          <w:bCs/>
          <w:sz w:val="24"/>
          <w:szCs w:val="24"/>
        </w:rPr>
        <w:t>1,499,988.82</w:t>
      </w:r>
      <w:r>
        <w:rPr>
          <w:rFonts w:ascii="Century Gothic" w:hAnsi="Century Gothic" w:cs="Arial"/>
          <w:bCs/>
          <w:sz w:val="24"/>
          <w:szCs w:val="24"/>
        </w:rPr>
        <w:t>, para la modernización de una unidad deportiva. Esta obra surge como parte del compromiso del gobierno estatal con el “</w:t>
      </w:r>
      <w:r w:rsidRPr="00DE7C17">
        <w:rPr>
          <w:rFonts w:ascii="Century Gothic" w:hAnsi="Century Gothic" w:cs="Arial"/>
          <w:b/>
          <w:bCs/>
          <w:sz w:val="24"/>
          <w:szCs w:val="24"/>
        </w:rPr>
        <w:t>deporte como un pilar del desarrollo</w:t>
      </w:r>
      <w:r>
        <w:rPr>
          <w:rFonts w:ascii="Century Gothic" w:hAnsi="Century Gothic" w:cs="Arial"/>
          <w:bCs/>
          <w:sz w:val="24"/>
          <w:szCs w:val="24"/>
        </w:rPr>
        <w:t>”.</w:t>
      </w:r>
    </w:p>
    <w:p w14:paraId="53790801" w14:textId="77777777" w:rsidR="002C0D8D" w:rsidRDefault="002C0D8D" w:rsidP="002C0D8D">
      <w:pPr>
        <w:spacing w:after="240"/>
        <w:jc w:val="both"/>
        <w:rPr>
          <w:rFonts w:ascii="Century Gothic" w:hAnsi="Century Gothic" w:cs="Arial"/>
          <w:bCs/>
          <w:sz w:val="24"/>
          <w:szCs w:val="24"/>
        </w:rPr>
      </w:pPr>
      <w:r>
        <w:rPr>
          <w:rFonts w:ascii="Century Gothic" w:hAnsi="Century Gothic" w:cs="Arial"/>
          <w:bCs/>
          <w:sz w:val="24"/>
          <w:szCs w:val="24"/>
        </w:rPr>
        <w:t xml:space="preserve">En cuanto al cumplimiento normativo por el uso de los recursos, este tipo de obra está contemplada en lo que estipula la LCF es su artículo 47, en el numeral </w:t>
      </w:r>
      <w:r w:rsidRPr="005D2B67">
        <w:rPr>
          <w:rFonts w:ascii="Century Gothic" w:hAnsi="Century Gothic" w:cs="Arial"/>
          <w:bCs/>
          <w:sz w:val="24"/>
          <w:szCs w:val="24"/>
        </w:rPr>
        <w:t xml:space="preserve">I. </w:t>
      </w:r>
      <w:r>
        <w:rPr>
          <w:rFonts w:ascii="Century Gothic" w:hAnsi="Century Gothic" w:cs="Arial"/>
          <w:bCs/>
          <w:sz w:val="24"/>
          <w:szCs w:val="24"/>
        </w:rPr>
        <w:t>“</w:t>
      </w:r>
      <w:r w:rsidRPr="005D2B67">
        <w:rPr>
          <w:rFonts w:ascii="Century Gothic" w:hAnsi="Century Gothic" w:cs="Arial"/>
          <w:bCs/>
          <w:sz w:val="24"/>
          <w:szCs w:val="24"/>
        </w:rPr>
        <w:t xml:space="preserve">A la </w:t>
      </w:r>
      <w:r w:rsidRPr="005D2B67">
        <w:rPr>
          <w:rFonts w:ascii="Century Gothic" w:hAnsi="Century Gothic" w:cs="Arial"/>
          <w:b/>
          <w:bCs/>
          <w:sz w:val="24"/>
          <w:szCs w:val="24"/>
        </w:rPr>
        <w:t>inversión en infraestructura física</w:t>
      </w:r>
      <w:r w:rsidRPr="005D2B67">
        <w:rPr>
          <w:rFonts w:ascii="Century Gothic" w:hAnsi="Century Gothic" w:cs="Arial"/>
          <w:bCs/>
          <w:sz w:val="24"/>
          <w:szCs w:val="24"/>
        </w:rPr>
        <w:t>, incluyendo la construcción, reconstrucción,</w:t>
      </w:r>
      <w:r>
        <w:rPr>
          <w:rFonts w:ascii="Century Gothic" w:hAnsi="Century Gothic" w:cs="Arial"/>
          <w:bCs/>
          <w:sz w:val="24"/>
          <w:szCs w:val="24"/>
        </w:rPr>
        <w:t xml:space="preserve"> </w:t>
      </w:r>
      <w:r w:rsidRPr="005D2B67">
        <w:rPr>
          <w:rFonts w:ascii="Century Gothic" w:hAnsi="Century Gothic" w:cs="Arial"/>
          <w:bCs/>
          <w:sz w:val="24"/>
          <w:szCs w:val="24"/>
        </w:rPr>
        <w:t>ampliación, mantenimiento y conservación de infraestructura</w:t>
      </w:r>
      <w:r>
        <w:rPr>
          <w:rFonts w:ascii="Century Gothic" w:hAnsi="Century Gothic" w:cs="Arial"/>
          <w:bCs/>
          <w:sz w:val="24"/>
          <w:szCs w:val="24"/>
        </w:rPr>
        <w:t>”, por tanto</w:t>
      </w:r>
      <w:r w:rsidRPr="00AA5DFF">
        <w:rPr>
          <w:rFonts w:ascii="Century Gothic" w:hAnsi="Century Gothic" w:cs="Arial"/>
          <w:b/>
          <w:bCs/>
          <w:sz w:val="24"/>
          <w:szCs w:val="24"/>
        </w:rPr>
        <w:t xml:space="preserve"> su inversión es pertinente.</w:t>
      </w:r>
    </w:p>
    <w:p w14:paraId="6534DDDC" w14:textId="77777777" w:rsidR="002C0D8D" w:rsidRDefault="002C0D8D" w:rsidP="002C0D8D">
      <w:pPr>
        <w:spacing w:after="240"/>
        <w:jc w:val="both"/>
        <w:rPr>
          <w:rFonts w:ascii="Century Gothic" w:hAnsi="Century Gothic"/>
          <w:sz w:val="24"/>
          <w:szCs w:val="24"/>
          <w:lang w:val="es-ES_tradnl"/>
        </w:rPr>
      </w:pPr>
      <w:r>
        <w:rPr>
          <w:rFonts w:ascii="Century Gothic" w:hAnsi="Century Gothic" w:cs="Arial"/>
          <w:bCs/>
          <w:sz w:val="24"/>
          <w:szCs w:val="24"/>
        </w:rPr>
        <w:lastRenderedPageBreak/>
        <w:t xml:space="preserve">En lo que respecta al análisis del programa presupuestario </w:t>
      </w:r>
      <w:r>
        <w:rPr>
          <w:rFonts w:ascii="Century Gothic" w:hAnsi="Century Gothic"/>
          <w:sz w:val="24"/>
          <w:szCs w:val="24"/>
          <w:lang w:val="es-ES_tradnl"/>
        </w:rPr>
        <w:t>p</w:t>
      </w:r>
      <w:r w:rsidRPr="007D1412">
        <w:rPr>
          <w:rFonts w:ascii="Century Gothic" w:hAnsi="Century Gothic"/>
          <w:sz w:val="24"/>
          <w:szCs w:val="24"/>
          <w:lang w:val="es-ES_tradnl"/>
        </w:rPr>
        <w:t xml:space="preserve">ara el año 2016 la SEIDUR en su estructura programática contaba </w:t>
      </w:r>
      <w:r>
        <w:rPr>
          <w:rFonts w:ascii="Century Gothic" w:hAnsi="Century Gothic"/>
          <w:sz w:val="24"/>
          <w:szCs w:val="24"/>
          <w:lang w:val="es-ES_tradnl"/>
        </w:rPr>
        <w:t>con un só</w:t>
      </w:r>
      <w:r w:rsidRPr="007D1412">
        <w:rPr>
          <w:rFonts w:ascii="Century Gothic" w:hAnsi="Century Gothic"/>
          <w:sz w:val="24"/>
          <w:szCs w:val="24"/>
          <w:lang w:val="es-ES_tradnl"/>
        </w:rPr>
        <w:t>lo programa</w:t>
      </w:r>
      <w:r w:rsidRPr="007D1412">
        <w:rPr>
          <w:rFonts w:ascii="Century Gothic" w:hAnsi="Century Gothic"/>
          <w:sz w:val="24"/>
          <w:szCs w:val="24"/>
        </w:rPr>
        <w:t xml:space="preserve">, </w:t>
      </w:r>
      <w:r w:rsidRPr="007D1412">
        <w:rPr>
          <w:rFonts w:ascii="Century Gothic" w:hAnsi="Century Gothic"/>
          <w:sz w:val="24"/>
          <w:szCs w:val="24"/>
          <w:lang w:val="es-ES_tradnl"/>
        </w:rPr>
        <w:t xml:space="preserve">para 2017 esto se restructuro y se desarrollaron ocho programas, de los cuales seis están </w:t>
      </w:r>
      <w:r>
        <w:rPr>
          <w:rFonts w:ascii="Century Gothic" w:hAnsi="Century Gothic"/>
          <w:sz w:val="24"/>
          <w:szCs w:val="24"/>
          <w:lang w:val="es-ES_tradnl"/>
        </w:rPr>
        <w:t>enfocados a infraestructura y uno de ellos fue objeto de esta evaluación: “</w:t>
      </w:r>
      <w:r w:rsidRPr="00D50EC8">
        <w:rPr>
          <w:rFonts w:ascii="Century Gothic" w:hAnsi="Century Gothic"/>
          <w:b/>
          <w:sz w:val="24"/>
          <w:szCs w:val="24"/>
          <w:lang w:val="es-ES_tradnl"/>
        </w:rPr>
        <w:t>Infraestructura no Habitacional</w:t>
      </w:r>
      <w:r>
        <w:rPr>
          <w:rFonts w:ascii="Century Gothic" w:hAnsi="Century Gothic"/>
          <w:sz w:val="24"/>
          <w:szCs w:val="24"/>
          <w:lang w:val="es-ES_tradnl"/>
        </w:rPr>
        <w:t>”.</w:t>
      </w:r>
    </w:p>
    <w:p w14:paraId="38303669" w14:textId="77777777" w:rsidR="002C0D8D" w:rsidRDefault="002C0D8D" w:rsidP="002C0D8D">
      <w:pPr>
        <w:spacing w:after="240"/>
        <w:jc w:val="both"/>
        <w:rPr>
          <w:rFonts w:ascii="Century Gothic" w:hAnsi="Century Gothic" w:cs="Arial"/>
          <w:bCs/>
          <w:sz w:val="24"/>
          <w:szCs w:val="24"/>
        </w:rPr>
      </w:pPr>
      <w:r>
        <w:rPr>
          <w:rFonts w:ascii="Century Gothic" w:hAnsi="Century Gothic"/>
          <w:sz w:val="24"/>
          <w:szCs w:val="24"/>
          <w:lang w:val="es-ES_tradnl"/>
        </w:rPr>
        <w:t>Dicho programa tiene como propósito q</w:t>
      </w:r>
      <w:r w:rsidRPr="007D1412">
        <w:rPr>
          <w:rFonts w:ascii="Century Gothic" w:hAnsi="Century Gothic"/>
          <w:sz w:val="24"/>
          <w:szCs w:val="24"/>
          <w:lang w:val="es-ES_tradnl"/>
        </w:rPr>
        <w:t xml:space="preserve">ue la </w:t>
      </w:r>
      <w:r>
        <w:rPr>
          <w:rFonts w:ascii="Century Gothic" w:hAnsi="Century Gothic"/>
          <w:sz w:val="24"/>
          <w:szCs w:val="24"/>
          <w:lang w:val="es-ES_tradnl"/>
        </w:rPr>
        <w:t>“</w:t>
      </w:r>
      <w:r w:rsidRPr="007D1412">
        <w:rPr>
          <w:rFonts w:ascii="Century Gothic" w:hAnsi="Century Gothic"/>
          <w:sz w:val="24"/>
          <w:szCs w:val="24"/>
          <w:lang w:val="es-ES_tradnl"/>
        </w:rPr>
        <w:t>población cuente con mayor y mejor infraestructura necesaria para recibir los servicios públicos necesarios para el desarrollo y la convivencia en el estado</w:t>
      </w:r>
      <w:r>
        <w:rPr>
          <w:rFonts w:ascii="Century Gothic" w:hAnsi="Century Gothic"/>
          <w:sz w:val="24"/>
          <w:szCs w:val="24"/>
          <w:lang w:val="es-ES_tradnl"/>
        </w:rPr>
        <w:t>”.</w:t>
      </w:r>
    </w:p>
    <w:p w14:paraId="2CA42CCB" w14:textId="77777777" w:rsidR="002C0D8D" w:rsidRDefault="002C0D8D" w:rsidP="002C0D8D">
      <w:pPr>
        <w:spacing w:after="240"/>
        <w:jc w:val="both"/>
        <w:rPr>
          <w:rFonts w:ascii="Century Gothic" w:hAnsi="Century Gothic"/>
          <w:sz w:val="24"/>
          <w:szCs w:val="24"/>
          <w:lang w:val="es-ES_tradnl"/>
        </w:rPr>
      </w:pPr>
      <w:r>
        <w:rPr>
          <w:rFonts w:ascii="Century Gothic" w:hAnsi="Century Gothic"/>
          <w:sz w:val="24"/>
          <w:szCs w:val="24"/>
          <w:lang w:val="es-ES_tradnl"/>
        </w:rPr>
        <w:t xml:space="preserve">Para el año 2017, el presupuesto autorizado fue de </w:t>
      </w:r>
      <w:r w:rsidRPr="007E58C2">
        <w:rPr>
          <w:rFonts w:ascii="Century Gothic" w:hAnsi="Century Gothic"/>
          <w:sz w:val="24"/>
          <w:szCs w:val="24"/>
          <w:lang w:val="es-ES_tradnl"/>
        </w:rPr>
        <w:t>$</w:t>
      </w:r>
      <w:r w:rsidRPr="00E57119">
        <w:rPr>
          <w:rFonts w:ascii="Century Gothic" w:hAnsi="Century Gothic"/>
          <w:sz w:val="24"/>
          <w:szCs w:val="24"/>
          <w:lang w:val="es-ES_tradnl"/>
        </w:rPr>
        <w:t>110,496,811.92</w:t>
      </w:r>
      <w:r>
        <w:rPr>
          <w:rFonts w:ascii="Century Gothic" w:hAnsi="Century Gothic"/>
          <w:sz w:val="24"/>
          <w:szCs w:val="24"/>
          <w:lang w:val="es-ES_tradnl"/>
        </w:rPr>
        <w:t xml:space="preserve">, el cual sufrió modificaciones (ampliación) quedando el presupuesto contratado en </w:t>
      </w:r>
      <w:r w:rsidRPr="007E58C2">
        <w:rPr>
          <w:rFonts w:ascii="Century Gothic" w:hAnsi="Century Gothic"/>
          <w:sz w:val="24"/>
          <w:szCs w:val="24"/>
          <w:lang w:val="es-ES_tradnl"/>
        </w:rPr>
        <w:t xml:space="preserve">$ </w:t>
      </w:r>
      <w:r w:rsidRPr="00E57119">
        <w:rPr>
          <w:rFonts w:ascii="Century Gothic" w:hAnsi="Century Gothic"/>
          <w:b/>
          <w:sz w:val="24"/>
          <w:szCs w:val="24"/>
          <w:lang w:val="es-ES_tradnl"/>
        </w:rPr>
        <w:t>122,863,187.57</w:t>
      </w:r>
      <w:r>
        <w:rPr>
          <w:rFonts w:ascii="Century Gothic" w:hAnsi="Century Gothic"/>
          <w:b/>
          <w:sz w:val="24"/>
          <w:szCs w:val="24"/>
          <w:lang w:val="es-ES_tradnl"/>
        </w:rPr>
        <w:t xml:space="preserve">, </w:t>
      </w:r>
      <w:r>
        <w:rPr>
          <w:rFonts w:ascii="Century Gothic" w:hAnsi="Century Gothic"/>
          <w:sz w:val="24"/>
          <w:szCs w:val="24"/>
          <w:lang w:val="es-ES_tradnl"/>
        </w:rPr>
        <w:t>provenientes de distintas fuentes, desde federales, estatales, aportaciones municipales y hasta una donación realizada por la Embajada de Japón.</w:t>
      </w:r>
    </w:p>
    <w:p w14:paraId="315728A3" w14:textId="77777777" w:rsidR="002C0D8D" w:rsidRPr="004673D4" w:rsidRDefault="002C0D8D" w:rsidP="002C0D8D">
      <w:pPr>
        <w:spacing w:after="240"/>
        <w:jc w:val="both"/>
        <w:rPr>
          <w:rFonts w:ascii="Century Gothic" w:hAnsi="Century Gothic"/>
          <w:sz w:val="24"/>
          <w:szCs w:val="24"/>
          <w:lang w:val="es-ES_tradnl"/>
        </w:rPr>
      </w:pPr>
      <w:r>
        <w:rPr>
          <w:rFonts w:ascii="Century Gothic" w:hAnsi="Century Gothic"/>
          <w:sz w:val="24"/>
          <w:szCs w:val="24"/>
          <w:lang w:val="es-ES_tradnl"/>
        </w:rPr>
        <w:t>Los rubros de inversión son diversos, van desde infraestructura deportiva, cultural, de salud, urbanización, hasta la infraestructura de las oficinas o instituciones de gobierno. De estas, se destaca la inversión en infraestructura deportiva, por más de 54 millones, es decir el 44.1% del total de la inversión del programa.</w:t>
      </w:r>
    </w:p>
    <w:p w14:paraId="77BEB43A" w14:textId="77777777" w:rsidR="002C0D8D" w:rsidRDefault="002C0D8D" w:rsidP="002C0D8D">
      <w:pPr>
        <w:spacing w:after="240"/>
        <w:jc w:val="both"/>
        <w:rPr>
          <w:rFonts w:ascii="Century Gothic" w:hAnsi="Century Gothic"/>
          <w:sz w:val="24"/>
          <w:szCs w:val="24"/>
          <w:lang w:val="es-ES_tradnl"/>
        </w:rPr>
      </w:pPr>
      <w:r>
        <w:rPr>
          <w:rFonts w:ascii="Century Gothic" w:hAnsi="Century Gothic"/>
          <w:sz w:val="24"/>
          <w:szCs w:val="24"/>
          <w:lang w:val="es-ES_tradnl"/>
        </w:rPr>
        <w:t>Sin embargo, es importarte recalcar que los productos finales que entrega el programa son diversos y de igual forma el concepto de este es amplio, puede llegar a abarcar todo tipo de obra que no sea encaminada a lo habitacional, lo que puede generar inconvenientes para medir el logro de las acciones de gobierno.</w:t>
      </w:r>
    </w:p>
    <w:p w14:paraId="6A150C0E" w14:textId="77777777" w:rsidR="002C0D8D" w:rsidRPr="003668F1" w:rsidRDefault="002C0D8D" w:rsidP="002C0D8D">
      <w:pPr>
        <w:spacing w:after="240"/>
        <w:jc w:val="both"/>
        <w:rPr>
          <w:rFonts w:ascii="Century Gothic" w:hAnsi="Century Gothic"/>
          <w:sz w:val="24"/>
          <w:szCs w:val="24"/>
        </w:rPr>
      </w:pPr>
      <w:r>
        <w:rPr>
          <w:rFonts w:ascii="Century Gothic" w:hAnsi="Century Gothic"/>
          <w:sz w:val="24"/>
          <w:szCs w:val="24"/>
          <w:lang w:val="es-ES_tradnl"/>
        </w:rPr>
        <w:t xml:space="preserve">Por lo que es importante </w:t>
      </w:r>
      <w:r w:rsidRPr="00A157D2">
        <w:rPr>
          <w:rFonts w:ascii="Century Gothic" w:hAnsi="Century Gothic"/>
          <w:b/>
          <w:sz w:val="24"/>
          <w:szCs w:val="24"/>
        </w:rPr>
        <w:t>realizar una adecuada clasificación de las obras en los programas a los que se relacionan y contribuyen a su logro</w:t>
      </w:r>
      <w:r w:rsidRPr="00A157D2">
        <w:rPr>
          <w:rFonts w:ascii="Century Gothic" w:hAnsi="Century Gothic"/>
          <w:sz w:val="24"/>
          <w:szCs w:val="24"/>
        </w:rPr>
        <w:t>, independientemente de que dependencia ejecute o lleve a cabo la obra.</w:t>
      </w:r>
      <w:r>
        <w:rPr>
          <w:rFonts w:ascii="Century Gothic" w:hAnsi="Century Gothic"/>
          <w:sz w:val="24"/>
          <w:szCs w:val="24"/>
        </w:rPr>
        <w:t xml:space="preserve"> Esto teniendo presente que </w:t>
      </w:r>
      <w:r w:rsidRPr="00A157D2">
        <w:rPr>
          <w:rFonts w:ascii="Century Gothic" w:hAnsi="Century Gothic"/>
          <w:sz w:val="24"/>
          <w:szCs w:val="24"/>
        </w:rPr>
        <w:t xml:space="preserve">los Programas Presupuestarios se convierten en el </w:t>
      </w:r>
      <w:r w:rsidRPr="00A157D2">
        <w:rPr>
          <w:rFonts w:ascii="Century Gothic" w:hAnsi="Century Gothic"/>
          <w:b/>
          <w:sz w:val="24"/>
          <w:szCs w:val="24"/>
        </w:rPr>
        <w:t>medio por los que el gobierno atiende las diferentes problemáticas</w:t>
      </w:r>
      <w:r w:rsidRPr="00A157D2">
        <w:rPr>
          <w:rFonts w:ascii="Century Gothic" w:hAnsi="Century Gothic"/>
          <w:sz w:val="24"/>
          <w:szCs w:val="24"/>
        </w:rPr>
        <w:t xml:space="preserve"> que llegue a presentar</w:t>
      </w:r>
      <w:r>
        <w:rPr>
          <w:rFonts w:ascii="Century Gothic" w:hAnsi="Century Gothic"/>
          <w:sz w:val="24"/>
          <w:szCs w:val="24"/>
        </w:rPr>
        <w:t xml:space="preserve"> </w:t>
      </w:r>
      <w:r w:rsidRPr="00A157D2">
        <w:rPr>
          <w:rFonts w:ascii="Century Gothic" w:hAnsi="Century Gothic"/>
          <w:sz w:val="24"/>
          <w:szCs w:val="24"/>
        </w:rPr>
        <w:t>la sociedad, bien sea que estos respondan a una necesidad, demanda de la población, compromisos específicos de los planes de gobierno o a servicios que por obligación (Constitucional) se deben suministrar a la sociedad.</w:t>
      </w:r>
    </w:p>
    <w:p w14:paraId="447C6002" w14:textId="77777777" w:rsidR="002C0D8D" w:rsidRDefault="002C0D8D" w:rsidP="002C0D8D">
      <w:pPr>
        <w:spacing w:after="240"/>
        <w:jc w:val="both"/>
        <w:rPr>
          <w:rFonts w:ascii="Century Gothic" w:hAnsi="Century Gothic"/>
          <w:sz w:val="24"/>
          <w:szCs w:val="24"/>
        </w:rPr>
      </w:pPr>
      <w:r>
        <w:rPr>
          <w:rFonts w:ascii="Century Gothic" w:hAnsi="Century Gothic"/>
          <w:sz w:val="24"/>
          <w:szCs w:val="24"/>
        </w:rPr>
        <w:t xml:space="preserve">En lo que respecta al diseño del programa se cuenta con elementos relevantes desde el ámbito normativo que justifican su creación y que datan </w:t>
      </w:r>
      <w:r>
        <w:rPr>
          <w:rFonts w:ascii="Century Gothic" w:hAnsi="Century Gothic"/>
          <w:sz w:val="24"/>
          <w:szCs w:val="24"/>
        </w:rPr>
        <w:lastRenderedPageBreak/>
        <w:t>de la obligación e importancia del desarrollo de infraestructura no habitacional adecuada en el estado.</w:t>
      </w:r>
    </w:p>
    <w:p w14:paraId="727C0E48" w14:textId="77777777" w:rsidR="002C0D8D" w:rsidRDefault="002C0D8D" w:rsidP="002C0D8D">
      <w:pPr>
        <w:spacing w:after="240"/>
        <w:jc w:val="both"/>
        <w:rPr>
          <w:rFonts w:ascii="Century Gothic" w:hAnsi="Century Gothic"/>
          <w:sz w:val="24"/>
          <w:szCs w:val="24"/>
        </w:rPr>
      </w:pPr>
      <w:r>
        <w:rPr>
          <w:rFonts w:ascii="Century Gothic" w:hAnsi="Century Gothic"/>
          <w:sz w:val="24"/>
          <w:szCs w:val="24"/>
        </w:rPr>
        <w:t xml:space="preserve">De igual forma </w:t>
      </w:r>
      <w:r w:rsidRPr="009C7E20">
        <w:rPr>
          <w:rFonts w:ascii="Century Gothic" w:hAnsi="Century Gothic"/>
          <w:sz w:val="24"/>
          <w:szCs w:val="24"/>
        </w:rPr>
        <w:t>se identificaron importantes áreas de oportunidad que se sugiere atender</w:t>
      </w:r>
      <w:r>
        <w:rPr>
          <w:rFonts w:ascii="Century Gothic" w:hAnsi="Century Gothic"/>
          <w:sz w:val="24"/>
          <w:szCs w:val="24"/>
        </w:rPr>
        <w:t xml:space="preserve"> </w:t>
      </w:r>
      <w:r w:rsidRPr="009C7E20">
        <w:rPr>
          <w:rFonts w:ascii="Century Gothic" w:hAnsi="Century Gothic"/>
          <w:sz w:val="24"/>
          <w:szCs w:val="24"/>
        </w:rPr>
        <w:t xml:space="preserve">a fin de fortalecer el diseño y elevar la efectividad del Programa. </w:t>
      </w:r>
      <w:r>
        <w:rPr>
          <w:rFonts w:ascii="Century Gothic" w:hAnsi="Century Gothic"/>
          <w:sz w:val="24"/>
          <w:szCs w:val="24"/>
        </w:rPr>
        <w:t>Principalmente</w:t>
      </w:r>
      <w:r w:rsidRPr="009C7E20">
        <w:rPr>
          <w:rFonts w:ascii="Century Gothic" w:hAnsi="Century Gothic"/>
          <w:sz w:val="24"/>
          <w:szCs w:val="24"/>
        </w:rPr>
        <w:t>, en lo que se refiere</w:t>
      </w:r>
      <w:r>
        <w:rPr>
          <w:rFonts w:ascii="Century Gothic" w:hAnsi="Century Gothic"/>
          <w:sz w:val="24"/>
          <w:szCs w:val="24"/>
        </w:rPr>
        <w:t xml:space="preserve"> </w:t>
      </w:r>
      <w:r w:rsidRPr="009C7E20">
        <w:rPr>
          <w:rFonts w:ascii="Century Gothic" w:hAnsi="Century Gothic"/>
          <w:sz w:val="24"/>
          <w:szCs w:val="24"/>
        </w:rPr>
        <w:t>a la identificación, caracterización y cuantificación de las poblaciones potencial y objetivo, situación</w:t>
      </w:r>
      <w:r>
        <w:rPr>
          <w:rFonts w:ascii="Century Gothic" w:hAnsi="Century Gothic"/>
          <w:sz w:val="24"/>
          <w:szCs w:val="24"/>
        </w:rPr>
        <w:t xml:space="preserve"> </w:t>
      </w:r>
      <w:r w:rsidRPr="009C7E20">
        <w:rPr>
          <w:rFonts w:ascii="Century Gothic" w:hAnsi="Century Gothic"/>
          <w:sz w:val="24"/>
          <w:szCs w:val="24"/>
        </w:rPr>
        <w:t>que e</w:t>
      </w:r>
      <w:r>
        <w:rPr>
          <w:rFonts w:ascii="Century Gothic" w:hAnsi="Century Gothic"/>
          <w:sz w:val="24"/>
          <w:szCs w:val="24"/>
        </w:rPr>
        <w:t>s posible solventar a través del desarrollo de un</w:t>
      </w:r>
      <w:r w:rsidRPr="009C7E20">
        <w:rPr>
          <w:rFonts w:ascii="Century Gothic" w:hAnsi="Century Gothic"/>
          <w:sz w:val="24"/>
          <w:szCs w:val="24"/>
        </w:rPr>
        <w:t xml:space="preserve"> diagnóstico</w:t>
      </w:r>
      <w:r>
        <w:rPr>
          <w:rFonts w:ascii="Century Gothic" w:hAnsi="Century Gothic"/>
          <w:sz w:val="24"/>
          <w:szCs w:val="24"/>
        </w:rPr>
        <w:t xml:space="preserve"> de la infraestructura no habitacional en el estado.</w:t>
      </w:r>
    </w:p>
    <w:p w14:paraId="1C3CCD08" w14:textId="77777777" w:rsidR="002C0D8D" w:rsidRDefault="002C0D8D" w:rsidP="002C0D8D">
      <w:pPr>
        <w:spacing w:after="240"/>
        <w:jc w:val="both"/>
        <w:rPr>
          <w:rFonts w:ascii="Century Gothic" w:hAnsi="Century Gothic"/>
          <w:sz w:val="24"/>
          <w:szCs w:val="24"/>
        </w:rPr>
      </w:pPr>
      <w:r>
        <w:rPr>
          <w:rFonts w:ascii="Century Gothic" w:hAnsi="Century Gothic"/>
          <w:sz w:val="24"/>
          <w:szCs w:val="24"/>
        </w:rPr>
        <w:t xml:space="preserve">Siendo esto </w:t>
      </w:r>
      <w:r w:rsidRPr="009C7E20">
        <w:rPr>
          <w:rFonts w:ascii="Century Gothic" w:hAnsi="Century Gothic"/>
          <w:sz w:val="24"/>
          <w:szCs w:val="24"/>
        </w:rPr>
        <w:t>fundamental para validar la lógica del Programa y; con ello, asegurar la adecuada vinculación entre el Diseño del Programa,</w:t>
      </w:r>
      <w:r>
        <w:rPr>
          <w:rFonts w:ascii="Century Gothic" w:hAnsi="Century Gothic"/>
          <w:sz w:val="24"/>
          <w:szCs w:val="24"/>
        </w:rPr>
        <w:t xml:space="preserve"> los elementos normativos y los instrumentos requeridos en la metodología del marco lógico, </w:t>
      </w:r>
      <w:r w:rsidRPr="008E4E77">
        <w:rPr>
          <w:rFonts w:ascii="Century Gothic" w:hAnsi="Century Gothic"/>
          <w:b/>
          <w:sz w:val="24"/>
          <w:szCs w:val="24"/>
        </w:rPr>
        <w:t>árbol de problemas</w:t>
      </w:r>
      <w:r>
        <w:rPr>
          <w:rFonts w:ascii="Century Gothic" w:hAnsi="Century Gothic"/>
          <w:sz w:val="24"/>
          <w:szCs w:val="24"/>
        </w:rPr>
        <w:t xml:space="preserve">, </w:t>
      </w:r>
      <w:r w:rsidRPr="008E4E77">
        <w:rPr>
          <w:rFonts w:ascii="Century Gothic" w:hAnsi="Century Gothic"/>
          <w:b/>
          <w:sz w:val="24"/>
          <w:szCs w:val="24"/>
        </w:rPr>
        <w:t>árbol de objetivos</w:t>
      </w:r>
      <w:r>
        <w:rPr>
          <w:rFonts w:ascii="Century Gothic" w:hAnsi="Century Gothic"/>
          <w:sz w:val="24"/>
          <w:szCs w:val="24"/>
        </w:rPr>
        <w:t xml:space="preserve"> y finalmente</w:t>
      </w:r>
      <w:r w:rsidRPr="009C7E20">
        <w:rPr>
          <w:rFonts w:ascii="Century Gothic" w:hAnsi="Century Gothic"/>
          <w:sz w:val="24"/>
          <w:szCs w:val="24"/>
        </w:rPr>
        <w:t xml:space="preserve"> </w:t>
      </w:r>
      <w:r w:rsidRPr="008E4E77">
        <w:rPr>
          <w:rFonts w:ascii="Century Gothic" w:hAnsi="Century Gothic"/>
          <w:b/>
          <w:sz w:val="24"/>
          <w:szCs w:val="24"/>
        </w:rPr>
        <w:t>Matriz de Indicadores para Resultados</w:t>
      </w:r>
      <w:r w:rsidRPr="009C7E20">
        <w:rPr>
          <w:rFonts w:ascii="Century Gothic" w:hAnsi="Century Gothic"/>
          <w:sz w:val="24"/>
          <w:szCs w:val="24"/>
        </w:rPr>
        <w:t>.</w:t>
      </w:r>
    </w:p>
    <w:p w14:paraId="63925C88" w14:textId="77777777" w:rsidR="002C0D8D" w:rsidRPr="003668F1" w:rsidRDefault="002C0D8D" w:rsidP="002C0D8D">
      <w:pPr>
        <w:spacing w:after="240"/>
        <w:jc w:val="both"/>
        <w:rPr>
          <w:rFonts w:ascii="Century Gothic" w:hAnsi="Century Gothic"/>
          <w:sz w:val="24"/>
          <w:szCs w:val="24"/>
        </w:rPr>
      </w:pPr>
      <w:r w:rsidRPr="00A23F9A">
        <w:rPr>
          <w:rFonts w:ascii="Century Gothic" w:hAnsi="Century Gothic"/>
          <w:sz w:val="24"/>
          <w:szCs w:val="24"/>
        </w:rPr>
        <w:t>En materia de planeación y orientación a resultados, el Programa presenta una adecuada vinculación entre sus objetivos y los objetivos del Plan Nacional de Des</w:t>
      </w:r>
      <w:r>
        <w:rPr>
          <w:rFonts w:ascii="Century Gothic" w:hAnsi="Century Gothic"/>
          <w:sz w:val="24"/>
          <w:szCs w:val="24"/>
        </w:rPr>
        <w:t>arrollo 2013-2018, con</w:t>
      </w:r>
      <w:r w:rsidRPr="00A23F9A">
        <w:rPr>
          <w:rFonts w:ascii="Century Gothic" w:hAnsi="Century Gothic"/>
          <w:sz w:val="24"/>
          <w:szCs w:val="24"/>
        </w:rPr>
        <w:t xml:space="preserve"> </w:t>
      </w:r>
      <w:r>
        <w:rPr>
          <w:rFonts w:ascii="Century Gothic" w:hAnsi="Century Gothic"/>
          <w:sz w:val="24"/>
          <w:szCs w:val="24"/>
        </w:rPr>
        <w:t>el Plan de Desarrollo Estatal y el Programa Sectorial de Desarrollo Urbano y Ordenamiento Territorial (2016 – 2021)</w:t>
      </w:r>
      <w:r w:rsidRPr="00A23F9A">
        <w:rPr>
          <w:rFonts w:ascii="Century Gothic" w:hAnsi="Century Gothic"/>
          <w:sz w:val="24"/>
          <w:szCs w:val="24"/>
        </w:rPr>
        <w:t xml:space="preserve">. No obstante, no se no cuenta con un Plan Estratégico ni con un Programa Anual de Trabajo a través del cual se definen los objetivos y las metas, </w:t>
      </w:r>
      <w:r>
        <w:rPr>
          <w:rFonts w:ascii="Century Gothic" w:hAnsi="Century Gothic"/>
          <w:sz w:val="24"/>
          <w:szCs w:val="24"/>
        </w:rPr>
        <w:t>a atender.</w:t>
      </w:r>
    </w:p>
    <w:p w14:paraId="00F4C931" w14:textId="77777777" w:rsidR="002C0D8D" w:rsidRDefault="002C0D8D" w:rsidP="002C0D8D">
      <w:pPr>
        <w:spacing w:after="240"/>
        <w:rPr>
          <w:rFonts w:ascii="Century Gothic" w:hAnsi="Century Gothic"/>
          <w:b/>
          <w:color w:val="0E4E7A"/>
        </w:rPr>
      </w:pPr>
    </w:p>
    <w:p w14:paraId="49D712F9" w14:textId="77777777" w:rsidR="00F36F67" w:rsidRDefault="00F36F67">
      <w:pPr>
        <w:rPr>
          <w:rFonts w:ascii="Century Gothic" w:eastAsiaTheme="majorEastAsia" w:hAnsi="Century Gothic" w:cstheme="majorBidi"/>
          <w:b/>
          <w:color w:val="0E4E7A"/>
          <w:sz w:val="32"/>
          <w:szCs w:val="32"/>
        </w:rPr>
      </w:pPr>
      <w:r>
        <w:rPr>
          <w:rFonts w:ascii="Century Gothic" w:hAnsi="Century Gothic"/>
          <w:b/>
          <w:color w:val="0E4E7A"/>
        </w:rPr>
        <w:br w:type="page"/>
      </w:r>
    </w:p>
    <w:p w14:paraId="5AFFC0CF" w14:textId="77777777" w:rsidR="00893E00" w:rsidRPr="002E0E31" w:rsidRDefault="00F36F67" w:rsidP="00291B75">
      <w:pPr>
        <w:pStyle w:val="Ttulo1"/>
        <w:spacing w:before="0" w:after="240"/>
        <w:rPr>
          <w:rFonts w:ascii="Century Gothic" w:hAnsi="Century Gothic"/>
          <w:b/>
          <w:color w:val="0E4E7A"/>
        </w:rPr>
      </w:pPr>
      <w:bookmarkStart w:id="74" w:name="_Toc511859800"/>
      <w:r>
        <w:rPr>
          <w:rFonts w:ascii="Century Gothic" w:hAnsi="Century Gothic"/>
          <w:b/>
          <w:color w:val="0E4E7A"/>
        </w:rPr>
        <w:lastRenderedPageBreak/>
        <w:t>Fuentes de Consulta</w:t>
      </w:r>
      <w:bookmarkEnd w:id="74"/>
      <w:r w:rsidR="009B116D" w:rsidRPr="002E0E31">
        <w:rPr>
          <w:rFonts w:ascii="Century Gothic" w:hAnsi="Century Gothic"/>
          <w:b/>
          <w:color w:val="0E4E7A"/>
        </w:rPr>
        <w:t xml:space="preserve"> </w:t>
      </w:r>
    </w:p>
    <w:p w14:paraId="2094AF26" w14:textId="77777777" w:rsidR="00291B75" w:rsidRPr="008216C3" w:rsidRDefault="00291B75" w:rsidP="008216C3">
      <w:pPr>
        <w:spacing w:after="240"/>
        <w:jc w:val="both"/>
        <w:rPr>
          <w:rStyle w:val="Hipervnculo"/>
          <w:rFonts w:ascii="Century Gothic" w:hAnsi="Century Gothic"/>
        </w:rPr>
      </w:pPr>
      <w:r w:rsidRPr="008216C3">
        <w:rPr>
          <w:rFonts w:ascii="Century Gothic" w:hAnsi="Century Gothic"/>
        </w:rPr>
        <w:t xml:space="preserve">CONEVAL, (2015). El Ramo 33 en el desarrollo social en México: evaluación de ocho fondos de política pública. Consultado en el vínculo: </w:t>
      </w:r>
      <w:hyperlink r:id="rId35" w:history="1">
        <w:r w:rsidRPr="008216C3">
          <w:rPr>
            <w:rStyle w:val="Hipervnculo"/>
            <w:rFonts w:ascii="Century Gothic" w:hAnsi="Century Gothic"/>
          </w:rPr>
          <w:t>https://www.coneval.org.mx/rw/resource/coneval/info_public/PDF_PUBLICACIONES/Ramo_33_PDF_02032011.pdf</w:t>
        </w:r>
      </w:hyperlink>
    </w:p>
    <w:p w14:paraId="03101881" w14:textId="77777777" w:rsidR="00291B75" w:rsidRPr="008216C3" w:rsidRDefault="00291B75" w:rsidP="008216C3">
      <w:pPr>
        <w:pStyle w:val="Bibliografa"/>
        <w:spacing w:after="240" w:line="240" w:lineRule="auto"/>
        <w:jc w:val="both"/>
        <w:rPr>
          <w:rFonts w:ascii="Century Gothic" w:hAnsi="Century Gothic"/>
          <w:noProof/>
          <w:lang w:val="es-ES"/>
        </w:rPr>
      </w:pPr>
      <w:r w:rsidRPr="008216C3">
        <w:rPr>
          <w:rFonts w:ascii="Century Gothic" w:hAnsi="Century Gothic"/>
          <w:noProof/>
          <w:lang w:val="es-ES"/>
        </w:rPr>
        <w:t>CONEVAL. (2016). Términos de Referenca de la Evaluación de Diseño</w:t>
      </w:r>
      <w:r w:rsidR="008216C3" w:rsidRPr="008216C3">
        <w:rPr>
          <w:rFonts w:ascii="Century Gothic" w:hAnsi="Century Gothic"/>
          <w:noProof/>
          <w:lang w:val="es-ES"/>
        </w:rPr>
        <w:t xml:space="preserve">. </w:t>
      </w:r>
      <w:r w:rsidRPr="008216C3">
        <w:rPr>
          <w:rFonts w:ascii="Century Gothic" w:hAnsi="Century Gothic"/>
          <w:noProof/>
          <w:lang w:val="es-ES"/>
        </w:rPr>
        <w:t xml:space="preserve"> </w:t>
      </w:r>
      <w:r w:rsidR="008216C3" w:rsidRPr="008216C3">
        <w:rPr>
          <w:rFonts w:ascii="Century Gothic" w:hAnsi="Century Gothic"/>
        </w:rPr>
        <w:t xml:space="preserve">Consultado en el vínculo: </w:t>
      </w:r>
      <w:hyperlink r:id="rId36" w:history="1">
        <w:r w:rsidRPr="008216C3">
          <w:rPr>
            <w:rStyle w:val="Hipervnculo"/>
            <w:rFonts w:ascii="Century Gothic" w:hAnsi="Century Gothic"/>
            <w:noProof/>
            <w:lang w:val="es-ES"/>
          </w:rPr>
          <w:t>http://www.coneval.org.mx/Evaluacion/Paginas/Normatividad/Terminos_de_Referencia_vigentes.aspx</w:t>
        </w:r>
      </w:hyperlink>
      <w:r w:rsidRPr="008216C3">
        <w:rPr>
          <w:rFonts w:ascii="Century Gothic" w:hAnsi="Century Gothic"/>
        </w:rPr>
        <w:t xml:space="preserve"> </w:t>
      </w:r>
    </w:p>
    <w:p w14:paraId="1B88BC38" w14:textId="77777777" w:rsidR="008216C3" w:rsidRPr="008216C3" w:rsidRDefault="008216C3" w:rsidP="008216C3">
      <w:pPr>
        <w:pStyle w:val="Bibliografa"/>
        <w:spacing w:after="240" w:line="240" w:lineRule="auto"/>
        <w:jc w:val="both"/>
        <w:rPr>
          <w:rFonts w:ascii="Century Gothic" w:hAnsi="Century Gothic"/>
          <w:noProof/>
          <w:lang w:val="es-ES"/>
        </w:rPr>
      </w:pPr>
      <w:r w:rsidRPr="008216C3">
        <w:rPr>
          <w:rFonts w:ascii="Century Gothic" w:hAnsi="Century Gothic"/>
          <w:noProof/>
          <w:lang w:val="es-ES"/>
        </w:rPr>
        <w:t xml:space="preserve">CONEVAL, SHCP, SFP. (2017). GuÍa para el Diseño de la Matriz de indicadores para Resultados Obtenido de: </w:t>
      </w:r>
      <w:hyperlink r:id="rId37" w:history="1">
        <w:r w:rsidRPr="008216C3">
          <w:rPr>
            <w:rStyle w:val="Hipervnculo"/>
            <w:rFonts w:ascii="Century Gothic" w:hAnsi="Century Gothic"/>
            <w:noProof/>
            <w:lang w:val="es-ES"/>
          </w:rPr>
          <w:t>http://www.shcp.gob.mx/EGRESOS/PEF/sed/Guia%20MIR.pdf</w:t>
        </w:r>
      </w:hyperlink>
      <w:r w:rsidRPr="008216C3">
        <w:rPr>
          <w:rFonts w:ascii="Century Gothic" w:hAnsi="Century Gothic"/>
          <w:noProof/>
          <w:lang w:val="es-ES"/>
        </w:rPr>
        <w:t xml:space="preserve"> </w:t>
      </w:r>
    </w:p>
    <w:p w14:paraId="67A98264" w14:textId="77777777" w:rsidR="008216C3" w:rsidRPr="008216C3" w:rsidRDefault="008216C3" w:rsidP="008216C3">
      <w:pPr>
        <w:pStyle w:val="NormalWeb"/>
        <w:spacing w:before="0" w:beforeAutospacing="0" w:after="240" w:afterAutospacing="0" w:line="276" w:lineRule="auto"/>
        <w:jc w:val="both"/>
        <w:rPr>
          <w:rFonts w:ascii="Century Gothic" w:hAnsi="Century Gothic"/>
          <w:sz w:val="22"/>
          <w:szCs w:val="22"/>
        </w:rPr>
      </w:pPr>
      <w:r w:rsidRPr="008216C3">
        <w:rPr>
          <w:rFonts w:ascii="Century Gothic" w:hAnsi="Century Gothic" w:cs="Calibri"/>
          <w:color w:val="000000"/>
          <w:sz w:val="22"/>
          <w:szCs w:val="22"/>
        </w:rPr>
        <w:t>Consejo de Participación Social del Estado. Estudio de opinión por encuesta.</w:t>
      </w:r>
      <w:r w:rsidRPr="008216C3">
        <w:rPr>
          <w:rFonts w:ascii="Century Gothic" w:hAnsi="Century Gothic"/>
          <w:sz w:val="22"/>
          <w:szCs w:val="22"/>
        </w:rPr>
        <w:t xml:space="preserve"> Consultado en el vínculo: </w:t>
      </w:r>
      <w:hyperlink r:id="rId38" w:history="1">
        <w:r w:rsidRPr="008216C3">
          <w:rPr>
            <w:rStyle w:val="Hipervnculo"/>
            <w:rFonts w:ascii="Century Gothic" w:hAnsi="Century Gothic"/>
            <w:sz w:val="22"/>
            <w:szCs w:val="22"/>
          </w:rPr>
          <w:t>https://docs.google.com/document/d/1SvUQNjcHyRK4TzaZQv8kaR1GzVzDTJwIJU_UYn7-eds/edit</w:t>
        </w:r>
      </w:hyperlink>
    </w:p>
    <w:p w14:paraId="6CFC2332" w14:textId="77777777" w:rsidR="008216C3" w:rsidRDefault="008216C3" w:rsidP="008216C3">
      <w:pPr>
        <w:spacing w:after="240"/>
        <w:ind w:left="709" w:hanging="709"/>
        <w:jc w:val="both"/>
        <w:rPr>
          <w:rFonts w:ascii="Century Gothic" w:hAnsi="Century Gothic" w:cs="Arial"/>
          <w:bCs/>
        </w:rPr>
      </w:pPr>
      <w:r w:rsidRPr="008216C3">
        <w:rPr>
          <w:rFonts w:ascii="Century Gothic" w:hAnsi="Century Gothic" w:cs="Arial"/>
          <w:bCs/>
        </w:rPr>
        <w:t>DOF, (2007). Lineamientos Generales para la Evaluación de los Programas Federales de la Administración Pública Federal</w:t>
      </w:r>
    </w:p>
    <w:p w14:paraId="1FDF3272" w14:textId="77777777" w:rsidR="008216C3" w:rsidRPr="008216C3" w:rsidRDefault="008216C3" w:rsidP="008216C3">
      <w:pPr>
        <w:spacing w:after="240"/>
        <w:jc w:val="both"/>
        <w:rPr>
          <w:rFonts w:ascii="Century Gothic" w:hAnsi="Century Gothic"/>
        </w:rPr>
      </w:pPr>
      <w:r>
        <w:rPr>
          <w:rFonts w:ascii="Century Gothic" w:eastAsia="Times New Roman" w:hAnsi="Century Gothic" w:cs="Times New Roman"/>
          <w:lang w:eastAsia="es-ES_tradnl"/>
        </w:rPr>
        <w:t>------</w:t>
      </w:r>
      <w:r w:rsidRPr="008216C3">
        <w:rPr>
          <w:rFonts w:ascii="Century Gothic" w:eastAsia="Times New Roman" w:hAnsi="Century Gothic" w:cs="Times New Roman"/>
          <w:lang w:eastAsia="es-ES_tradnl"/>
        </w:rPr>
        <w:t xml:space="preserve">, </w:t>
      </w:r>
      <w:r>
        <w:rPr>
          <w:rFonts w:ascii="Century Gothic" w:eastAsia="Times New Roman" w:hAnsi="Century Gothic" w:cs="Times New Roman"/>
          <w:lang w:eastAsia="es-ES_tradnl"/>
        </w:rPr>
        <w:t>(</w:t>
      </w:r>
      <w:r w:rsidRPr="008216C3">
        <w:rPr>
          <w:rFonts w:ascii="Century Gothic" w:eastAsia="Times New Roman" w:hAnsi="Century Gothic" w:cs="Times New Roman"/>
          <w:lang w:eastAsia="es-ES_tradnl"/>
        </w:rPr>
        <w:t>2013</w:t>
      </w:r>
      <w:r>
        <w:rPr>
          <w:rFonts w:ascii="Century Gothic" w:eastAsia="Times New Roman" w:hAnsi="Century Gothic" w:cs="Times New Roman"/>
          <w:lang w:eastAsia="es-ES_tradnl"/>
        </w:rPr>
        <w:t>)</w:t>
      </w:r>
      <w:r w:rsidRPr="008216C3">
        <w:rPr>
          <w:rFonts w:ascii="Century Gothic" w:eastAsia="Times New Roman" w:hAnsi="Century Gothic" w:cs="Times New Roman"/>
          <w:lang w:eastAsia="es-ES_tradnl"/>
        </w:rPr>
        <w:t xml:space="preserve">. Ley General de Cultura Física y Deporte. </w:t>
      </w:r>
      <w:r w:rsidRPr="008216C3">
        <w:rPr>
          <w:rFonts w:ascii="Century Gothic" w:hAnsi="Century Gothic"/>
        </w:rPr>
        <w:t xml:space="preserve">Consultado en el vínculo: </w:t>
      </w:r>
      <w:hyperlink r:id="rId39" w:history="1">
        <w:r w:rsidRPr="008216C3">
          <w:rPr>
            <w:rStyle w:val="Hipervnculo"/>
            <w:rFonts w:ascii="Century Gothic" w:hAnsi="Century Gothic"/>
          </w:rPr>
          <w:t>http://www.dof.gob.mx/nota_detalle.php?codigo=5301698&amp;fecha=07/06/2013</w:t>
        </w:r>
      </w:hyperlink>
    </w:p>
    <w:p w14:paraId="509F0DDD" w14:textId="77777777" w:rsidR="008216C3" w:rsidRPr="008216C3" w:rsidRDefault="008216C3" w:rsidP="008216C3">
      <w:pPr>
        <w:spacing w:after="240"/>
        <w:jc w:val="both"/>
        <w:rPr>
          <w:rFonts w:ascii="Century Gothic" w:hAnsi="Century Gothic" w:cs="Arial"/>
          <w:bCs/>
        </w:rPr>
      </w:pPr>
      <w:r w:rsidRPr="008216C3">
        <w:rPr>
          <w:rFonts w:ascii="Century Gothic" w:hAnsi="Century Gothic" w:cs="Arial"/>
          <w:bCs/>
        </w:rPr>
        <w:t>-------, (2015). Ley Federal de Presupuesto y Responsabilidad Hacendaria.</w:t>
      </w:r>
    </w:p>
    <w:p w14:paraId="00E3B7F2" w14:textId="77777777" w:rsidR="008216C3" w:rsidRDefault="008216C3" w:rsidP="008216C3">
      <w:pPr>
        <w:spacing w:after="240"/>
        <w:jc w:val="both"/>
        <w:rPr>
          <w:rFonts w:ascii="Century Gothic" w:hAnsi="Century Gothic" w:cs="Arial"/>
          <w:bCs/>
        </w:rPr>
      </w:pPr>
      <w:r w:rsidRPr="008216C3">
        <w:rPr>
          <w:rFonts w:ascii="Century Gothic" w:hAnsi="Century Gothic" w:cs="Arial"/>
          <w:bCs/>
        </w:rPr>
        <w:t>-------, (2016). Ley General de Contabilidad Gubernamental.</w:t>
      </w:r>
    </w:p>
    <w:p w14:paraId="3B147E87" w14:textId="77777777" w:rsidR="008216C3" w:rsidRDefault="008216C3" w:rsidP="008216C3">
      <w:pPr>
        <w:pStyle w:val="Default"/>
        <w:spacing w:after="240" w:line="276" w:lineRule="auto"/>
        <w:jc w:val="both"/>
        <w:rPr>
          <w:rFonts w:ascii="Century Gothic" w:hAnsi="Century Gothic"/>
          <w:sz w:val="22"/>
          <w:szCs w:val="22"/>
        </w:rPr>
      </w:pPr>
      <w:r>
        <w:rPr>
          <w:rFonts w:ascii="Century Gothic" w:hAnsi="Century Gothic"/>
          <w:sz w:val="22"/>
          <w:szCs w:val="22"/>
        </w:rPr>
        <w:t>-------</w:t>
      </w:r>
      <w:r w:rsidRPr="008216C3">
        <w:rPr>
          <w:rFonts w:ascii="Century Gothic" w:hAnsi="Century Gothic"/>
          <w:sz w:val="22"/>
          <w:szCs w:val="22"/>
        </w:rPr>
        <w:t>.</w:t>
      </w:r>
      <w:r>
        <w:rPr>
          <w:rFonts w:ascii="Century Gothic" w:hAnsi="Century Gothic"/>
          <w:sz w:val="22"/>
          <w:szCs w:val="22"/>
        </w:rPr>
        <w:t xml:space="preserve"> (</w:t>
      </w:r>
      <w:r w:rsidRPr="008216C3">
        <w:rPr>
          <w:rFonts w:ascii="Century Gothic" w:hAnsi="Century Gothic"/>
          <w:sz w:val="22"/>
          <w:szCs w:val="22"/>
        </w:rPr>
        <w:t>2017</w:t>
      </w:r>
      <w:r>
        <w:rPr>
          <w:rFonts w:ascii="Century Gothic" w:hAnsi="Century Gothic"/>
          <w:sz w:val="22"/>
          <w:szCs w:val="22"/>
        </w:rPr>
        <w:t>)</w:t>
      </w:r>
      <w:r w:rsidRPr="008216C3">
        <w:rPr>
          <w:rFonts w:ascii="Century Gothic" w:hAnsi="Century Gothic"/>
          <w:sz w:val="22"/>
          <w:szCs w:val="22"/>
        </w:rPr>
        <w:t xml:space="preserve"> Reglas de Operación del Programa de Cultura Física y Deporte para el ejercicio fiscal 2018. Consultado en el vínculo: </w:t>
      </w:r>
      <w:hyperlink r:id="rId40" w:history="1">
        <w:r w:rsidRPr="00EC758D">
          <w:rPr>
            <w:rStyle w:val="Hipervnculo"/>
            <w:rFonts w:ascii="Century Gothic" w:hAnsi="Century Gothic"/>
            <w:sz w:val="22"/>
            <w:szCs w:val="22"/>
          </w:rPr>
          <w:t>http://www.dof.gob.mx/nota_detalle.php?codigo=5509137&amp;fecha=27/12/2017</w:t>
        </w:r>
      </w:hyperlink>
    </w:p>
    <w:p w14:paraId="1C46E30E" w14:textId="77777777" w:rsidR="008216C3" w:rsidRDefault="008216C3" w:rsidP="008216C3">
      <w:pPr>
        <w:spacing w:after="240"/>
        <w:jc w:val="both"/>
        <w:rPr>
          <w:rFonts w:ascii="Century Gothic" w:hAnsi="Century Gothic"/>
        </w:rPr>
      </w:pPr>
      <w:r>
        <w:rPr>
          <w:rFonts w:ascii="Century Gothic" w:hAnsi="Century Gothic"/>
        </w:rPr>
        <w:t xml:space="preserve">-------, </w:t>
      </w:r>
      <w:r w:rsidRPr="008216C3">
        <w:rPr>
          <w:rFonts w:ascii="Century Gothic" w:hAnsi="Century Gothic"/>
        </w:rPr>
        <w:t>(2018). Ley de Coordinación Fiscal</w:t>
      </w:r>
      <w:r>
        <w:rPr>
          <w:rFonts w:ascii="Century Gothic" w:hAnsi="Century Gothic"/>
        </w:rPr>
        <w:t>.</w:t>
      </w:r>
    </w:p>
    <w:p w14:paraId="66813F24" w14:textId="77777777" w:rsidR="008216C3" w:rsidRPr="008216C3" w:rsidRDefault="008216C3" w:rsidP="008216C3">
      <w:pPr>
        <w:spacing w:after="240"/>
        <w:jc w:val="both"/>
        <w:rPr>
          <w:rFonts w:ascii="Century Gothic" w:hAnsi="Century Gothic"/>
        </w:rPr>
      </w:pPr>
      <w:r w:rsidRPr="008216C3">
        <w:rPr>
          <w:rFonts w:ascii="Century Gothic" w:hAnsi="Century Gothic"/>
        </w:rPr>
        <w:t xml:space="preserve">H. Congreso del Estado de Colima. </w:t>
      </w:r>
      <w:r w:rsidRPr="008216C3">
        <w:rPr>
          <w:rFonts w:ascii="Century Gothic" w:hAnsi="Century Gothic"/>
          <w:bCs/>
        </w:rPr>
        <w:t>Ley Orgánica de la Administración Pública del Estado de Colima.</w:t>
      </w:r>
      <w:r w:rsidRPr="008216C3">
        <w:rPr>
          <w:rFonts w:ascii="Century Gothic" w:hAnsi="Century Gothic"/>
          <w:b/>
          <w:bCs/>
        </w:rPr>
        <w:t xml:space="preserve"> </w:t>
      </w:r>
      <w:r w:rsidRPr="008216C3">
        <w:rPr>
          <w:rFonts w:ascii="Century Gothic" w:hAnsi="Century Gothic"/>
        </w:rPr>
        <w:t xml:space="preserve">Consultado en el vínculo: </w:t>
      </w:r>
      <w:hyperlink r:id="rId41" w:history="1">
        <w:r w:rsidRPr="008216C3">
          <w:rPr>
            <w:rStyle w:val="Hipervnculo"/>
            <w:rFonts w:ascii="Century Gothic" w:hAnsi="Century Gothic"/>
          </w:rPr>
          <w:t>http://congresocol.gob.mx/web/Sistema/uploads/LegislacionEstatal/LeyesEstatales/administracion_publica_29sept2015.pdf</w:t>
        </w:r>
      </w:hyperlink>
    </w:p>
    <w:p w14:paraId="0760249E" w14:textId="77777777" w:rsidR="008216C3" w:rsidRPr="008216C3" w:rsidRDefault="008216C3" w:rsidP="008216C3">
      <w:pPr>
        <w:spacing w:after="240"/>
        <w:jc w:val="both"/>
        <w:rPr>
          <w:rFonts w:ascii="Century Gothic" w:hAnsi="Century Gothic"/>
        </w:rPr>
      </w:pPr>
      <w:r>
        <w:rPr>
          <w:rFonts w:ascii="Century Gothic" w:hAnsi="Century Gothic"/>
        </w:rPr>
        <w:t>------------------------------------------------</w:t>
      </w:r>
      <w:r w:rsidRPr="008216C3">
        <w:rPr>
          <w:rFonts w:ascii="Century Gothic" w:hAnsi="Century Gothic"/>
        </w:rPr>
        <w:t xml:space="preserve">. </w:t>
      </w:r>
      <w:r w:rsidRPr="008216C3">
        <w:rPr>
          <w:rFonts w:ascii="Century Gothic" w:hAnsi="Century Gothic"/>
          <w:bCs/>
        </w:rPr>
        <w:t>Ley Orgánica de la Administración Pública del Estado de Colima.</w:t>
      </w:r>
      <w:r w:rsidRPr="008216C3">
        <w:rPr>
          <w:rFonts w:ascii="Century Gothic" w:hAnsi="Century Gothic"/>
          <w:b/>
          <w:bCs/>
        </w:rPr>
        <w:t xml:space="preserve"> </w:t>
      </w:r>
      <w:r w:rsidRPr="008216C3">
        <w:rPr>
          <w:rFonts w:ascii="Century Gothic" w:hAnsi="Century Gothic"/>
        </w:rPr>
        <w:t xml:space="preserve">Consultado en el vínculo: </w:t>
      </w:r>
      <w:hyperlink r:id="rId42" w:history="1">
        <w:r w:rsidRPr="008216C3">
          <w:rPr>
            <w:rStyle w:val="Hipervnculo"/>
            <w:rFonts w:ascii="Century Gothic" w:hAnsi="Century Gothic"/>
          </w:rPr>
          <w:t>http://congresocol.gob.mx/web/Sistema/uploads/LegislacionEstatal/LeyesEstatales/administracion_publica_29sept2015.pdf</w:t>
        </w:r>
      </w:hyperlink>
    </w:p>
    <w:p w14:paraId="0E698164" w14:textId="77777777" w:rsidR="008216C3" w:rsidRPr="008216C3" w:rsidRDefault="008216C3" w:rsidP="008216C3">
      <w:pPr>
        <w:spacing w:after="240"/>
        <w:jc w:val="both"/>
        <w:rPr>
          <w:rFonts w:ascii="Century Gothic" w:hAnsi="Century Gothic"/>
        </w:rPr>
      </w:pPr>
      <w:r>
        <w:rPr>
          <w:rFonts w:ascii="Century Gothic" w:hAnsi="Century Gothic"/>
        </w:rPr>
        <w:t>------------------------------------------------</w:t>
      </w:r>
      <w:r w:rsidRPr="008216C3">
        <w:rPr>
          <w:rFonts w:ascii="Century Gothic" w:hAnsi="Century Gothic"/>
        </w:rPr>
        <w:t xml:space="preserve">. Ley de Asentamientos Humanos del Estado. Consultado en el vínculo: </w:t>
      </w:r>
      <w:hyperlink r:id="rId43" w:history="1">
        <w:r w:rsidRPr="008216C3">
          <w:rPr>
            <w:rStyle w:val="Hipervnculo"/>
            <w:rFonts w:ascii="Century Gothic" w:hAnsi="Century Gothic"/>
          </w:rPr>
          <w:t>http://www.colima-estado.gob.mx/transparencia/archivos/Ley-asentamientos-humanos.pdf</w:t>
        </w:r>
      </w:hyperlink>
    </w:p>
    <w:p w14:paraId="00959174" w14:textId="77777777" w:rsidR="008216C3" w:rsidRPr="008216C3" w:rsidRDefault="008216C3" w:rsidP="008216C3">
      <w:pPr>
        <w:pStyle w:val="Default"/>
        <w:spacing w:after="240" w:line="276" w:lineRule="auto"/>
        <w:jc w:val="both"/>
        <w:rPr>
          <w:rFonts w:ascii="Century Gothic" w:hAnsi="Century Gothic"/>
          <w:sz w:val="22"/>
          <w:szCs w:val="22"/>
        </w:rPr>
      </w:pPr>
      <w:r>
        <w:rPr>
          <w:rFonts w:ascii="Century Gothic" w:hAnsi="Century Gothic"/>
        </w:rPr>
        <w:t>------------------------------------------------</w:t>
      </w:r>
      <w:r w:rsidRPr="008216C3">
        <w:rPr>
          <w:rFonts w:ascii="Century Gothic" w:hAnsi="Century Gothic"/>
          <w:sz w:val="22"/>
          <w:szCs w:val="22"/>
        </w:rPr>
        <w:t xml:space="preserve">. Ley Estatal de Obras Públicas. Consultado en el vínculo: </w:t>
      </w:r>
      <w:hyperlink r:id="rId44" w:history="1">
        <w:r w:rsidRPr="008216C3">
          <w:rPr>
            <w:rStyle w:val="Hipervnculo"/>
            <w:rFonts w:ascii="Century Gothic" w:hAnsi="Century Gothic"/>
            <w:sz w:val="22"/>
            <w:szCs w:val="22"/>
          </w:rPr>
          <w:t>http://legismex.mty.itesm.mx/estados/ley-col/COL-L-ObPub2017_09.pdf</w:t>
        </w:r>
      </w:hyperlink>
    </w:p>
    <w:p w14:paraId="04F9C47E" w14:textId="77777777" w:rsidR="008216C3" w:rsidRPr="008216C3" w:rsidRDefault="008216C3" w:rsidP="008216C3">
      <w:pPr>
        <w:autoSpaceDE w:val="0"/>
        <w:autoSpaceDN w:val="0"/>
        <w:adjustRightInd w:val="0"/>
        <w:spacing w:after="240"/>
        <w:jc w:val="both"/>
        <w:rPr>
          <w:rFonts w:ascii="Century Gothic" w:hAnsi="Century Gothic"/>
        </w:rPr>
      </w:pPr>
      <w:r>
        <w:rPr>
          <w:rFonts w:ascii="Century Gothic" w:hAnsi="Century Gothic"/>
        </w:rPr>
        <w:t>------------------------------------------------</w:t>
      </w:r>
      <w:r w:rsidRPr="008216C3">
        <w:rPr>
          <w:rFonts w:ascii="Century Gothic" w:hAnsi="Century Gothic"/>
        </w:rPr>
        <w:t xml:space="preserve">. </w:t>
      </w:r>
      <w:r w:rsidRPr="008216C3">
        <w:rPr>
          <w:rFonts w:ascii="Century Gothic" w:hAnsi="Century Gothic" w:cs="Arial"/>
          <w:bCs/>
        </w:rPr>
        <w:t>Ley de Planeación Democrática para el Desarrollo del Estado de Colima.</w:t>
      </w:r>
      <w:r w:rsidRPr="008216C3">
        <w:rPr>
          <w:rFonts w:ascii="Century Gothic" w:hAnsi="Century Gothic" w:cs="Arial"/>
          <w:b/>
          <w:bCs/>
        </w:rPr>
        <w:t xml:space="preserve"> </w:t>
      </w:r>
      <w:r w:rsidRPr="008216C3">
        <w:rPr>
          <w:rFonts w:ascii="Century Gothic" w:hAnsi="Century Gothic"/>
        </w:rPr>
        <w:t xml:space="preserve">Consultado en el vínculo: </w:t>
      </w:r>
      <w:hyperlink r:id="rId45" w:history="1">
        <w:r w:rsidRPr="008216C3">
          <w:rPr>
            <w:rStyle w:val="Hipervnculo"/>
            <w:rFonts w:ascii="Century Gothic" w:hAnsi="Century Gothic"/>
          </w:rPr>
          <w:t>http://www.ordenjuridico.gob.mx/Documentos/Estatal/Colima/wo116246.pdf</w:t>
        </w:r>
      </w:hyperlink>
    </w:p>
    <w:p w14:paraId="7CF3D5D6" w14:textId="77777777" w:rsidR="008216C3" w:rsidRPr="008216C3" w:rsidRDefault="008216C3" w:rsidP="008216C3">
      <w:pPr>
        <w:spacing w:after="240"/>
        <w:jc w:val="both"/>
        <w:rPr>
          <w:rFonts w:ascii="Century Gothic" w:hAnsi="Century Gothic"/>
        </w:rPr>
      </w:pPr>
      <w:r>
        <w:rPr>
          <w:rFonts w:ascii="Century Gothic" w:hAnsi="Century Gothic"/>
        </w:rPr>
        <w:t>------------------------------------------------</w:t>
      </w:r>
      <w:r w:rsidRPr="008216C3">
        <w:rPr>
          <w:rFonts w:ascii="Century Gothic" w:hAnsi="Century Gothic"/>
        </w:rPr>
        <w:t>. Ley de Transparencia y Acceso a la Información Pública del Estado de Colima</w:t>
      </w:r>
      <w:r w:rsidRPr="008216C3">
        <w:rPr>
          <w:rFonts w:ascii="Century Gothic" w:hAnsi="Century Gothic"/>
          <w:b/>
        </w:rPr>
        <w:t xml:space="preserve">. </w:t>
      </w:r>
      <w:r w:rsidRPr="008216C3">
        <w:rPr>
          <w:rFonts w:ascii="Century Gothic" w:hAnsi="Century Gothic"/>
        </w:rPr>
        <w:t xml:space="preserve">Consultado en el vínculo: </w:t>
      </w:r>
      <w:hyperlink r:id="rId46" w:history="1">
        <w:r w:rsidRPr="008216C3">
          <w:rPr>
            <w:rStyle w:val="Hipervnculo"/>
            <w:rFonts w:ascii="Century Gothic" w:hAnsi="Century Gothic"/>
          </w:rPr>
          <w:t>http://www.ordenjuridico.gob.mx/Documentos/Estatal/Colima/wo116099.pdf</w:t>
        </w:r>
      </w:hyperlink>
    </w:p>
    <w:p w14:paraId="315F63B1" w14:textId="77777777" w:rsidR="008216C3" w:rsidRPr="008216C3" w:rsidRDefault="008216C3" w:rsidP="008216C3">
      <w:pPr>
        <w:spacing w:after="240"/>
        <w:jc w:val="both"/>
        <w:rPr>
          <w:rFonts w:ascii="Century Gothic" w:hAnsi="Century Gothic"/>
          <w:lang w:val="es-ES"/>
        </w:rPr>
      </w:pPr>
      <w:r w:rsidRPr="008216C3">
        <w:rPr>
          <w:rFonts w:ascii="Century Gothic" w:hAnsi="Century Gothic"/>
        </w:rPr>
        <w:t>P</w:t>
      </w:r>
      <w:r>
        <w:rPr>
          <w:rFonts w:ascii="Century Gothic" w:hAnsi="Century Gothic"/>
        </w:rPr>
        <w:t>lan</w:t>
      </w:r>
      <w:r w:rsidRPr="008216C3">
        <w:rPr>
          <w:rFonts w:ascii="Century Gothic" w:hAnsi="Century Gothic"/>
        </w:rPr>
        <w:t xml:space="preserve"> </w:t>
      </w:r>
      <w:r>
        <w:rPr>
          <w:rFonts w:ascii="Century Gothic" w:hAnsi="Century Gothic"/>
          <w:bCs/>
        </w:rPr>
        <w:t>Estatal de Desarrollo</w:t>
      </w:r>
      <w:r w:rsidRPr="008216C3">
        <w:rPr>
          <w:rFonts w:ascii="Century Gothic" w:hAnsi="Century Gothic"/>
          <w:bCs/>
        </w:rPr>
        <w:t xml:space="preserve"> </w:t>
      </w:r>
      <w:r>
        <w:rPr>
          <w:rFonts w:ascii="Century Gothic" w:hAnsi="Century Gothic"/>
          <w:bCs/>
        </w:rPr>
        <w:t xml:space="preserve">Colima </w:t>
      </w:r>
      <w:r w:rsidRPr="008216C3">
        <w:rPr>
          <w:rFonts w:ascii="Century Gothic" w:hAnsi="Century Gothic"/>
          <w:bCs/>
        </w:rPr>
        <w:t>2016-2021</w:t>
      </w:r>
      <w:r>
        <w:rPr>
          <w:rFonts w:ascii="Century Gothic" w:hAnsi="Century Gothic"/>
          <w:bCs/>
        </w:rPr>
        <w:t>.</w:t>
      </w:r>
    </w:p>
    <w:p w14:paraId="33805BF0" w14:textId="77777777" w:rsidR="008216C3" w:rsidRPr="008216C3" w:rsidRDefault="008216C3" w:rsidP="008216C3">
      <w:pPr>
        <w:pStyle w:val="Default"/>
        <w:spacing w:after="240" w:line="276" w:lineRule="auto"/>
        <w:jc w:val="both"/>
        <w:rPr>
          <w:rFonts w:ascii="Century Gothic" w:hAnsi="Century Gothic"/>
          <w:sz w:val="22"/>
          <w:szCs w:val="22"/>
        </w:rPr>
      </w:pPr>
      <w:r w:rsidRPr="008216C3">
        <w:rPr>
          <w:rFonts w:ascii="Century Gothic" w:hAnsi="Century Gothic"/>
          <w:sz w:val="22"/>
          <w:szCs w:val="22"/>
        </w:rPr>
        <w:t xml:space="preserve">Programa </w:t>
      </w:r>
      <w:r w:rsidRPr="008216C3">
        <w:rPr>
          <w:rFonts w:ascii="Century Gothic" w:hAnsi="Century Gothic"/>
          <w:bCs/>
          <w:sz w:val="22"/>
          <w:szCs w:val="22"/>
        </w:rPr>
        <w:t>Sectorial de Desarrollo Urbano y Ordenamiento Territorial 2016-2021.</w:t>
      </w:r>
      <w:r w:rsidRPr="008216C3">
        <w:rPr>
          <w:rFonts w:ascii="Century Gothic" w:hAnsi="Century Gothic"/>
          <w:b/>
          <w:bCs/>
          <w:sz w:val="22"/>
          <w:szCs w:val="22"/>
        </w:rPr>
        <w:t xml:space="preserve"> </w:t>
      </w:r>
      <w:r w:rsidRPr="008216C3">
        <w:rPr>
          <w:rFonts w:ascii="Century Gothic" w:hAnsi="Century Gothic"/>
          <w:sz w:val="22"/>
          <w:szCs w:val="22"/>
        </w:rPr>
        <w:t xml:space="preserve">Consultado en el vínculo: </w:t>
      </w:r>
      <w:hyperlink r:id="rId47" w:history="1">
        <w:r w:rsidRPr="008216C3">
          <w:rPr>
            <w:rStyle w:val="Hipervnculo"/>
            <w:rFonts w:ascii="Century Gothic" w:hAnsi="Century Gothic"/>
            <w:sz w:val="22"/>
            <w:szCs w:val="22"/>
          </w:rPr>
          <w:t>http://www.colima-estado.gob.mx/transparencia/archivos/portal/2017042719463344_Programa-sectorial-desarrollo-urbano-ordenamiento-territorial-2016-2021.pdf</w:t>
        </w:r>
      </w:hyperlink>
    </w:p>
    <w:p w14:paraId="5E53C979" w14:textId="77777777" w:rsidR="008216C3" w:rsidRPr="008216C3" w:rsidRDefault="008216C3" w:rsidP="008216C3">
      <w:pPr>
        <w:spacing w:after="240"/>
        <w:jc w:val="both"/>
        <w:rPr>
          <w:rFonts w:ascii="Century Gothic" w:hAnsi="Century Gothic"/>
        </w:rPr>
      </w:pPr>
      <w:r w:rsidRPr="008216C3">
        <w:rPr>
          <w:rFonts w:ascii="Century Gothic" w:hAnsi="Century Gothic" w:cs="Arial"/>
          <w:bCs/>
        </w:rPr>
        <w:t>SEGOB</w:t>
      </w:r>
      <w:r w:rsidRPr="008216C3">
        <w:rPr>
          <w:rFonts w:ascii="Century Gothic" w:hAnsi="Century Gothic" w:cs="Arial"/>
        </w:rPr>
        <w:t xml:space="preserve">. (2013). </w:t>
      </w:r>
      <w:r w:rsidRPr="008216C3">
        <w:rPr>
          <w:rFonts w:ascii="Century Gothic" w:hAnsi="Century Gothic" w:cs="Arial"/>
          <w:iCs/>
        </w:rPr>
        <w:t>Plan Nacional de Desarrollo</w:t>
      </w:r>
      <w:r w:rsidRPr="008216C3">
        <w:rPr>
          <w:rFonts w:ascii="Century Gothic" w:hAnsi="Century Gothic" w:cs="Arial"/>
        </w:rPr>
        <w:t xml:space="preserve">. Consultado en la página web de la institución: </w:t>
      </w:r>
      <w:hyperlink r:id="rId48" w:history="1">
        <w:r w:rsidRPr="008216C3">
          <w:rPr>
            <w:rStyle w:val="Hipervnculo"/>
            <w:rFonts w:ascii="Century Gothic" w:hAnsi="Century Gothic"/>
          </w:rPr>
          <w:t>http://pnd.gob.mx/</w:t>
        </w:r>
      </w:hyperlink>
    </w:p>
    <w:p w14:paraId="4F650524" w14:textId="77777777" w:rsidR="00291B75" w:rsidRPr="008216C3" w:rsidRDefault="00291B75" w:rsidP="008216C3">
      <w:pPr>
        <w:spacing w:after="240"/>
        <w:jc w:val="both"/>
        <w:rPr>
          <w:rFonts w:ascii="Century Gothic" w:hAnsi="Century Gothic"/>
        </w:rPr>
      </w:pPr>
      <w:r w:rsidRPr="008216C3">
        <w:rPr>
          <w:rFonts w:ascii="Century Gothic" w:hAnsi="Century Gothic"/>
        </w:rPr>
        <w:t xml:space="preserve">ONU, (2015). Agenda de desarrollo post-2015. Consultado en el vínculo: </w:t>
      </w:r>
      <w:hyperlink r:id="rId49" w:history="1">
        <w:r w:rsidRPr="008216C3">
          <w:rPr>
            <w:rStyle w:val="Hipervnculo"/>
            <w:rFonts w:ascii="Century Gothic" w:hAnsi="Century Gothic"/>
          </w:rPr>
          <w:t>http://www.un.org/sustainabledevelopment/es/cities/</w:t>
        </w:r>
      </w:hyperlink>
    </w:p>
    <w:p w14:paraId="71831C47" w14:textId="77777777" w:rsidR="00291B75" w:rsidRPr="008216C3" w:rsidRDefault="00291B75" w:rsidP="008216C3">
      <w:pPr>
        <w:spacing w:after="240"/>
        <w:jc w:val="both"/>
        <w:rPr>
          <w:rFonts w:ascii="Century Gothic" w:hAnsi="Century Gothic"/>
        </w:rPr>
      </w:pPr>
      <w:r w:rsidRPr="008216C3">
        <w:rPr>
          <w:rFonts w:ascii="Century Gothic" w:hAnsi="Century Gothic"/>
        </w:rPr>
        <w:t xml:space="preserve">OSAFIG, (2016) Evaluación al Desempeño del Fondo de Aportaciones para el Fortalecimiento de las Entidades Federativas (FAFEF). Consultado en el vínculo: </w:t>
      </w:r>
      <w:hyperlink r:id="rId50" w:history="1">
        <w:r w:rsidRPr="008216C3">
          <w:rPr>
            <w:rStyle w:val="Hipervnculo"/>
            <w:rFonts w:ascii="Century Gothic" w:hAnsi="Century Gothic"/>
          </w:rPr>
          <w:t>http://www.osaf.gob.mx/Resultados_2016/Evaluacion/EVAL_FAFEF_2016.pdf</w:t>
        </w:r>
      </w:hyperlink>
    </w:p>
    <w:p w14:paraId="4DE0C6B4" w14:textId="77777777" w:rsidR="00291B75" w:rsidRPr="008216C3" w:rsidRDefault="00291B75" w:rsidP="008216C3">
      <w:pPr>
        <w:spacing w:after="240"/>
        <w:jc w:val="both"/>
        <w:rPr>
          <w:rFonts w:ascii="Century Gothic" w:hAnsi="Century Gothic"/>
        </w:rPr>
      </w:pPr>
    </w:p>
    <w:p w14:paraId="4333CB6C" w14:textId="77777777" w:rsidR="003F3B38" w:rsidRPr="008216C3" w:rsidRDefault="003F3B38" w:rsidP="008216C3">
      <w:pPr>
        <w:spacing w:after="240"/>
        <w:jc w:val="both"/>
        <w:rPr>
          <w:rFonts w:ascii="Century Gothic" w:hAnsi="Century Gothic"/>
        </w:rPr>
      </w:pPr>
    </w:p>
    <w:sectPr w:rsidR="003F3B38" w:rsidRPr="008216C3" w:rsidSect="001C59E3">
      <w:headerReference w:type="default" r:id="rId51"/>
      <w:footerReference w:type="default" r:id="rId5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5EFB5" w14:textId="77777777" w:rsidR="00FD00D1" w:rsidRDefault="00FD00D1" w:rsidP="00B46F01">
      <w:pPr>
        <w:spacing w:after="0" w:line="240" w:lineRule="auto"/>
      </w:pPr>
      <w:r>
        <w:separator/>
      </w:r>
    </w:p>
  </w:endnote>
  <w:endnote w:type="continuationSeparator" w:id="0">
    <w:p w14:paraId="63C4D5F1" w14:textId="77777777" w:rsidR="00FD00D1" w:rsidRDefault="00FD00D1" w:rsidP="00B46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Futura Lt">
    <w:altName w:val="Arial"/>
    <w:charset w:val="00"/>
    <w:family w:val="auto"/>
    <w:pitch w:val="variable"/>
    <w:sig w:usb0="80000067" w:usb1="00000000" w:usb2="00000000" w:usb3="00000000" w:csb0="000001FB"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0813398"/>
      <w:docPartObj>
        <w:docPartGallery w:val="Page Numbers (Bottom of Page)"/>
        <w:docPartUnique/>
      </w:docPartObj>
    </w:sdtPr>
    <w:sdtEndPr/>
    <w:sdtContent>
      <w:p w14:paraId="0E97F219" w14:textId="77777777" w:rsidR="001673F4" w:rsidRDefault="001673F4">
        <w:pPr>
          <w:pStyle w:val="Piedepgina"/>
          <w:jc w:val="right"/>
        </w:pPr>
        <w:r>
          <w:fldChar w:fldCharType="begin"/>
        </w:r>
        <w:r>
          <w:instrText>PAGE   \* MERGEFORMAT</w:instrText>
        </w:r>
        <w:r>
          <w:fldChar w:fldCharType="separate"/>
        </w:r>
        <w:r w:rsidR="00927474" w:rsidRPr="00927474">
          <w:rPr>
            <w:noProof/>
            <w:lang w:val="es-ES"/>
          </w:rPr>
          <w:t>21</w:t>
        </w:r>
        <w:r>
          <w:rPr>
            <w:noProof/>
            <w:lang w:val="es-ES"/>
          </w:rPr>
          <w:fldChar w:fldCharType="end"/>
        </w:r>
      </w:p>
    </w:sdtContent>
  </w:sdt>
  <w:p w14:paraId="762F58CF" w14:textId="77777777" w:rsidR="001673F4" w:rsidRDefault="001673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23365" w14:textId="77777777" w:rsidR="00FD00D1" w:rsidRDefault="00FD00D1" w:rsidP="00B46F01">
      <w:pPr>
        <w:spacing w:after="0" w:line="240" w:lineRule="auto"/>
      </w:pPr>
      <w:r>
        <w:separator/>
      </w:r>
    </w:p>
  </w:footnote>
  <w:footnote w:type="continuationSeparator" w:id="0">
    <w:p w14:paraId="6971C5F2" w14:textId="77777777" w:rsidR="00FD00D1" w:rsidRDefault="00FD00D1" w:rsidP="00B46F01">
      <w:pPr>
        <w:spacing w:after="0" w:line="240" w:lineRule="auto"/>
      </w:pPr>
      <w:r>
        <w:continuationSeparator/>
      </w:r>
    </w:p>
  </w:footnote>
  <w:footnote w:id="1">
    <w:p w14:paraId="4FA81F2E" w14:textId="77777777" w:rsidR="001673F4" w:rsidRPr="00CB7892" w:rsidRDefault="001673F4" w:rsidP="00AE7C8B">
      <w:pPr>
        <w:pStyle w:val="Textonotapie"/>
        <w:jc w:val="both"/>
      </w:pPr>
      <w:r w:rsidRPr="003910D2">
        <w:rPr>
          <w:vertAlign w:val="superscript"/>
        </w:rPr>
        <w:footnoteRef/>
      </w:r>
      <w:r w:rsidRPr="003910D2">
        <w:rPr>
          <w:vertAlign w:val="superscript"/>
        </w:rPr>
        <w:t xml:space="preserve"> </w:t>
      </w:r>
      <w:r w:rsidRPr="00C72FD7">
        <w:rPr>
          <w:rFonts w:ascii="Century Gothic" w:hAnsi="Century Gothic"/>
          <w:sz w:val="16"/>
        </w:rPr>
        <w:t>Evaluación de Consistencia y Resultados: analiza sistemáticamente el diseño y desempeño global de los programas federales, para mejorar su gestión y medir el logro de sus resultados con base en la matriz de indicadores.</w:t>
      </w:r>
    </w:p>
  </w:footnote>
  <w:footnote w:id="2">
    <w:p w14:paraId="7FC10824" w14:textId="77777777" w:rsidR="001673F4" w:rsidRPr="00EC48AA" w:rsidRDefault="001673F4" w:rsidP="00AE7C8B">
      <w:pPr>
        <w:pStyle w:val="Textonotapie"/>
        <w:jc w:val="both"/>
      </w:pPr>
      <w:r w:rsidRPr="00382BDF">
        <w:rPr>
          <w:vertAlign w:val="superscript"/>
        </w:rPr>
        <w:footnoteRef/>
      </w:r>
      <w:r w:rsidRPr="00EC48AA">
        <w:t xml:space="preserve"> </w:t>
      </w:r>
      <w:r w:rsidRPr="00C72FD7">
        <w:rPr>
          <w:rFonts w:ascii="Century Gothic" w:hAnsi="Century Gothic"/>
          <w:sz w:val="16"/>
        </w:rPr>
        <w:t>La evaluación de consistencia y resultados deberá ser realizada mediante trabajo de gabinete, y el informe correspondiente deberá incluir un análisis conforme a los siguientes criterios: En materia de diseño, planeación estratégica, cobertura y focalización, operación, percepción de la población objetivo, y de resultados.</w:t>
      </w:r>
    </w:p>
  </w:footnote>
  <w:footnote w:id="3">
    <w:p w14:paraId="2B624484" w14:textId="77777777" w:rsidR="001673F4" w:rsidRPr="00195CBB" w:rsidRDefault="001673F4" w:rsidP="0027320C">
      <w:pPr>
        <w:pStyle w:val="Textonotapie"/>
        <w:jc w:val="both"/>
        <w:rPr>
          <w:lang w:val="es-ES"/>
        </w:rPr>
      </w:pPr>
      <w:r w:rsidRPr="00AB14DD">
        <w:rPr>
          <w:rStyle w:val="Refdenotaalpie"/>
        </w:rPr>
        <w:footnoteRef/>
      </w:r>
      <w:r w:rsidRPr="00AB14DD">
        <w:t xml:space="preserve"> </w:t>
      </w:r>
      <w:r>
        <w:rPr>
          <w:lang w:val="es-ES"/>
        </w:rPr>
        <w:t>Usamos el término para</w:t>
      </w:r>
      <w:r w:rsidRPr="00AB14DD">
        <w:rPr>
          <w:lang w:val="es-ES"/>
        </w:rPr>
        <w:t xml:space="preserve"> enfatizar que no se trata de una resolución d</w:t>
      </w:r>
      <w:r>
        <w:rPr>
          <w:lang w:val="es-ES"/>
        </w:rPr>
        <w:t>e orden económico simple –costo</w:t>
      </w:r>
      <w:r w:rsidRPr="00AB14DD">
        <w:rPr>
          <w:lang w:val="es-ES"/>
        </w:rPr>
        <w:t>-beneficio</w:t>
      </w:r>
      <w:r>
        <w:rPr>
          <w:lang w:val="es-ES"/>
        </w:rPr>
        <w:t xml:space="preserve"> monetario</w:t>
      </w:r>
      <w:r w:rsidRPr="00AB14DD">
        <w:rPr>
          <w:lang w:val="es-ES"/>
        </w:rPr>
        <w:t>-</w:t>
      </w:r>
      <w:r w:rsidRPr="00C050D0">
        <w:rPr>
          <w:lang w:val="es-ES"/>
        </w:rPr>
        <w:t>, sino que se trata de integrar en las planeaciones y análisis un enfoque desde la perspectiva del bienestar público, lo c</w:t>
      </w:r>
      <w:r w:rsidRPr="00E528EF">
        <w:rPr>
          <w:lang w:val="es-ES"/>
        </w:rPr>
        <w:t>ual implica integrar aspectos como la equidad, el desarrollo sustentable, etc.</w:t>
      </w:r>
    </w:p>
  </w:footnote>
  <w:footnote w:id="4">
    <w:p w14:paraId="73EB441B" w14:textId="77777777" w:rsidR="001673F4" w:rsidRDefault="001673F4" w:rsidP="00052688">
      <w:pPr>
        <w:pStyle w:val="Textonotapie"/>
        <w:jc w:val="left"/>
      </w:pPr>
      <w:r>
        <w:rPr>
          <w:rStyle w:val="Refdenotaalpie"/>
        </w:rPr>
        <w:footnoteRef/>
      </w:r>
      <w:r>
        <w:t xml:space="preserve"> Tomado del Anexo 1</w:t>
      </w:r>
      <w:r w:rsidRPr="00365A91">
        <w:t>, “</w:t>
      </w:r>
      <w:r>
        <w:t>Objetivos  del ente responsable”, llenado por la SEIDUR.</w:t>
      </w:r>
    </w:p>
  </w:footnote>
  <w:footnote w:id="5">
    <w:p w14:paraId="23A0BCF1" w14:textId="77777777" w:rsidR="001673F4" w:rsidRDefault="001673F4" w:rsidP="00E57119">
      <w:pPr>
        <w:pStyle w:val="Textonotapie"/>
        <w:jc w:val="left"/>
      </w:pPr>
      <w:r>
        <w:rPr>
          <w:rStyle w:val="Refdenotaalpie"/>
        </w:rPr>
        <w:footnoteRef/>
      </w:r>
      <w:r>
        <w:t xml:space="preserve"> Tomado del Propósito de la MIR del programa Infraestructura no Habitacional.</w:t>
      </w:r>
    </w:p>
  </w:footnote>
  <w:footnote w:id="6">
    <w:p w14:paraId="687D2A36" w14:textId="77777777" w:rsidR="001673F4" w:rsidRDefault="001673F4" w:rsidP="003669D2">
      <w:pPr>
        <w:pStyle w:val="Textonotapie"/>
        <w:jc w:val="left"/>
      </w:pPr>
      <w:r>
        <w:rPr>
          <w:rStyle w:val="Refdenotaalpie"/>
        </w:rPr>
        <w:footnoteRef/>
      </w:r>
      <w:r>
        <w:rPr>
          <w:rStyle w:val="Refdenotaalpie"/>
        </w:rPr>
        <w:footnoteRef/>
      </w:r>
      <w:r>
        <w:t xml:space="preserve"> Con el objeto de sólo analizar las obras en infraestructura en este cuadro no se incluyeron los costos de los estudios o proyectos.</w:t>
      </w:r>
    </w:p>
  </w:footnote>
  <w:footnote w:id="7">
    <w:p w14:paraId="24C95075" w14:textId="77777777" w:rsidR="001673F4" w:rsidRDefault="001673F4" w:rsidP="00087287">
      <w:pPr>
        <w:pStyle w:val="Textonotapie"/>
        <w:jc w:val="left"/>
      </w:pPr>
      <w:r>
        <w:rPr>
          <w:rStyle w:val="Refdenotaalpie"/>
        </w:rPr>
        <w:footnoteRef/>
      </w:r>
      <w:r>
        <w:rPr>
          <w:rStyle w:val="Refdenotaalpie"/>
        </w:rPr>
        <w:footnoteRef/>
      </w:r>
      <w:r>
        <w:t xml:space="preserve"> Respuesta dada en la cédula a la pregunta 3.1.1. ¿</w:t>
      </w:r>
      <w:r w:rsidRPr="00D730E2">
        <w:t>Cómo está vinculado el Propósito del programa con los Objetivos del Desarrollo del Milenio, los Objetivos de Desarrollo Sostenible o la Agenda de Desarrollo Post 2015?</w:t>
      </w:r>
    </w:p>
  </w:footnote>
  <w:footnote w:id="8">
    <w:p w14:paraId="5A204F20" w14:textId="77777777" w:rsidR="001673F4" w:rsidRDefault="001673F4" w:rsidP="00D730E2">
      <w:pPr>
        <w:pStyle w:val="Textonotapie"/>
        <w:jc w:val="both"/>
      </w:pPr>
      <w:r>
        <w:rPr>
          <w:rStyle w:val="Refdenotaalpie"/>
        </w:rPr>
        <w:footnoteRef/>
      </w:r>
      <w:r>
        <w:t xml:space="preserve"> Respuesta dada en la cédula a la pregunta 3.1.1. ¿</w:t>
      </w:r>
      <w:r w:rsidRPr="00D730E2">
        <w:t>Cómo está vinculado el Propósito del programa con los Objetivos del Desarrollo del Milenio, los Objetivos de Desarrollo Sostenible o la Agenda de Desarrollo Post 2015?</w:t>
      </w:r>
    </w:p>
  </w:footnote>
  <w:footnote w:id="9">
    <w:p w14:paraId="2488686D" w14:textId="77777777" w:rsidR="001673F4" w:rsidRDefault="001673F4" w:rsidP="00614983">
      <w:pPr>
        <w:pStyle w:val="Textonotapie"/>
        <w:jc w:val="left"/>
      </w:pPr>
      <w:r>
        <w:rPr>
          <w:rStyle w:val="Refdenotaalpie"/>
        </w:rPr>
        <w:footnoteRef/>
      </w:r>
      <w:r>
        <w:t xml:space="preserve"> Respuesta dada en la cédula a la pregunta 2.2.1 </w:t>
      </w:r>
      <w:r w:rsidRPr="003869FC">
        <w:t>Bis. El propósito y el fin contribuyen a los objetivos del Plan Estatal de Desarrollo</w:t>
      </w:r>
      <w:r>
        <w:t>.</w:t>
      </w:r>
    </w:p>
  </w:footnote>
  <w:footnote w:id="10">
    <w:p w14:paraId="201AE35C" w14:textId="77777777" w:rsidR="001673F4" w:rsidRDefault="001673F4" w:rsidP="000726BB">
      <w:pPr>
        <w:pStyle w:val="Textonotapie"/>
        <w:jc w:val="both"/>
      </w:pPr>
      <w:r>
        <w:rPr>
          <w:rStyle w:val="Refdenotaalpie"/>
        </w:rPr>
        <w:footnoteRef/>
      </w:r>
      <w:r>
        <w:t xml:space="preserve"> Respuesta dada en la cédula a la pregunta 2.2.3 ¿</w:t>
      </w:r>
      <w:r w:rsidRPr="000726BB">
        <w:t xml:space="preserve"> Con cuáles metas y objetivos, así como estrategias transversales del Plan Nacional de Desarrollo vigente está vinculado el objetivo sectorial, especial, institucional o nacional relacionado con el programa</w:t>
      </w:r>
      <w:r>
        <w:t>?.</w:t>
      </w:r>
    </w:p>
  </w:footnote>
  <w:footnote w:id="11">
    <w:p w14:paraId="4290F805" w14:textId="77777777" w:rsidR="001673F4" w:rsidRDefault="001673F4" w:rsidP="007B7DEE">
      <w:pPr>
        <w:pStyle w:val="Textonotapie"/>
        <w:jc w:val="both"/>
      </w:pPr>
      <w:r>
        <w:rPr>
          <w:rStyle w:val="Refdenotaalpie"/>
        </w:rPr>
        <w:footnoteRef/>
      </w:r>
      <w:r>
        <w:t xml:space="preserve"> Respuesta dada en la cédula a la pregunta ¿</w:t>
      </w:r>
      <w:r w:rsidRPr="007B7DEE">
        <w:t>Cómo está vinculado el Propósito del programa con los Objetivos del Desarrollo del Milenio, los Objetivos de Desarrollo Sostenible o la Agenda de Desarrollo Post 2015?</w:t>
      </w:r>
      <w:r>
        <w:t>.</w:t>
      </w:r>
    </w:p>
  </w:footnote>
  <w:footnote w:id="12">
    <w:p w14:paraId="4E87A91D" w14:textId="77777777" w:rsidR="001673F4" w:rsidRDefault="001673F4" w:rsidP="00A301CD">
      <w:pPr>
        <w:pStyle w:val="Textonotapie"/>
        <w:jc w:val="both"/>
      </w:pPr>
      <w:r>
        <w:rPr>
          <w:rStyle w:val="Refdenotaalpie"/>
        </w:rPr>
        <w:footnoteRef/>
      </w:r>
      <w:r>
        <w:t xml:space="preserve"> Para mayor información la Guía se puede consultar en el vínculo </w:t>
      </w:r>
      <w:r w:rsidRPr="0078018A">
        <w:t>http://www.shcp.gob.mx/EGRESOS/PEF/sed/Guia%20MIR.pdf</w:t>
      </w:r>
    </w:p>
  </w:footnote>
  <w:footnote w:id="13">
    <w:p w14:paraId="456F9A72" w14:textId="77777777" w:rsidR="001673F4" w:rsidRDefault="001673F4" w:rsidP="009563A5">
      <w:pPr>
        <w:pStyle w:val="Textonotapie"/>
        <w:jc w:val="both"/>
      </w:pPr>
      <w:r>
        <w:rPr>
          <w:rStyle w:val="Refdenotaalpie"/>
        </w:rPr>
        <w:footnoteRef/>
      </w:r>
      <w:r>
        <w:t xml:space="preserve"> Respuesta dada en la cédula a la pregunta ¿</w:t>
      </w:r>
      <w:r w:rsidRPr="009563A5">
        <w:t>6.1. La Unidad Responsable del programa cuenta con un plan estratégico</w:t>
      </w:r>
      <w:r>
        <w:t>?</w:t>
      </w:r>
    </w:p>
  </w:footnote>
  <w:footnote w:id="14">
    <w:p w14:paraId="6584EA3E" w14:textId="77777777" w:rsidR="001673F4" w:rsidRDefault="001673F4" w:rsidP="003B32A5">
      <w:pPr>
        <w:pStyle w:val="Textonotapie"/>
        <w:jc w:val="left"/>
      </w:pPr>
      <w:r>
        <w:rPr>
          <w:rStyle w:val="Refdenotaalpie"/>
        </w:rPr>
        <w:footnoteRef/>
      </w:r>
      <w:r>
        <w:t xml:space="preserve"> Elinforme completo se puede consultar en el siguiente vinculo </w:t>
      </w:r>
      <w:r w:rsidRPr="003B32A5">
        <w:t>http://www.osaf.gob.mx/Resultados_2016/Evaluacion/EVAL_FAFEF_2016.pdf</w:t>
      </w:r>
    </w:p>
  </w:footnote>
  <w:footnote w:id="15">
    <w:p w14:paraId="371B3CC4" w14:textId="77777777" w:rsidR="001673F4" w:rsidRDefault="001673F4" w:rsidP="00D10EF4">
      <w:pPr>
        <w:pStyle w:val="Textonotapie"/>
        <w:jc w:val="both"/>
      </w:pPr>
      <w:r>
        <w:rPr>
          <w:rStyle w:val="Refdenotaalpie"/>
        </w:rPr>
        <w:footnoteRef/>
      </w:r>
      <w:r>
        <w:t xml:space="preserve"> Respuesta dada en la cédula a la pregunta 9.2¿</w:t>
      </w:r>
      <w:r w:rsidRPr="00D10EF4">
        <w:t>El programa recolecta información para monitorear su desempeño</w:t>
      </w:r>
      <w:r>
        <w:t>?</w:t>
      </w:r>
    </w:p>
  </w:footnote>
  <w:footnote w:id="16">
    <w:p w14:paraId="2AF708CA" w14:textId="77777777" w:rsidR="001673F4" w:rsidRDefault="001673F4" w:rsidP="008E2CDE">
      <w:pPr>
        <w:pStyle w:val="Textonotapie"/>
        <w:jc w:val="both"/>
      </w:pPr>
      <w:r>
        <w:rPr>
          <w:rStyle w:val="Refdenotaalpie"/>
        </w:rPr>
        <w:footnoteRef/>
      </w:r>
      <w:r>
        <w:t xml:space="preserve">  Respuesta dada en la cédula a la pregunta 8.1¿El </w:t>
      </w:r>
      <w:r w:rsidRPr="008E2CDE">
        <w:t>programa cuenta con una estrategia de cobertura documentada para atender a su población objetivo</w:t>
      </w:r>
      <w:r>
        <w:t>?.</w:t>
      </w:r>
    </w:p>
  </w:footnote>
  <w:footnote w:id="17">
    <w:p w14:paraId="62190233" w14:textId="77777777" w:rsidR="001673F4" w:rsidRPr="000075CC" w:rsidRDefault="001673F4" w:rsidP="00662D69">
      <w:pPr>
        <w:pStyle w:val="Textonotapie"/>
        <w:jc w:val="both"/>
      </w:pPr>
      <w:r>
        <w:rPr>
          <w:rStyle w:val="Refdenotaalpie"/>
        </w:rPr>
        <w:footnoteRef/>
      </w:r>
      <w:r>
        <w:t xml:space="preserve"> Tomado del documento Plan de calidad para proyectos ejecutivos” suministrado por la SEIDUR como evidencia.</w:t>
      </w:r>
    </w:p>
  </w:footnote>
  <w:footnote w:id="18">
    <w:p w14:paraId="7476500A" w14:textId="77777777" w:rsidR="001673F4" w:rsidRPr="0079616F" w:rsidRDefault="001673F4" w:rsidP="00662D69">
      <w:pPr>
        <w:pStyle w:val="Textonotapie"/>
        <w:jc w:val="both"/>
      </w:pPr>
      <w:r>
        <w:rPr>
          <w:rStyle w:val="Refdenotaalpie"/>
        </w:rPr>
        <w:footnoteRef/>
      </w:r>
      <w:r>
        <w:t xml:space="preserve"> Tomado del documento “Plan de la Calidad para la contratación” suministrado por la SEIDUR como evidencia.</w:t>
      </w:r>
    </w:p>
  </w:footnote>
  <w:footnote w:id="19">
    <w:p w14:paraId="79E996F3" w14:textId="77777777" w:rsidR="001673F4" w:rsidRPr="00C30B6B" w:rsidRDefault="001673F4" w:rsidP="00662D69">
      <w:pPr>
        <w:pStyle w:val="Textonotapie"/>
      </w:pPr>
      <w:r>
        <w:rPr>
          <w:rStyle w:val="Refdenotaalpie"/>
        </w:rPr>
        <w:footnoteRef/>
      </w:r>
      <w:r>
        <w:t xml:space="preserve"> Tomado del documento </w:t>
      </w:r>
      <w:r w:rsidRPr="00C30B6B">
        <w:t xml:space="preserve">Procedimiento de Ejecución de Obra Contratada </w:t>
      </w:r>
      <w:r>
        <w:t>suministrado por la SEIDUR como evidencia.</w:t>
      </w:r>
    </w:p>
  </w:footnote>
  <w:footnote w:id="20">
    <w:p w14:paraId="1150EA48" w14:textId="77777777" w:rsidR="001673F4" w:rsidRPr="000C73BE" w:rsidRDefault="001673F4" w:rsidP="00BB6E40">
      <w:pPr>
        <w:pStyle w:val="Textonotapie"/>
        <w:jc w:val="both"/>
      </w:pPr>
      <w:r>
        <w:rPr>
          <w:rStyle w:val="Refdenotaalpie"/>
        </w:rPr>
        <w:footnoteRef/>
      </w:r>
      <w:r>
        <w:t xml:space="preserve"> Tomado del documento </w:t>
      </w:r>
      <w:r w:rsidRPr="000C73BE">
        <w:t>Plan de calidad para la ejecución de la obra</w:t>
      </w:r>
      <w:r>
        <w:t xml:space="preserve"> suministrado por la SEIDUR como evidencia.</w:t>
      </w:r>
    </w:p>
  </w:footnote>
  <w:footnote w:id="21">
    <w:p w14:paraId="68388553" w14:textId="77777777" w:rsidR="001673F4" w:rsidRDefault="001673F4" w:rsidP="00D91CB5">
      <w:pPr>
        <w:pStyle w:val="Textonotapie"/>
        <w:jc w:val="both"/>
      </w:pPr>
      <w:r>
        <w:rPr>
          <w:rStyle w:val="Refdenotaalpie"/>
        </w:rPr>
        <w:footnoteRef/>
      </w:r>
      <w:r>
        <w:t xml:space="preserve"> Respuesta dada en la cédula a la pregunta ¿El </w:t>
      </w:r>
      <w:r w:rsidRPr="00D91CB5">
        <w:t>programa cuenta con mecanismos documentados para verificar el procedimiento de selección de  beneficiarios y/o proyectos (obras)</w:t>
      </w:r>
      <w:r>
        <w:t>?.</w:t>
      </w:r>
    </w:p>
  </w:footnote>
  <w:footnote w:id="22">
    <w:p w14:paraId="5B5FB1B1" w14:textId="77777777" w:rsidR="001673F4" w:rsidRDefault="001673F4" w:rsidP="00742762">
      <w:pPr>
        <w:pStyle w:val="Textonotapie"/>
        <w:jc w:val="left"/>
      </w:pPr>
      <w:r>
        <w:rPr>
          <w:rStyle w:val="Refdenotaalpie"/>
        </w:rPr>
        <w:footnoteRef/>
      </w:r>
      <w:r>
        <w:t xml:space="preserve"> Respuesta dada en la cédula a la pregunta 10.10 ¿E</w:t>
      </w:r>
      <w:r w:rsidRPr="00742762">
        <w:t xml:space="preserve"> l programa cuenta con mecanismos documentados para dar seguimiento a la ejecución de los proyectos (obras)</w:t>
      </w:r>
      <w:r>
        <w:t>.</w:t>
      </w:r>
    </w:p>
  </w:footnote>
  <w:footnote w:id="23">
    <w:p w14:paraId="0130CCC4" w14:textId="77777777" w:rsidR="001673F4" w:rsidRDefault="001673F4" w:rsidP="000B0E2D">
      <w:pPr>
        <w:pStyle w:val="Textonotapie"/>
        <w:jc w:val="left"/>
      </w:pPr>
      <w:r>
        <w:rPr>
          <w:rStyle w:val="Refdenotaalpie"/>
        </w:rPr>
        <w:footnoteRef/>
      </w:r>
      <w:r>
        <w:t xml:space="preserve"> Respuesta dada en la cédula a la pregunta 11.1 ¿</w:t>
      </w:r>
      <w:r w:rsidRPr="000B0E2D">
        <w:t>Cuáles cambios sustantivos en el documento normativo se han hecho en los últimos tres años que han permitido agilizar el proceso de apoyo a los solicitantes</w:t>
      </w:r>
      <w:r>
        <w:t>?.</w:t>
      </w:r>
    </w:p>
  </w:footnote>
  <w:footnote w:id="24">
    <w:p w14:paraId="482C192D" w14:textId="77777777" w:rsidR="001673F4" w:rsidRDefault="001673F4" w:rsidP="001947EF">
      <w:pPr>
        <w:pStyle w:val="Textonotapie"/>
        <w:jc w:val="both"/>
      </w:pPr>
      <w:r>
        <w:rPr>
          <w:rStyle w:val="Refdenotaalpie"/>
        </w:rPr>
        <w:footnoteRef/>
      </w:r>
      <w:r>
        <w:t xml:space="preserve"> Para mayor información consultar en el vínculo </w:t>
      </w:r>
      <w:r w:rsidRPr="001947EF">
        <w:t>http://www.colima-estado.gob.mx/transparencia/</w:t>
      </w:r>
      <w:r>
        <w:t>.</w:t>
      </w:r>
    </w:p>
  </w:footnote>
  <w:footnote w:id="25">
    <w:p w14:paraId="5ECEA000" w14:textId="77777777" w:rsidR="001673F4" w:rsidRDefault="001673F4" w:rsidP="00A14C10">
      <w:pPr>
        <w:pStyle w:val="Textonotapie"/>
        <w:jc w:val="left"/>
      </w:pPr>
      <w:r>
        <w:rPr>
          <w:rStyle w:val="Refdenotaalpie"/>
        </w:rPr>
        <w:footnoteRef/>
      </w:r>
      <w:r>
        <w:t xml:space="preserve"> Para consultar el informe completo ver el vinculo </w:t>
      </w:r>
      <w:r w:rsidRPr="00A14C10">
        <w:t>https://docs.google.com/document/d/1SvUQNjcHyRK4TzaZQv8kaR1GzVzDTJwIJU_UYn7-eds/edit</w:t>
      </w:r>
    </w:p>
  </w:footnote>
  <w:footnote w:id="26">
    <w:p w14:paraId="37DCFE56" w14:textId="77777777" w:rsidR="001673F4" w:rsidRDefault="001673F4" w:rsidP="00C7321D">
      <w:pPr>
        <w:pStyle w:val="Textonotapie"/>
        <w:jc w:val="both"/>
      </w:pPr>
      <w:r>
        <w:rPr>
          <w:rStyle w:val="Refdenotaalpie"/>
        </w:rPr>
        <w:footnoteRef/>
      </w:r>
      <w:r>
        <w:t xml:space="preserve"> </w:t>
      </w:r>
      <w:r w:rsidRPr="00C7321D">
        <w:t>El estudio de investigación tuvo como parámetro de medición los últimos seis meses del año, es decir de febrero a agosto del 2016 y se levantó del 22 al 27 de agosto en forma simultánea en los 10 municipios del estado</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89B3E" w14:textId="77777777" w:rsidR="001673F4" w:rsidRDefault="001673F4">
    <w:pPr>
      <w:pStyle w:val="Encabezado"/>
      <w:jc w:val="right"/>
      <w:rPr>
        <w:color w:val="4F81BD" w:themeColor="accent1"/>
      </w:rPr>
    </w:pPr>
    <w:r>
      <w:rPr>
        <w:noProof/>
        <w:lang w:eastAsia="es-MX"/>
      </w:rPr>
      <w:drawing>
        <wp:anchor distT="0" distB="0" distL="114300" distR="114300" simplePos="0" relativeHeight="251657728" behindDoc="1" locked="0" layoutInCell="1" allowOverlap="1" wp14:anchorId="7E5F1840" wp14:editId="213257FF">
          <wp:simplePos x="0" y="0"/>
          <wp:positionH relativeFrom="column">
            <wp:posOffset>5137785</wp:posOffset>
          </wp:positionH>
          <wp:positionV relativeFrom="paragraph">
            <wp:posOffset>-213360</wp:posOffset>
          </wp:positionV>
          <wp:extent cx="1200150" cy="619760"/>
          <wp:effectExtent l="0" t="0" r="0" b="8890"/>
          <wp:wrapTight wrapText="bothSides">
            <wp:wrapPolygon edited="0">
              <wp:start x="9943" y="0"/>
              <wp:lineTo x="0" y="2656"/>
              <wp:lineTo x="0" y="6639"/>
              <wp:lineTo x="686" y="18590"/>
              <wp:lineTo x="3086" y="21246"/>
              <wp:lineTo x="9943" y="21246"/>
              <wp:lineTo x="12000" y="21246"/>
              <wp:lineTo x="21257" y="19254"/>
              <wp:lineTo x="21257" y="2656"/>
              <wp:lineTo x="12000" y="0"/>
              <wp:lineTo x="9943" y="0"/>
            </wp:wrapPolygon>
          </wp:wrapTight>
          <wp:docPr id="4" name="Picture 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logo1"/>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619760"/>
                  </a:xfrm>
                  <a:prstGeom prst="rect">
                    <a:avLst/>
                  </a:prstGeom>
                  <a:noFill/>
                  <a:ln w="9525">
                    <a:noFill/>
                    <a:miter lim="800000"/>
                    <a:headEnd/>
                    <a:tailEnd/>
                  </a:ln>
                </pic:spPr>
              </pic:pic>
            </a:graphicData>
          </a:graphic>
        </wp:anchor>
      </w:drawing>
    </w:r>
    <w:r>
      <w:rPr>
        <w:noProof/>
        <w:lang w:eastAsia="es-MX"/>
      </w:rPr>
      <mc:AlternateContent>
        <mc:Choice Requires="wps">
          <w:drawing>
            <wp:anchor distT="0" distB="0" distL="114298" distR="114298" simplePos="0" relativeHeight="251660800" behindDoc="0" locked="0" layoutInCell="1" allowOverlap="1" wp14:anchorId="23669825" wp14:editId="31E79A5C">
              <wp:simplePos x="0" y="0"/>
              <wp:positionH relativeFrom="column">
                <wp:posOffset>337000</wp:posOffset>
              </wp:positionH>
              <wp:positionV relativeFrom="paragraph">
                <wp:posOffset>-104935</wp:posOffset>
              </wp:positionV>
              <wp:extent cx="3659" cy="456940"/>
              <wp:effectExtent l="25400" t="25400" r="47625" b="26035"/>
              <wp:wrapNone/>
              <wp:docPr id="17" name="1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9" cy="456940"/>
                      </a:xfrm>
                      <a:prstGeom prst="line">
                        <a:avLst/>
                      </a:prstGeom>
                      <a:ln w="603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0B3FF8E" id="17 Conector recto" o:spid="_x0000_s1026" style="position:absolute;z-index:25166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6.55pt,-8.25pt" to="26.8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" strokecolor="#bfbfbf [2412]" strokeweight="4.75pt">
              <o:lock v:ext="edit" shapetype="f"/>
            </v:line>
          </w:pict>
        </mc:Fallback>
      </mc:AlternateContent>
    </w:r>
    <w:r>
      <w:rPr>
        <w:noProof/>
        <w:color w:val="4F81BD" w:themeColor="accent1"/>
        <w:sz w:val="200"/>
        <w:szCs w:val="200"/>
        <w:lang w:eastAsia="es-MX"/>
      </w:rPr>
      <mc:AlternateContent>
        <mc:Choice Requires="wps">
          <w:drawing>
            <wp:anchor distT="0" distB="0" distL="114300" distR="114300" simplePos="0" relativeHeight="251659776" behindDoc="0" locked="0" layoutInCell="1" allowOverlap="1" wp14:anchorId="1D1989E0" wp14:editId="77CB10AB">
              <wp:simplePos x="0" y="0"/>
              <wp:positionH relativeFrom="column">
                <wp:posOffset>348615</wp:posOffset>
              </wp:positionH>
              <wp:positionV relativeFrom="paragraph">
                <wp:posOffset>-220345</wp:posOffset>
              </wp:positionV>
              <wp:extent cx="1238250" cy="800735"/>
              <wp:effectExtent l="0" t="0" r="6350" b="12065"/>
              <wp:wrapNone/>
              <wp:docPr id="16" name="1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800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EDD74" w14:textId="77777777" w:rsidR="001673F4" w:rsidRPr="00C67D5B" w:rsidRDefault="001673F4" w:rsidP="00B46F01">
                          <w:pPr>
                            <w:rPr>
                              <w:rFonts w:ascii="Candara" w:hAnsi="Candara"/>
                              <w:b/>
                              <w:color w:val="0E4E7A"/>
                              <w:sz w:val="24"/>
                            </w:rPr>
                          </w:pPr>
                          <w:r w:rsidRPr="00C67D5B">
                            <w:rPr>
                              <w:rFonts w:ascii="Candara" w:hAnsi="Candara"/>
                              <w:b/>
                              <w:color w:val="0E4E7A"/>
                              <w:sz w:val="24"/>
                            </w:rPr>
                            <w:t xml:space="preserve">Evaluación de Consistencia y Resultados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989E0" id="_x0000_t202" coordsize="21600,21600" o:spt="202" path="m,l,21600r21600,l21600,xe">
              <v:stroke joinstyle="miter"/>
              <v:path gradientshapeok="t" o:connecttype="rect"/>
            </v:shapetype>
            <v:shape id="16 Cuadro de texto" o:spid="_x0000_s1065" type="#_x0000_t202" style="position:absolute;left:0;text-align:left;margin-left:27.45pt;margin-top:-17.35pt;width:97.5pt;height:6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" fillcolor="white [3201]" stroked="f" strokeweight=".5pt">
              <v:path arrowok="t"/>
              <v:textbox>
                <w:txbxContent>
                  <w:p w14:paraId="582EDD74" w14:textId="77777777" w:rsidR="001673F4" w:rsidRPr="00C67D5B" w:rsidRDefault="001673F4" w:rsidP="00B46F01">
                    <w:pPr>
                      <w:rPr>
                        <w:rFonts w:ascii="Candara" w:hAnsi="Candara"/>
                        <w:b/>
                        <w:color w:val="0E4E7A"/>
                        <w:sz w:val="24"/>
                      </w:rPr>
                    </w:pPr>
                    <w:r w:rsidRPr="00C67D5B">
                      <w:rPr>
                        <w:rFonts w:ascii="Candara" w:hAnsi="Candara"/>
                        <w:b/>
                        <w:color w:val="0E4E7A"/>
                        <w:sz w:val="24"/>
                      </w:rPr>
                      <w:t xml:space="preserve">Evaluación de Consistencia y Resultados </w:t>
                    </w:r>
                  </w:p>
                </w:txbxContent>
              </v:textbox>
            </v:shape>
          </w:pict>
        </mc:Fallback>
      </mc:AlternateContent>
    </w:r>
    <w:r>
      <w:rPr>
        <w:noProof/>
        <w:lang w:eastAsia="es-MX"/>
      </w:rPr>
      <w:drawing>
        <wp:anchor distT="0" distB="0" distL="114300" distR="114300" simplePos="0" relativeHeight="251658752" behindDoc="1" locked="0" layoutInCell="1" allowOverlap="1" wp14:anchorId="444B5619" wp14:editId="1932DF2A">
          <wp:simplePos x="0" y="0"/>
          <wp:positionH relativeFrom="column">
            <wp:posOffset>-686435</wp:posOffset>
          </wp:positionH>
          <wp:positionV relativeFrom="paragraph">
            <wp:posOffset>-105410</wp:posOffset>
          </wp:positionV>
          <wp:extent cx="1057275" cy="467995"/>
          <wp:effectExtent l="0" t="0" r="9525" b="8255"/>
          <wp:wrapTight wrapText="bothSides">
            <wp:wrapPolygon edited="0">
              <wp:start x="0" y="0"/>
              <wp:lineTo x="0" y="21102"/>
              <wp:lineTo x="21405" y="21102"/>
              <wp:lineTo x="21405"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BEBA8EAE-BF5A-486C-A8C5-ECC9F3942E4B}">
                        <a14:imgProps xmlns:a14="http://schemas.microsoft.com/office/drawing/2010/main">
                          <a14:imgLayer r:embed="rId3">
                            <a14:imgEffect>
                              <a14:backgroundRemoval t="17839" b="61589" l="8492" r="86457">
                                <a14:foregroundMark x1="22767" y1="26432" x2="22108" y2="30339"/>
                                <a14:foregroundMark x1="27160" y1="26172" x2="27086" y2="32292"/>
                                <a14:foregroundMark x1="53587" y1="43099" x2="53587" y2="43099"/>
                                <a14:foregroundMark x1="86457" y1="61589" x2="86457" y2="61589"/>
                                <a14:foregroundMark x1="86457" y1="61589" x2="86457" y2="61589"/>
                              </a14:backgroundRemoval>
                            </a14:imgEffect>
                          </a14:imgLayer>
                        </a14:imgProps>
                      </a:ext>
                      <a:ext uri="{28A0092B-C50C-407E-A947-70E740481C1C}">
                        <a14:useLocalDpi xmlns:a14="http://schemas.microsoft.com/office/drawing/2010/main" val="0"/>
                      </a:ext>
                    </a:extLst>
                  </a:blip>
                  <a:srcRect l="15623" t="23679" r="68753" b="63992"/>
                  <a:stretch/>
                </pic:blipFill>
                <pic:spPr bwMode="auto">
                  <a:xfrm>
                    <a:off x="0" y="0"/>
                    <a:ext cx="1057275" cy="467995"/>
                  </a:xfrm>
                  <a:prstGeom prst="rect">
                    <a:avLst/>
                  </a:prstGeom>
                  <a:ln>
                    <a:noFill/>
                  </a:ln>
                  <a:extLst>
                    <a:ext uri="{53640926-AAD7-44D8-BBD7-CCE9431645EC}">
                      <a14:shadowObscured xmlns:a14="http://schemas.microsoft.com/office/drawing/2010/main"/>
                    </a:ext>
                  </a:extLst>
                </pic:spPr>
              </pic:pic>
            </a:graphicData>
          </a:graphic>
        </wp:anchor>
      </w:drawing>
    </w:r>
  </w:p>
  <w:p w14:paraId="618854F1" w14:textId="77777777" w:rsidR="001673F4" w:rsidRDefault="001673F4" w:rsidP="00665CBB">
    <w:pPr>
      <w:pStyle w:val="Encabezado"/>
      <w:jc w:val="center"/>
    </w:pPr>
  </w:p>
  <w:p w14:paraId="462F7CF7" w14:textId="77777777" w:rsidR="001673F4" w:rsidRDefault="001673F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BD14565_"/>
      </v:shape>
    </w:pict>
  </w:numPicBullet>
  <w:abstractNum w:abstractNumId="0">
    <w:nsid w:val="0163583F"/>
    <w:multiLevelType w:val="hybridMultilevel"/>
    <w:tmpl w:val="6AD27D82"/>
    <w:lvl w:ilvl="0" w:tplc="59044D0C">
      <w:start w:val="1"/>
      <w:numFmt w:val="bullet"/>
      <w:lvlText w:val=""/>
      <w:lvlPicBulletId w:val="0"/>
      <w:lvlJc w:val="left"/>
      <w:pPr>
        <w:tabs>
          <w:tab w:val="num" w:pos="720"/>
        </w:tabs>
        <w:ind w:left="720" w:hanging="360"/>
      </w:pPr>
      <w:rPr>
        <w:rFonts w:ascii="Symbol" w:hAnsi="Symbol" w:hint="default"/>
      </w:rPr>
    </w:lvl>
    <w:lvl w:ilvl="1" w:tplc="4D34122E" w:tentative="1">
      <w:start w:val="1"/>
      <w:numFmt w:val="bullet"/>
      <w:lvlText w:val=""/>
      <w:lvlPicBulletId w:val="0"/>
      <w:lvlJc w:val="left"/>
      <w:pPr>
        <w:tabs>
          <w:tab w:val="num" w:pos="1440"/>
        </w:tabs>
        <w:ind w:left="1440" w:hanging="360"/>
      </w:pPr>
      <w:rPr>
        <w:rFonts w:ascii="Symbol" w:hAnsi="Symbol" w:hint="default"/>
      </w:rPr>
    </w:lvl>
    <w:lvl w:ilvl="2" w:tplc="C99CFA04" w:tentative="1">
      <w:start w:val="1"/>
      <w:numFmt w:val="bullet"/>
      <w:lvlText w:val=""/>
      <w:lvlPicBulletId w:val="0"/>
      <w:lvlJc w:val="left"/>
      <w:pPr>
        <w:tabs>
          <w:tab w:val="num" w:pos="2160"/>
        </w:tabs>
        <w:ind w:left="2160" w:hanging="360"/>
      </w:pPr>
      <w:rPr>
        <w:rFonts w:ascii="Symbol" w:hAnsi="Symbol" w:hint="default"/>
      </w:rPr>
    </w:lvl>
    <w:lvl w:ilvl="3" w:tplc="05A85EAC" w:tentative="1">
      <w:start w:val="1"/>
      <w:numFmt w:val="bullet"/>
      <w:lvlText w:val=""/>
      <w:lvlPicBulletId w:val="0"/>
      <w:lvlJc w:val="left"/>
      <w:pPr>
        <w:tabs>
          <w:tab w:val="num" w:pos="2880"/>
        </w:tabs>
        <w:ind w:left="2880" w:hanging="360"/>
      </w:pPr>
      <w:rPr>
        <w:rFonts w:ascii="Symbol" w:hAnsi="Symbol" w:hint="default"/>
      </w:rPr>
    </w:lvl>
    <w:lvl w:ilvl="4" w:tplc="4744912C" w:tentative="1">
      <w:start w:val="1"/>
      <w:numFmt w:val="bullet"/>
      <w:lvlText w:val=""/>
      <w:lvlPicBulletId w:val="0"/>
      <w:lvlJc w:val="left"/>
      <w:pPr>
        <w:tabs>
          <w:tab w:val="num" w:pos="3600"/>
        </w:tabs>
        <w:ind w:left="3600" w:hanging="360"/>
      </w:pPr>
      <w:rPr>
        <w:rFonts w:ascii="Symbol" w:hAnsi="Symbol" w:hint="default"/>
      </w:rPr>
    </w:lvl>
    <w:lvl w:ilvl="5" w:tplc="D21AC9B2" w:tentative="1">
      <w:start w:val="1"/>
      <w:numFmt w:val="bullet"/>
      <w:lvlText w:val=""/>
      <w:lvlPicBulletId w:val="0"/>
      <w:lvlJc w:val="left"/>
      <w:pPr>
        <w:tabs>
          <w:tab w:val="num" w:pos="4320"/>
        </w:tabs>
        <w:ind w:left="4320" w:hanging="360"/>
      </w:pPr>
      <w:rPr>
        <w:rFonts w:ascii="Symbol" w:hAnsi="Symbol" w:hint="default"/>
      </w:rPr>
    </w:lvl>
    <w:lvl w:ilvl="6" w:tplc="45AC3AF4" w:tentative="1">
      <w:start w:val="1"/>
      <w:numFmt w:val="bullet"/>
      <w:lvlText w:val=""/>
      <w:lvlPicBulletId w:val="0"/>
      <w:lvlJc w:val="left"/>
      <w:pPr>
        <w:tabs>
          <w:tab w:val="num" w:pos="5040"/>
        </w:tabs>
        <w:ind w:left="5040" w:hanging="360"/>
      </w:pPr>
      <w:rPr>
        <w:rFonts w:ascii="Symbol" w:hAnsi="Symbol" w:hint="default"/>
      </w:rPr>
    </w:lvl>
    <w:lvl w:ilvl="7" w:tplc="1C24F67E" w:tentative="1">
      <w:start w:val="1"/>
      <w:numFmt w:val="bullet"/>
      <w:lvlText w:val=""/>
      <w:lvlPicBulletId w:val="0"/>
      <w:lvlJc w:val="left"/>
      <w:pPr>
        <w:tabs>
          <w:tab w:val="num" w:pos="5760"/>
        </w:tabs>
        <w:ind w:left="5760" w:hanging="360"/>
      </w:pPr>
      <w:rPr>
        <w:rFonts w:ascii="Symbol" w:hAnsi="Symbol" w:hint="default"/>
      </w:rPr>
    </w:lvl>
    <w:lvl w:ilvl="8" w:tplc="06A09FBC"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4072D33"/>
    <w:multiLevelType w:val="hybridMultilevel"/>
    <w:tmpl w:val="58ECAB16"/>
    <w:lvl w:ilvl="0" w:tplc="3898AA0A">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4F5472"/>
    <w:multiLevelType w:val="multilevel"/>
    <w:tmpl w:val="BDD8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0021BA"/>
    <w:multiLevelType w:val="multilevel"/>
    <w:tmpl w:val="C798922E"/>
    <w:styleLink w:val="Estilo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6C11B3A"/>
    <w:multiLevelType w:val="multilevel"/>
    <w:tmpl w:val="DDF49312"/>
    <w:lvl w:ilvl="0">
      <w:start w:val="4"/>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7D037BA"/>
    <w:multiLevelType w:val="hybridMultilevel"/>
    <w:tmpl w:val="5C8A85E0"/>
    <w:lvl w:ilvl="0" w:tplc="080A0013">
      <w:start w:val="1"/>
      <w:numFmt w:val="upp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
    <w:nsid w:val="18564CD1"/>
    <w:multiLevelType w:val="multilevel"/>
    <w:tmpl w:val="C798922E"/>
    <w:numStyleLink w:val="Estilo4"/>
  </w:abstractNum>
  <w:abstractNum w:abstractNumId="7">
    <w:nsid w:val="1ABA7DAB"/>
    <w:multiLevelType w:val="hybridMultilevel"/>
    <w:tmpl w:val="CB0865B6"/>
    <w:lvl w:ilvl="0" w:tplc="59082494">
      <w:start w:val="1"/>
      <w:numFmt w:val="bullet"/>
      <w:lvlText w:val="►"/>
      <w:lvlJc w:val="left"/>
      <w:pPr>
        <w:ind w:left="720" w:hanging="360"/>
      </w:pPr>
      <w:rPr>
        <w:rFonts w:ascii="Arial" w:hAnsi="Arial" w:hint="default"/>
        <w:color w:val="0E4E7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B716EDE"/>
    <w:multiLevelType w:val="multilevel"/>
    <w:tmpl w:val="26E47712"/>
    <w:lvl w:ilvl="0">
      <w:start w:val="1"/>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nsid w:val="1E0733B4"/>
    <w:multiLevelType w:val="hybridMultilevel"/>
    <w:tmpl w:val="5F6E87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6E13B3"/>
    <w:multiLevelType w:val="hybridMultilevel"/>
    <w:tmpl w:val="20D62A54"/>
    <w:lvl w:ilvl="0" w:tplc="6106829E">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5031917"/>
    <w:multiLevelType w:val="multilevel"/>
    <w:tmpl w:val="8A4E3F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5DB6C42"/>
    <w:multiLevelType w:val="multilevel"/>
    <w:tmpl w:val="DCC61680"/>
    <w:lvl w:ilvl="0">
      <w:start w:val="4"/>
      <w:numFmt w:val="decimal"/>
      <w:lvlText w:val="%1"/>
      <w:lvlJc w:val="left"/>
      <w:pPr>
        <w:ind w:left="360" w:hanging="360"/>
      </w:pPr>
      <w:rPr>
        <w:rFonts w:hint="default"/>
      </w:rPr>
    </w:lvl>
    <w:lvl w:ilvl="1">
      <w:start w:val="1"/>
      <w:numFmt w:val="decimal"/>
      <w:lvlText w:val="%1.%2"/>
      <w:lvlJc w:val="left"/>
      <w:pPr>
        <w:ind w:left="667" w:hanging="360"/>
      </w:pPr>
      <w:rPr>
        <w:rFonts w:hint="default"/>
      </w:rPr>
    </w:lvl>
    <w:lvl w:ilvl="2">
      <w:start w:val="1"/>
      <w:numFmt w:val="decimal"/>
      <w:lvlText w:val="%1.%2.%3"/>
      <w:lvlJc w:val="left"/>
      <w:pPr>
        <w:ind w:left="1334" w:hanging="720"/>
      </w:pPr>
      <w:rPr>
        <w:rFonts w:hint="default"/>
      </w:rPr>
    </w:lvl>
    <w:lvl w:ilvl="3">
      <w:start w:val="1"/>
      <w:numFmt w:val="decimal"/>
      <w:lvlText w:val="%1.%2.%3.%4"/>
      <w:lvlJc w:val="left"/>
      <w:pPr>
        <w:ind w:left="1641" w:hanging="720"/>
      </w:pPr>
      <w:rPr>
        <w:rFonts w:hint="default"/>
      </w:rPr>
    </w:lvl>
    <w:lvl w:ilvl="4">
      <w:start w:val="1"/>
      <w:numFmt w:val="decimal"/>
      <w:lvlText w:val="%1.%2.%3.%4.%5"/>
      <w:lvlJc w:val="left"/>
      <w:pPr>
        <w:ind w:left="2308" w:hanging="1080"/>
      </w:pPr>
      <w:rPr>
        <w:rFonts w:hint="default"/>
      </w:rPr>
    </w:lvl>
    <w:lvl w:ilvl="5">
      <w:start w:val="1"/>
      <w:numFmt w:val="decimal"/>
      <w:lvlText w:val="%1.%2.%3.%4.%5.%6"/>
      <w:lvlJc w:val="left"/>
      <w:pPr>
        <w:ind w:left="2615" w:hanging="1080"/>
      </w:pPr>
      <w:rPr>
        <w:rFonts w:hint="default"/>
      </w:rPr>
    </w:lvl>
    <w:lvl w:ilvl="6">
      <w:start w:val="1"/>
      <w:numFmt w:val="decimal"/>
      <w:lvlText w:val="%1.%2.%3.%4.%5.%6.%7"/>
      <w:lvlJc w:val="left"/>
      <w:pPr>
        <w:ind w:left="3282" w:hanging="1440"/>
      </w:pPr>
      <w:rPr>
        <w:rFonts w:hint="default"/>
      </w:rPr>
    </w:lvl>
    <w:lvl w:ilvl="7">
      <w:start w:val="1"/>
      <w:numFmt w:val="decimal"/>
      <w:lvlText w:val="%1.%2.%3.%4.%5.%6.%7.%8"/>
      <w:lvlJc w:val="left"/>
      <w:pPr>
        <w:ind w:left="3589" w:hanging="1440"/>
      </w:pPr>
      <w:rPr>
        <w:rFonts w:hint="default"/>
      </w:rPr>
    </w:lvl>
    <w:lvl w:ilvl="8">
      <w:start w:val="1"/>
      <w:numFmt w:val="decimal"/>
      <w:lvlText w:val="%1.%2.%3.%4.%5.%6.%7.%8.%9"/>
      <w:lvlJc w:val="left"/>
      <w:pPr>
        <w:ind w:left="4256" w:hanging="1800"/>
      </w:pPr>
      <w:rPr>
        <w:rFonts w:hint="default"/>
      </w:rPr>
    </w:lvl>
  </w:abstractNum>
  <w:abstractNum w:abstractNumId="13">
    <w:nsid w:val="26DE39B9"/>
    <w:multiLevelType w:val="hybridMultilevel"/>
    <w:tmpl w:val="8AC8B6CC"/>
    <w:lvl w:ilvl="0" w:tplc="699E676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AAF43D3"/>
    <w:multiLevelType w:val="multilevel"/>
    <w:tmpl w:val="9198FE7E"/>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1D68A9"/>
    <w:multiLevelType w:val="hybridMultilevel"/>
    <w:tmpl w:val="F7FE5A3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3437B9"/>
    <w:multiLevelType w:val="hybridMultilevel"/>
    <w:tmpl w:val="F6248A3A"/>
    <w:lvl w:ilvl="0" w:tplc="4956FB92">
      <w:start w:val="1"/>
      <w:numFmt w:val="bullet"/>
      <w:lvlText w:val=""/>
      <w:lvlPicBulletId w:val="0"/>
      <w:lvlJc w:val="left"/>
      <w:pPr>
        <w:tabs>
          <w:tab w:val="num" w:pos="720"/>
        </w:tabs>
        <w:ind w:left="720" w:hanging="360"/>
      </w:pPr>
      <w:rPr>
        <w:rFonts w:ascii="Symbol" w:hAnsi="Symbol" w:hint="default"/>
      </w:rPr>
    </w:lvl>
    <w:lvl w:ilvl="1" w:tplc="D92053B6" w:tentative="1">
      <w:start w:val="1"/>
      <w:numFmt w:val="bullet"/>
      <w:lvlText w:val=""/>
      <w:lvlPicBulletId w:val="0"/>
      <w:lvlJc w:val="left"/>
      <w:pPr>
        <w:tabs>
          <w:tab w:val="num" w:pos="1440"/>
        </w:tabs>
        <w:ind w:left="1440" w:hanging="360"/>
      </w:pPr>
      <w:rPr>
        <w:rFonts w:ascii="Symbol" w:hAnsi="Symbol" w:hint="default"/>
      </w:rPr>
    </w:lvl>
    <w:lvl w:ilvl="2" w:tplc="D70C7B5E" w:tentative="1">
      <w:start w:val="1"/>
      <w:numFmt w:val="bullet"/>
      <w:lvlText w:val=""/>
      <w:lvlPicBulletId w:val="0"/>
      <w:lvlJc w:val="left"/>
      <w:pPr>
        <w:tabs>
          <w:tab w:val="num" w:pos="2160"/>
        </w:tabs>
        <w:ind w:left="2160" w:hanging="360"/>
      </w:pPr>
      <w:rPr>
        <w:rFonts w:ascii="Symbol" w:hAnsi="Symbol" w:hint="default"/>
      </w:rPr>
    </w:lvl>
    <w:lvl w:ilvl="3" w:tplc="47C49DE4" w:tentative="1">
      <w:start w:val="1"/>
      <w:numFmt w:val="bullet"/>
      <w:lvlText w:val=""/>
      <w:lvlPicBulletId w:val="0"/>
      <w:lvlJc w:val="left"/>
      <w:pPr>
        <w:tabs>
          <w:tab w:val="num" w:pos="2880"/>
        </w:tabs>
        <w:ind w:left="2880" w:hanging="360"/>
      </w:pPr>
      <w:rPr>
        <w:rFonts w:ascii="Symbol" w:hAnsi="Symbol" w:hint="default"/>
      </w:rPr>
    </w:lvl>
    <w:lvl w:ilvl="4" w:tplc="CFE64DD0" w:tentative="1">
      <w:start w:val="1"/>
      <w:numFmt w:val="bullet"/>
      <w:lvlText w:val=""/>
      <w:lvlPicBulletId w:val="0"/>
      <w:lvlJc w:val="left"/>
      <w:pPr>
        <w:tabs>
          <w:tab w:val="num" w:pos="3600"/>
        </w:tabs>
        <w:ind w:left="3600" w:hanging="360"/>
      </w:pPr>
      <w:rPr>
        <w:rFonts w:ascii="Symbol" w:hAnsi="Symbol" w:hint="default"/>
      </w:rPr>
    </w:lvl>
    <w:lvl w:ilvl="5" w:tplc="91A00EB4" w:tentative="1">
      <w:start w:val="1"/>
      <w:numFmt w:val="bullet"/>
      <w:lvlText w:val=""/>
      <w:lvlPicBulletId w:val="0"/>
      <w:lvlJc w:val="left"/>
      <w:pPr>
        <w:tabs>
          <w:tab w:val="num" w:pos="4320"/>
        </w:tabs>
        <w:ind w:left="4320" w:hanging="360"/>
      </w:pPr>
      <w:rPr>
        <w:rFonts w:ascii="Symbol" w:hAnsi="Symbol" w:hint="default"/>
      </w:rPr>
    </w:lvl>
    <w:lvl w:ilvl="6" w:tplc="4EE8B3EE" w:tentative="1">
      <w:start w:val="1"/>
      <w:numFmt w:val="bullet"/>
      <w:lvlText w:val=""/>
      <w:lvlPicBulletId w:val="0"/>
      <w:lvlJc w:val="left"/>
      <w:pPr>
        <w:tabs>
          <w:tab w:val="num" w:pos="5040"/>
        </w:tabs>
        <w:ind w:left="5040" w:hanging="360"/>
      </w:pPr>
      <w:rPr>
        <w:rFonts w:ascii="Symbol" w:hAnsi="Symbol" w:hint="default"/>
      </w:rPr>
    </w:lvl>
    <w:lvl w:ilvl="7" w:tplc="4B382EE2" w:tentative="1">
      <w:start w:val="1"/>
      <w:numFmt w:val="bullet"/>
      <w:lvlText w:val=""/>
      <w:lvlPicBulletId w:val="0"/>
      <w:lvlJc w:val="left"/>
      <w:pPr>
        <w:tabs>
          <w:tab w:val="num" w:pos="5760"/>
        </w:tabs>
        <w:ind w:left="5760" w:hanging="360"/>
      </w:pPr>
      <w:rPr>
        <w:rFonts w:ascii="Symbol" w:hAnsi="Symbol" w:hint="default"/>
      </w:rPr>
    </w:lvl>
    <w:lvl w:ilvl="8" w:tplc="E878F24C"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5AF279D"/>
    <w:multiLevelType w:val="hybridMultilevel"/>
    <w:tmpl w:val="EC84012C"/>
    <w:lvl w:ilvl="0" w:tplc="699E676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7D47ADD"/>
    <w:multiLevelType w:val="hybridMultilevel"/>
    <w:tmpl w:val="7E5AE5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6D1B55"/>
    <w:multiLevelType w:val="hybridMultilevel"/>
    <w:tmpl w:val="7E1C9E80"/>
    <w:lvl w:ilvl="0" w:tplc="699E6766">
      <w:start w:val="1"/>
      <w:numFmt w:val="bullet"/>
      <w:lvlText w:val=""/>
      <w:lvlPicBulletId w:val="0"/>
      <w:lvlJc w:val="left"/>
      <w:pPr>
        <w:ind w:left="2148" w:hanging="360"/>
      </w:pPr>
      <w:rPr>
        <w:rFonts w:ascii="Symbol" w:hAnsi="Symbol" w:hint="default"/>
        <w:color w:val="auto"/>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20">
    <w:nsid w:val="3C7048F5"/>
    <w:multiLevelType w:val="hybridMultilevel"/>
    <w:tmpl w:val="377298C6"/>
    <w:lvl w:ilvl="0" w:tplc="699E6766">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3E51692C"/>
    <w:multiLevelType w:val="hybridMultilevel"/>
    <w:tmpl w:val="9FC27B94"/>
    <w:lvl w:ilvl="0" w:tplc="3898AA0A">
      <w:start w:val="1"/>
      <w:numFmt w:val="bullet"/>
      <w:lvlText w:val=""/>
      <w:lvlPicBulletId w:val="0"/>
      <w:lvlJc w:val="left"/>
      <w:pPr>
        <w:tabs>
          <w:tab w:val="num" w:pos="720"/>
        </w:tabs>
        <w:ind w:left="720" w:hanging="360"/>
      </w:pPr>
      <w:rPr>
        <w:rFonts w:ascii="Symbol" w:hAnsi="Symbol" w:hint="default"/>
      </w:rPr>
    </w:lvl>
    <w:lvl w:ilvl="1" w:tplc="DC4CF1AC">
      <w:start w:val="1"/>
      <w:numFmt w:val="bullet"/>
      <w:lvlText w:val=""/>
      <w:lvlPicBulletId w:val="0"/>
      <w:lvlJc w:val="left"/>
      <w:pPr>
        <w:tabs>
          <w:tab w:val="num" w:pos="1440"/>
        </w:tabs>
        <w:ind w:left="1440" w:hanging="360"/>
      </w:pPr>
      <w:rPr>
        <w:rFonts w:ascii="Symbol" w:hAnsi="Symbol" w:hint="default"/>
      </w:rPr>
    </w:lvl>
    <w:lvl w:ilvl="2" w:tplc="004CDFC6" w:tentative="1">
      <w:start w:val="1"/>
      <w:numFmt w:val="bullet"/>
      <w:lvlText w:val=""/>
      <w:lvlPicBulletId w:val="0"/>
      <w:lvlJc w:val="left"/>
      <w:pPr>
        <w:tabs>
          <w:tab w:val="num" w:pos="2160"/>
        </w:tabs>
        <w:ind w:left="2160" w:hanging="360"/>
      </w:pPr>
      <w:rPr>
        <w:rFonts w:ascii="Symbol" w:hAnsi="Symbol" w:hint="default"/>
      </w:rPr>
    </w:lvl>
    <w:lvl w:ilvl="3" w:tplc="5B08B030" w:tentative="1">
      <w:start w:val="1"/>
      <w:numFmt w:val="bullet"/>
      <w:lvlText w:val=""/>
      <w:lvlPicBulletId w:val="0"/>
      <w:lvlJc w:val="left"/>
      <w:pPr>
        <w:tabs>
          <w:tab w:val="num" w:pos="2880"/>
        </w:tabs>
        <w:ind w:left="2880" w:hanging="360"/>
      </w:pPr>
      <w:rPr>
        <w:rFonts w:ascii="Symbol" w:hAnsi="Symbol" w:hint="default"/>
      </w:rPr>
    </w:lvl>
    <w:lvl w:ilvl="4" w:tplc="ABB01BA6" w:tentative="1">
      <w:start w:val="1"/>
      <w:numFmt w:val="bullet"/>
      <w:lvlText w:val=""/>
      <w:lvlPicBulletId w:val="0"/>
      <w:lvlJc w:val="left"/>
      <w:pPr>
        <w:tabs>
          <w:tab w:val="num" w:pos="3600"/>
        </w:tabs>
        <w:ind w:left="3600" w:hanging="360"/>
      </w:pPr>
      <w:rPr>
        <w:rFonts w:ascii="Symbol" w:hAnsi="Symbol" w:hint="default"/>
      </w:rPr>
    </w:lvl>
    <w:lvl w:ilvl="5" w:tplc="0A8AB0CE" w:tentative="1">
      <w:start w:val="1"/>
      <w:numFmt w:val="bullet"/>
      <w:lvlText w:val=""/>
      <w:lvlPicBulletId w:val="0"/>
      <w:lvlJc w:val="left"/>
      <w:pPr>
        <w:tabs>
          <w:tab w:val="num" w:pos="4320"/>
        </w:tabs>
        <w:ind w:left="4320" w:hanging="360"/>
      </w:pPr>
      <w:rPr>
        <w:rFonts w:ascii="Symbol" w:hAnsi="Symbol" w:hint="default"/>
      </w:rPr>
    </w:lvl>
    <w:lvl w:ilvl="6" w:tplc="818E8990" w:tentative="1">
      <w:start w:val="1"/>
      <w:numFmt w:val="bullet"/>
      <w:lvlText w:val=""/>
      <w:lvlPicBulletId w:val="0"/>
      <w:lvlJc w:val="left"/>
      <w:pPr>
        <w:tabs>
          <w:tab w:val="num" w:pos="5040"/>
        </w:tabs>
        <w:ind w:left="5040" w:hanging="360"/>
      </w:pPr>
      <w:rPr>
        <w:rFonts w:ascii="Symbol" w:hAnsi="Symbol" w:hint="default"/>
      </w:rPr>
    </w:lvl>
    <w:lvl w:ilvl="7" w:tplc="BC103F1A" w:tentative="1">
      <w:start w:val="1"/>
      <w:numFmt w:val="bullet"/>
      <w:lvlText w:val=""/>
      <w:lvlPicBulletId w:val="0"/>
      <w:lvlJc w:val="left"/>
      <w:pPr>
        <w:tabs>
          <w:tab w:val="num" w:pos="5760"/>
        </w:tabs>
        <w:ind w:left="5760" w:hanging="360"/>
      </w:pPr>
      <w:rPr>
        <w:rFonts w:ascii="Symbol" w:hAnsi="Symbol" w:hint="default"/>
      </w:rPr>
    </w:lvl>
    <w:lvl w:ilvl="8" w:tplc="3544D002"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3FB11E82"/>
    <w:multiLevelType w:val="hybridMultilevel"/>
    <w:tmpl w:val="563CA1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439B583A"/>
    <w:multiLevelType w:val="multilevel"/>
    <w:tmpl w:val="D27209D4"/>
    <w:lvl w:ilvl="0">
      <w:start w:val="4"/>
      <w:numFmt w:val="decimal"/>
      <w:lvlText w:val="%1"/>
      <w:lvlJc w:val="left"/>
      <w:pPr>
        <w:ind w:left="555" w:hanging="555"/>
      </w:pPr>
      <w:rPr>
        <w:rFonts w:hint="default"/>
      </w:rPr>
    </w:lvl>
    <w:lvl w:ilvl="1">
      <w:start w:val="4"/>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61256F9"/>
    <w:multiLevelType w:val="multilevel"/>
    <w:tmpl w:val="FE7438D8"/>
    <w:lvl w:ilvl="0">
      <w:start w:val="4"/>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8BA475D"/>
    <w:multiLevelType w:val="multilevel"/>
    <w:tmpl w:val="2C2629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208420B"/>
    <w:multiLevelType w:val="multilevel"/>
    <w:tmpl w:val="8466E15C"/>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54341ACD"/>
    <w:multiLevelType w:val="hybridMultilevel"/>
    <w:tmpl w:val="B254C1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nsid w:val="589228D0"/>
    <w:multiLevelType w:val="hybridMultilevel"/>
    <w:tmpl w:val="C1763E7E"/>
    <w:lvl w:ilvl="0" w:tplc="699E676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A937A65"/>
    <w:multiLevelType w:val="hybridMultilevel"/>
    <w:tmpl w:val="8E38A5C2"/>
    <w:lvl w:ilvl="0" w:tplc="699E6766">
      <w:start w:val="1"/>
      <w:numFmt w:val="bullet"/>
      <w:lvlText w:val=""/>
      <w:lvlPicBulletId w:val="0"/>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5C4808B8"/>
    <w:multiLevelType w:val="hybridMultilevel"/>
    <w:tmpl w:val="21D44C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E4061BE"/>
    <w:multiLevelType w:val="hybridMultilevel"/>
    <w:tmpl w:val="275AEF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5463DA6"/>
    <w:multiLevelType w:val="hybridMultilevel"/>
    <w:tmpl w:val="764A92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78A11154"/>
    <w:multiLevelType w:val="hybridMultilevel"/>
    <w:tmpl w:val="CB7013EA"/>
    <w:lvl w:ilvl="0" w:tplc="71763334">
      <w:start w:val="1"/>
      <w:numFmt w:val="bullet"/>
      <w:lvlText w:val=""/>
      <w:lvlPicBulletId w:val="0"/>
      <w:lvlJc w:val="left"/>
      <w:pPr>
        <w:tabs>
          <w:tab w:val="num" w:pos="720"/>
        </w:tabs>
        <w:ind w:left="720" w:hanging="360"/>
      </w:pPr>
      <w:rPr>
        <w:rFonts w:ascii="Symbol" w:hAnsi="Symbol" w:hint="default"/>
      </w:rPr>
    </w:lvl>
    <w:lvl w:ilvl="1" w:tplc="B53A144A" w:tentative="1">
      <w:start w:val="1"/>
      <w:numFmt w:val="bullet"/>
      <w:lvlText w:val=""/>
      <w:lvlPicBulletId w:val="0"/>
      <w:lvlJc w:val="left"/>
      <w:pPr>
        <w:tabs>
          <w:tab w:val="num" w:pos="1440"/>
        </w:tabs>
        <w:ind w:left="1440" w:hanging="360"/>
      </w:pPr>
      <w:rPr>
        <w:rFonts w:ascii="Symbol" w:hAnsi="Symbol" w:hint="default"/>
      </w:rPr>
    </w:lvl>
    <w:lvl w:ilvl="2" w:tplc="C436D136" w:tentative="1">
      <w:start w:val="1"/>
      <w:numFmt w:val="bullet"/>
      <w:lvlText w:val=""/>
      <w:lvlPicBulletId w:val="0"/>
      <w:lvlJc w:val="left"/>
      <w:pPr>
        <w:tabs>
          <w:tab w:val="num" w:pos="2160"/>
        </w:tabs>
        <w:ind w:left="2160" w:hanging="360"/>
      </w:pPr>
      <w:rPr>
        <w:rFonts w:ascii="Symbol" w:hAnsi="Symbol" w:hint="default"/>
      </w:rPr>
    </w:lvl>
    <w:lvl w:ilvl="3" w:tplc="9890457E" w:tentative="1">
      <w:start w:val="1"/>
      <w:numFmt w:val="bullet"/>
      <w:lvlText w:val=""/>
      <w:lvlPicBulletId w:val="0"/>
      <w:lvlJc w:val="left"/>
      <w:pPr>
        <w:tabs>
          <w:tab w:val="num" w:pos="2880"/>
        </w:tabs>
        <w:ind w:left="2880" w:hanging="360"/>
      </w:pPr>
      <w:rPr>
        <w:rFonts w:ascii="Symbol" w:hAnsi="Symbol" w:hint="default"/>
      </w:rPr>
    </w:lvl>
    <w:lvl w:ilvl="4" w:tplc="719CD9EA" w:tentative="1">
      <w:start w:val="1"/>
      <w:numFmt w:val="bullet"/>
      <w:lvlText w:val=""/>
      <w:lvlPicBulletId w:val="0"/>
      <w:lvlJc w:val="left"/>
      <w:pPr>
        <w:tabs>
          <w:tab w:val="num" w:pos="3600"/>
        </w:tabs>
        <w:ind w:left="3600" w:hanging="360"/>
      </w:pPr>
      <w:rPr>
        <w:rFonts w:ascii="Symbol" w:hAnsi="Symbol" w:hint="default"/>
      </w:rPr>
    </w:lvl>
    <w:lvl w:ilvl="5" w:tplc="99087362" w:tentative="1">
      <w:start w:val="1"/>
      <w:numFmt w:val="bullet"/>
      <w:lvlText w:val=""/>
      <w:lvlPicBulletId w:val="0"/>
      <w:lvlJc w:val="left"/>
      <w:pPr>
        <w:tabs>
          <w:tab w:val="num" w:pos="4320"/>
        </w:tabs>
        <w:ind w:left="4320" w:hanging="360"/>
      </w:pPr>
      <w:rPr>
        <w:rFonts w:ascii="Symbol" w:hAnsi="Symbol" w:hint="default"/>
      </w:rPr>
    </w:lvl>
    <w:lvl w:ilvl="6" w:tplc="1104231C" w:tentative="1">
      <w:start w:val="1"/>
      <w:numFmt w:val="bullet"/>
      <w:lvlText w:val=""/>
      <w:lvlPicBulletId w:val="0"/>
      <w:lvlJc w:val="left"/>
      <w:pPr>
        <w:tabs>
          <w:tab w:val="num" w:pos="5040"/>
        </w:tabs>
        <w:ind w:left="5040" w:hanging="360"/>
      </w:pPr>
      <w:rPr>
        <w:rFonts w:ascii="Symbol" w:hAnsi="Symbol" w:hint="default"/>
      </w:rPr>
    </w:lvl>
    <w:lvl w:ilvl="7" w:tplc="72F0F2DE" w:tentative="1">
      <w:start w:val="1"/>
      <w:numFmt w:val="bullet"/>
      <w:lvlText w:val=""/>
      <w:lvlPicBulletId w:val="0"/>
      <w:lvlJc w:val="left"/>
      <w:pPr>
        <w:tabs>
          <w:tab w:val="num" w:pos="5760"/>
        </w:tabs>
        <w:ind w:left="5760" w:hanging="360"/>
      </w:pPr>
      <w:rPr>
        <w:rFonts w:ascii="Symbol" w:hAnsi="Symbol" w:hint="default"/>
      </w:rPr>
    </w:lvl>
    <w:lvl w:ilvl="8" w:tplc="EA86BECE" w:tentative="1">
      <w:start w:val="1"/>
      <w:numFmt w:val="bullet"/>
      <w:lvlText w:val=""/>
      <w:lvlPicBulletId w:val="0"/>
      <w:lvlJc w:val="left"/>
      <w:pPr>
        <w:tabs>
          <w:tab w:val="num" w:pos="6480"/>
        </w:tabs>
        <w:ind w:left="6480" w:hanging="360"/>
      </w:pPr>
      <w:rPr>
        <w:rFonts w:ascii="Symbol" w:hAnsi="Symbol" w:hint="default"/>
      </w:rPr>
    </w:lvl>
  </w:abstractNum>
  <w:num w:numId="1">
    <w:abstractNumId w:val="19"/>
  </w:num>
  <w:num w:numId="2">
    <w:abstractNumId w:val="20"/>
  </w:num>
  <w:num w:numId="3">
    <w:abstractNumId w:val="29"/>
  </w:num>
  <w:num w:numId="4">
    <w:abstractNumId w:val="11"/>
  </w:num>
  <w:num w:numId="5">
    <w:abstractNumId w:val="21"/>
  </w:num>
  <w:num w:numId="6">
    <w:abstractNumId w:val="0"/>
  </w:num>
  <w:num w:numId="7">
    <w:abstractNumId w:val="16"/>
  </w:num>
  <w:num w:numId="8">
    <w:abstractNumId w:val="33"/>
  </w:num>
  <w:num w:numId="9">
    <w:abstractNumId w:val="7"/>
  </w:num>
  <w:num w:numId="10">
    <w:abstractNumId w:val="32"/>
  </w:num>
  <w:num w:numId="11">
    <w:abstractNumId w:val="27"/>
  </w:num>
  <w:num w:numId="12">
    <w:abstractNumId w:val="22"/>
  </w:num>
  <w:num w:numId="13">
    <w:abstractNumId w:val="18"/>
  </w:num>
  <w:num w:numId="14">
    <w:abstractNumId w:val="31"/>
  </w:num>
  <w:num w:numId="15">
    <w:abstractNumId w:val="10"/>
  </w:num>
  <w:num w:numId="16">
    <w:abstractNumId w:val="5"/>
  </w:num>
  <w:num w:numId="17">
    <w:abstractNumId w:val="17"/>
  </w:num>
  <w:num w:numId="18">
    <w:abstractNumId w:val="28"/>
  </w:num>
  <w:num w:numId="19">
    <w:abstractNumId w:val="1"/>
  </w:num>
  <w:num w:numId="20">
    <w:abstractNumId w:val="25"/>
  </w:num>
  <w:num w:numId="21">
    <w:abstractNumId w:val="9"/>
  </w:num>
  <w:num w:numId="22">
    <w:abstractNumId w:val="13"/>
  </w:num>
  <w:num w:numId="23">
    <w:abstractNumId w:val="2"/>
  </w:num>
  <w:num w:numId="24">
    <w:abstractNumId w:val="14"/>
  </w:num>
  <w:num w:numId="25">
    <w:abstractNumId w:val="3"/>
  </w:num>
  <w:num w:numId="26">
    <w:abstractNumId w:val="6"/>
    <w:lvlOverride w:ilvl="1">
      <w:lvl w:ilvl="1">
        <w:start w:val="1"/>
        <w:numFmt w:val="decimal"/>
        <w:isLgl/>
        <w:lvlText w:val="%1.%2"/>
        <w:lvlJc w:val="left"/>
        <w:pPr>
          <w:ind w:left="667" w:hanging="360"/>
        </w:pPr>
        <w:rPr>
          <w:rFonts w:hint="default"/>
          <w:b w:val="0"/>
        </w:rPr>
      </w:lvl>
    </w:lvlOverride>
  </w:num>
  <w:num w:numId="27">
    <w:abstractNumId w:val="8"/>
  </w:num>
  <w:num w:numId="28">
    <w:abstractNumId w:val="30"/>
  </w:num>
  <w:num w:numId="29">
    <w:abstractNumId w:val="12"/>
  </w:num>
  <w:num w:numId="30">
    <w:abstractNumId w:val="15"/>
  </w:num>
  <w:num w:numId="31">
    <w:abstractNumId w:val="26"/>
  </w:num>
  <w:num w:numId="32">
    <w:abstractNumId w:val="24"/>
  </w:num>
  <w:num w:numId="33">
    <w:abstractNumId w:val="4"/>
  </w:num>
  <w:num w:numId="34">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EB1"/>
    <w:rsid w:val="00001764"/>
    <w:rsid w:val="00002325"/>
    <w:rsid w:val="0000243F"/>
    <w:rsid w:val="000047A4"/>
    <w:rsid w:val="000050E5"/>
    <w:rsid w:val="00005275"/>
    <w:rsid w:val="0000527E"/>
    <w:rsid w:val="000053C9"/>
    <w:rsid w:val="00007793"/>
    <w:rsid w:val="0000791C"/>
    <w:rsid w:val="000102AD"/>
    <w:rsid w:val="000104A5"/>
    <w:rsid w:val="0001183A"/>
    <w:rsid w:val="000169A0"/>
    <w:rsid w:val="00021F28"/>
    <w:rsid w:val="0002399C"/>
    <w:rsid w:val="0002468C"/>
    <w:rsid w:val="000259AE"/>
    <w:rsid w:val="0003171E"/>
    <w:rsid w:val="00031F2E"/>
    <w:rsid w:val="00032356"/>
    <w:rsid w:val="00033188"/>
    <w:rsid w:val="00034468"/>
    <w:rsid w:val="00037397"/>
    <w:rsid w:val="0003781B"/>
    <w:rsid w:val="00040240"/>
    <w:rsid w:val="00040546"/>
    <w:rsid w:val="00044175"/>
    <w:rsid w:val="000441B1"/>
    <w:rsid w:val="00045FAF"/>
    <w:rsid w:val="00047463"/>
    <w:rsid w:val="0005088E"/>
    <w:rsid w:val="000522C3"/>
    <w:rsid w:val="0005257C"/>
    <w:rsid w:val="00052688"/>
    <w:rsid w:val="00053D1D"/>
    <w:rsid w:val="00054251"/>
    <w:rsid w:val="000562D1"/>
    <w:rsid w:val="00056606"/>
    <w:rsid w:val="00057226"/>
    <w:rsid w:val="00057479"/>
    <w:rsid w:val="000579BC"/>
    <w:rsid w:val="00057E61"/>
    <w:rsid w:val="00061E75"/>
    <w:rsid w:val="00063258"/>
    <w:rsid w:val="00063D15"/>
    <w:rsid w:val="00065AEF"/>
    <w:rsid w:val="00070A4D"/>
    <w:rsid w:val="000726BB"/>
    <w:rsid w:val="00072D1B"/>
    <w:rsid w:val="00072DA0"/>
    <w:rsid w:val="00074948"/>
    <w:rsid w:val="00074E6F"/>
    <w:rsid w:val="0008051D"/>
    <w:rsid w:val="000824B6"/>
    <w:rsid w:val="00086FD0"/>
    <w:rsid w:val="0008725F"/>
    <w:rsid w:val="00087287"/>
    <w:rsid w:val="00087754"/>
    <w:rsid w:val="000902DA"/>
    <w:rsid w:val="00090A2C"/>
    <w:rsid w:val="0009117B"/>
    <w:rsid w:val="00092F75"/>
    <w:rsid w:val="000938C2"/>
    <w:rsid w:val="00095082"/>
    <w:rsid w:val="00095D09"/>
    <w:rsid w:val="00096EF4"/>
    <w:rsid w:val="000A2E65"/>
    <w:rsid w:val="000A300C"/>
    <w:rsid w:val="000A396D"/>
    <w:rsid w:val="000A4042"/>
    <w:rsid w:val="000A4987"/>
    <w:rsid w:val="000A6C34"/>
    <w:rsid w:val="000B04D6"/>
    <w:rsid w:val="000B0650"/>
    <w:rsid w:val="000B0E2D"/>
    <w:rsid w:val="000B4D5F"/>
    <w:rsid w:val="000B5CF1"/>
    <w:rsid w:val="000C29B3"/>
    <w:rsid w:val="000C38D2"/>
    <w:rsid w:val="000C4048"/>
    <w:rsid w:val="000C40FD"/>
    <w:rsid w:val="000C68A1"/>
    <w:rsid w:val="000C6DBE"/>
    <w:rsid w:val="000C726E"/>
    <w:rsid w:val="000C767B"/>
    <w:rsid w:val="000C7FB7"/>
    <w:rsid w:val="000D0E0D"/>
    <w:rsid w:val="000D38FA"/>
    <w:rsid w:val="000D4A5B"/>
    <w:rsid w:val="000D4DE4"/>
    <w:rsid w:val="000D60A3"/>
    <w:rsid w:val="000D75C0"/>
    <w:rsid w:val="000D7881"/>
    <w:rsid w:val="000E0461"/>
    <w:rsid w:val="000E276E"/>
    <w:rsid w:val="000E2844"/>
    <w:rsid w:val="000E5EC1"/>
    <w:rsid w:val="000E7E2C"/>
    <w:rsid w:val="000F0216"/>
    <w:rsid w:val="000F2461"/>
    <w:rsid w:val="000F5094"/>
    <w:rsid w:val="000F5C20"/>
    <w:rsid w:val="000F6619"/>
    <w:rsid w:val="00100739"/>
    <w:rsid w:val="001030FB"/>
    <w:rsid w:val="0010553A"/>
    <w:rsid w:val="00110D23"/>
    <w:rsid w:val="001112A1"/>
    <w:rsid w:val="0011452D"/>
    <w:rsid w:val="00115131"/>
    <w:rsid w:val="00116F3F"/>
    <w:rsid w:val="0012244F"/>
    <w:rsid w:val="0012277A"/>
    <w:rsid w:val="00122F31"/>
    <w:rsid w:val="001243E7"/>
    <w:rsid w:val="00124BAA"/>
    <w:rsid w:val="0012591A"/>
    <w:rsid w:val="00125D73"/>
    <w:rsid w:val="001260FA"/>
    <w:rsid w:val="00126F3A"/>
    <w:rsid w:val="001319AC"/>
    <w:rsid w:val="00133A40"/>
    <w:rsid w:val="0013488F"/>
    <w:rsid w:val="00134C71"/>
    <w:rsid w:val="00135486"/>
    <w:rsid w:val="001357C9"/>
    <w:rsid w:val="00137A4D"/>
    <w:rsid w:val="00137F5B"/>
    <w:rsid w:val="00140A66"/>
    <w:rsid w:val="00140F9A"/>
    <w:rsid w:val="00142284"/>
    <w:rsid w:val="00146A78"/>
    <w:rsid w:val="001505BB"/>
    <w:rsid w:val="001506D5"/>
    <w:rsid w:val="00150970"/>
    <w:rsid w:val="00155167"/>
    <w:rsid w:val="00156390"/>
    <w:rsid w:val="001572F8"/>
    <w:rsid w:val="00157BFF"/>
    <w:rsid w:val="001600CB"/>
    <w:rsid w:val="001602F3"/>
    <w:rsid w:val="00162373"/>
    <w:rsid w:val="00164BAF"/>
    <w:rsid w:val="00164FE4"/>
    <w:rsid w:val="00165C5D"/>
    <w:rsid w:val="001673F4"/>
    <w:rsid w:val="00167F74"/>
    <w:rsid w:val="00170CF6"/>
    <w:rsid w:val="00170DA4"/>
    <w:rsid w:val="00171ABA"/>
    <w:rsid w:val="00172E52"/>
    <w:rsid w:val="00173AEF"/>
    <w:rsid w:val="001741B8"/>
    <w:rsid w:val="001811C4"/>
    <w:rsid w:val="001848F6"/>
    <w:rsid w:val="00185734"/>
    <w:rsid w:val="00187129"/>
    <w:rsid w:val="0019188E"/>
    <w:rsid w:val="0019319D"/>
    <w:rsid w:val="001937EC"/>
    <w:rsid w:val="00193880"/>
    <w:rsid w:val="00193B10"/>
    <w:rsid w:val="00193EEB"/>
    <w:rsid w:val="001947EF"/>
    <w:rsid w:val="00194BC4"/>
    <w:rsid w:val="0019540E"/>
    <w:rsid w:val="00195CBB"/>
    <w:rsid w:val="00195D74"/>
    <w:rsid w:val="00197C67"/>
    <w:rsid w:val="001A0421"/>
    <w:rsid w:val="001A15DE"/>
    <w:rsid w:val="001A2AB7"/>
    <w:rsid w:val="001A3376"/>
    <w:rsid w:val="001A4338"/>
    <w:rsid w:val="001A4B58"/>
    <w:rsid w:val="001A50F1"/>
    <w:rsid w:val="001A583E"/>
    <w:rsid w:val="001A5BC3"/>
    <w:rsid w:val="001A6083"/>
    <w:rsid w:val="001B08FB"/>
    <w:rsid w:val="001B1441"/>
    <w:rsid w:val="001B1D8B"/>
    <w:rsid w:val="001B37CD"/>
    <w:rsid w:val="001B39B6"/>
    <w:rsid w:val="001B3AE1"/>
    <w:rsid w:val="001B63D3"/>
    <w:rsid w:val="001C0895"/>
    <w:rsid w:val="001C09A0"/>
    <w:rsid w:val="001C0D0A"/>
    <w:rsid w:val="001C135C"/>
    <w:rsid w:val="001C1452"/>
    <w:rsid w:val="001C3142"/>
    <w:rsid w:val="001C36F5"/>
    <w:rsid w:val="001C3774"/>
    <w:rsid w:val="001C59E3"/>
    <w:rsid w:val="001C70BD"/>
    <w:rsid w:val="001C7BE7"/>
    <w:rsid w:val="001D05A2"/>
    <w:rsid w:val="001D2883"/>
    <w:rsid w:val="001D573B"/>
    <w:rsid w:val="001D5F01"/>
    <w:rsid w:val="001D6408"/>
    <w:rsid w:val="001D76D1"/>
    <w:rsid w:val="001E0B8D"/>
    <w:rsid w:val="001E2E82"/>
    <w:rsid w:val="001E2EAB"/>
    <w:rsid w:val="001F1248"/>
    <w:rsid w:val="001F21C5"/>
    <w:rsid w:val="001F23AB"/>
    <w:rsid w:val="001F270D"/>
    <w:rsid w:val="001F6024"/>
    <w:rsid w:val="001F6986"/>
    <w:rsid w:val="002008B7"/>
    <w:rsid w:val="0020286A"/>
    <w:rsid w:val="0020316C"/>
    <w:rsid w:val="002031A5"/>
    <w:rsid w:val="002031D6"/>
    <w:rsid w:val="00203466"/>
    <w:rsid w:val="002044A3"/>
    <w:rsid w:val="0020525D"/>
    <w:rsid w:val="0020568E"/>
    <w:rsid w:val="0021118D"/>
    <w:rsid w:val="002112E2"/>
    <w:rsid w:val="002125D5"/>
    <w:rsid w:val="00212E42"/>
    <w:rsid w:val="00213AE4"/>
    <w:rsid w:val="00213C1F"/>
    <w:rsid w:val="00214F37"/>
    <w:rsid w:val="002153D9"/>
    <w:rsid w:val="00215862"/>
    <w:rsid w:val="00216331"/>
    <w:rsid w:val="00225210"/>
    <w:rsid w:val="0022525B"/>
    <w:rsid w:val="002252F3"/>
    <w:rsid w:val="00225B9D"/>
    <w:rsid w:val="00226BE5"/>
    <w:rsid w:val="002322CE"/>
    <w:rsid w:val="00236179"/>
    <w:rsid w:val="00236DEE"/>
    <w:rsid w:val="00237589"/>
    <w:rsid w:val="0024043D"/>
    <w:rsid w:val="0024176E"/>
    <w:rsid w:val="0024234B"/>
    <w:rsid w:val="00242C8D"/>
    <w:rsid w:val="002441CD"/>
    <w:rsid w:val="00244841"/>
    <w:rsid w:val="0025246F"/>
    <w:rsid w:val="00252B54"/>
    <w:rsid w:val="00252F04"/>
    <w:rsid w:val="00257953"/>
    <w:rsid w:val="002608C0"/>
    <w:rsid w:val="00260CFD"/>
    <w:rsid w:val="00261168"/>
    <w:rsid w:val="00261E9B"/>
    <w:rsid w:val="002623C5"/>
    <w:rsid w:val="00264A40"/>
    <w:rsid w:val="00265146"/>
    <w:rsid w:val="00266854"/>
    <w:rsid w:val="00266C5F"/>
    <w:rsid w:val="00267F11"/>
    <w:rsid w:val="002720AD"/>
    <w:rsid w:val="0027320C"/>
    <w:rsid w:val="002743B7"/>
    <w:rsid w:val="00275A6B"/>
    <w:rsid w:val="00275C46"/>
    <w:rsid w:val="00276B22"/>
    <w:rsid w:val="002770E3"/>
    <w:rsid w:val="00277154"/>
    <w:rsid w:val="002778C2"/>
    <w:rsid w:val="002808CC"/>
    <w:rsid w:val="00282098"/>
    <w:rsid w:val="00282245"/>
    <w:rsid w:val="00282C90"/>
    <w:rsid w:val="0028320C"/>
    <w:rsid w:val="002844D0"/>
    <w:rsid w:val="002871EF"/>
    <w:rsid w:val="00287664"/>
    <w:rsid w:val="00290CFC"/>
    <w:rsid w:val="002910EA"/>
    <w:rsid w:val="00291405"/>
    <w:rsid w:val="002917EC"/>
    <w:rsid w:val="00291B75"/>
    <w:rsid w:val="002941F5"/>
    <w:rsid w:val="002A327D"/>
    <w:rsid w:val="002A3B09"/>
    <w:rsid w:val="002A463B"/>
    <w:rsid w:val="002A5401"/>
    <w:rsid w:val="002A5FDA"/>
    <w:rsid w:val="002B1AC4"/>
    <w:rsid w:val="002B348E"/>
    <w:rsid w:val="002B37BD"/>
    <w:rsid w:val="002B4C5C"/>
    <w:rsid w:val="002B5D6B"/>
    <w:rsid w:val="002C0460"/>
    <w:rsid w:val="002C0701"/>
    <w:rsid w:val="002C0D8D"/>
    <w:rsid w:val="002C2C9D"/>
    <w:rsid w:val="002C3428"/>
    <w:rsid w:val="002C3611"/>
    <w:rsid w:val="002C4E9A"/>
    <w:rsid w:val="002C5208"/>
    <w:rsid w:val="002C57B7"/>
    <w:rsid w:val="002C5829"/>
    <w:rsid w:val="002C608A"/>
    <w:rsid w:val="002C6341"/>
    <w:rsid w:val="002D234C"/>
    <w:rsid w:val="002D434D"/>
    <w:rsid w:val="002D445A"/>
    <w:rsid w:val="002D4C50"/>
    <w:rsid w:val="002D6032"/>
    <w:rsid w:val="002E0E31"/>
    <w:rsid w:val="002E153D"/>
    <w:rsid w:val="002E3EE3"/>
    <w:rsid w:val="002E52F5"/>
    <w:rsid w:val="002E5F7C"/>
    <w:rsid w:val="002E64F0"/>
    <w:rsid w:val="002E69CD"/>
    <w:rsid w:val="002F04D4"/>
    <w:rsid w:val="002F1111"/>
    <w:rsid w:val="002F1D5D"/>
    <w:rsid w:val="002F3A44"/>
    <w:rsid w:val="002F4A2B"/>
    <w:rsid w:val="002F6D4A"/>
    <w:rsid w:val="002F718D"/>
    <w:rsid w:val="00301BE1"/>
    <w:rsid w:val="0030202B"/>
    <w:rsid w:val="00303448"/>
    <w:rsid w:val="003037AF"/>
    <w:rsid w:val="00304F02"/>
    <w:rsid w:val="00306042"/>
    <w:rsid w:val="00310C9C"/>
    <w:rsid w:val="00311421"/>
    <w:rsid w:val="00311C96"/>
    <w:rsid w:val="00312319"/>
    <w:rsid w:val="0031424F"/>
    <w:rsid w:val="003142EC"/>
    <w:rsid w:val="003156AA"/>
    <w:rsid w:val="003158A9"/>
    <w:rsid w:val="00317B3C"/>
    <w:rsid w:val="00320CE5"/>
    <w:rsid w:val="00320D8C"/>
    <w:rsid w:val="00320E21"/>
    <w:rsid w:val="003260A1"/>
    <w:rsid w:val="00327335"/>
    <w:rsid w:val="00331E6D"/>
    <w:rsid w:val="00334359"/>
    <w:rsid w:val="003352DA"/>
    <w:rsid w:val="00335D72"/>
    <w:rsid w:val="003368C5"/>
    <w:rsid w:val="00340951"/>
    <w:rsid w:val="0034172F"/>
    <w:rsid w:val="00342040"/>
    <w:rsid w:val="0034266A"/>
    <w:rsid w:val="00343822"/>
    <w:rsid w:val="00345EF5"/>
    <w:rsid w:val="00346409"/>
    <w:rsid w:val="00350F47"/>
    <w:rsid w:val="0035219E"/>
    <w:rsid w:val="00352F0F"/>
    <w:rsid w:val="00353C80"/>
    <w:rsid w:val="00353DD9"/>
    <w:rsid w:val="00354F9E"/>
    <w:rsid w:val="00355483"/>
    <w:rsid w:val="00356625"/>
    <w:rsid w:val="00363140"/>
    <w:rsid w:val="003632A4"/>
    <w:rsid w:val="00363E9A"/>
    <w:rsid w:val="003642E6"/>
    <w:rsid w:val="00364CA4"/>
    <w:rsid w:val="003669D2"/>
    <w:rsid w:val="003702BB"/>
    <w:rsid w:val="003719B2"/>
    <w:rsid w:val="00371A89"/>
    <w:rsid w:val="00373906"/>
    <w:rsid w:val="00374A45"/>
    <w:rsid w:val="00376A47"/>
    <w:rsid w:val="003777F9"/>
    <w:rsid w:val="00377A17"/>
    <w:rsid w:val="003814CB"/>
    <w:rsid w:val="00382128"/>
    <w:rsid w:val="00382BDF"/>
    <w:rsid w:val="003832EF"/>
    <w:rsid w:val="00384A65"/>
    <w:rsid w:val="00384D93"/>
    <w:rsid w:val="003863DB"/>
    <w:rsid w:val="003869FC"/>
    <w:rsid w:val="0038731F"/>
    <w:rsid w:val="0039082A"/>
    <w:rsid w:val="003910D2"/>
    <w:rsid w:val="00391AF5"/>
    <w:rsid w:val="00393DCF"/>
    <w:rsid w:val="003948F4"/>
    <w:rsid w:val="00394D4E"/>
    <w:rsid w:val="00395B22"/>
    <w:rsid w:val="003968E0"/>
    <w:rsid w:val="00396FF3"/>
    <w:rsid w:val="003A0D5D"/>
    <w:rsid w:val="003A18D6"/>
    <w:rsid w:val="003A2465"/>
    <w:rsid w:val="003A387A"/>
    <w:rsid w:val="003A4119"/>
    <w:rsid w:val="003A4F88"/>
    <w:rsid w:val="003A52AF"/>
    <w:rsid w:val="003A57C5"/>
    <w:rsid w:val="003A63E2"/>
    <w:rsid w:val="003B0D97"/>
    <w:rsid w:val="003B1B55"/>
    <w:rsid w:val="003B20CE"/>
    <w:rsid w:val="003B24AE"/>
    <w:rsid w:val="003B32A5"/>
    <w:rsid w:val="003B589F"/>
    <w:rsid w:val="003B6DB4"/>
    <w:rsid w:val="003B7E72"/>
    <w:rsid w:val="003C2582"/>
    <w:rsid w:val="003C29CC"/>
    <w:rsid w:val="003C4380"/>
    <w:rsid w:val="003C4F03"/>
    <w:rsid w:val="003C54AB"/>
    <w:rsid w:val="003C62DF"/>
    <w:rsid w:val="003C62FC"/>
    <w:rsid w:val="003C6437"/>
    <w:rsid w:val="003C65B1"/>
    <w:rsid w:val="003C6984"/>
    <w:rsid w:val="003C6CA3"/>
    <w:rsid w:val="003D1F0E"/>
    <w:rsid w:val="003D5B79"/>
    <w:rsid w:val="003E048E"/>
    <w:rsid w:val="003E112D"/>
    <w:rsid w:val="003E1257"/>
    <w:rsid w:val="003E181B"/>
    <w:rsid w:val="003E1E4C"/>
    <w:rsid w:val="003E37D2"/>
    <w:rsid w:val="003E3B3D"/>
    <w:rsid w:val="003E3CCE"/>
    <w:rsid w:val="003E567A"/>
    <w:rsid w:val="003E5EAB"/>
    <w:rsid w:val="003E6487"/>
    <w:rsid w:val="003F0BE8"/>
    <w:rsid w:val="003F38C2"/>
    <w:rsid w:val="003F3B38"/>
    <w:rsid w:val="003F3ED9"/>
    <w:rsid w:val="003F4C28"/>
    <w:rsid w:val="003F516C"/>
    <w:rsid w:val="003F5999"/>
    <w:rsid w:val="003F631F"/>
    <w:rsid w:val="00400402"/>
    <w:rsid w:val="00400916"/>
    <w:rsid w:val="00402545"/>
    <w:rsid w:val="0040275F"/>
    <w:rsid w:val="0040292A"/>
    <w:rsid w:val="004030D7"/>
    <w:rsid w:val="004040EE"/>
    <w:rsid w:val="0040554C"/>
    <w:rsid w:val="00406876"/>
    <w:rsid w:val="004070C0"/>
    <w:rsid w:val="00411BCE"/>
    <w:rsid w:val="00411DFD"/>
    <w:rsid w:val="00414B94"/>
    <w:rsid w:val="00420FF1"/>
    <w:rsid w:val="0042118A"/>
    <w:rsid w:val="00421631"/>
    <w:rsid w:val="00422572"/>
    <w:rsid w:val="00423A8E"/>
    <w:rsid w:val="00423B5C"/>
    <w:rsid w:val="00424A5A"/>
    <w:rsid w:val="00425074"/>
    <w:rsid w:val="00425336"/>
    <w:rsid w:val="004261FE"/>
    <w:rsid w:val="00430A45"/>
    <w:rsid w:val="0043150B"/>
    <w:rsid w:val="00432037"/>
    <w:rsid w:val="004337F0"/>
    <w:rsid w:val="00434E76"/>
    <w:rsid w:val="004368D9"/>
    <w:rsid w:val="00443BBF"/>
    <w:rsid w:val="00444AB3"/>
    <w:rsid w:val="00445657"/>
    <w:rsid w:val="004459CF"/>
    <w:rsid w:val="004460D9"/>
    <w:rsid w:val="00446D25"/>
    <w:rsid w:val="00447F1B"/>
    <w:rsid w:val="00450947"/>
    <w:rsid w:val="004510EE"/>
    <w:rsid w:val="00451FC4"/>
    <w:rsid w:val="00452E4B"/>
    <w:rsid w:val="00453187"/>
    <w:rsid w:val="00456AE2"/>
    <w:rsid w:val="004617E3"/>
    <w:rsid w:val="0046186D"/>
    <w:rsid w:val="0046252F"/>
    <w:rsid w:val="0046258D"/>
    <w:rsid w:val="00462B9F"/>
    <w:rsid w:val="00464029"/>
    <w:rsid w:val="0046486D"/>
    <w:rsid w:val="00466855"/>
    <w:rsid w:val="0046734E"/>
    <w:rsid w:val="00471FD2"/>
    <w:rsid w:val="00472DA8"/>
    <w:rsid w:val="00473966"/>
    <w:rsid w:val="0047427A"/>
    <w:rsid w:val="00475843"/>
    <w:rsid w:val="004801F0"/>
    <w:rsid w:val="004816B8"/>
    <w:rsid w:val="00481C90"/>
    <w:rsid w:val="00483A7D"/>
    <w:rsid w:val="00485680"/>
    <w:rsid w:val="004859C7"/>
    <w:rsid w:val="00486C3B"/>
    <w:rsid w:val="004872DF"/>
    <w:rsid w:val="00487BD6"/>
    <w:rsid w:val="00491E3E"/>
    <w:rsid w:val="00493AD4"/>
    <w:rsid w:val="00494465"/>
    <w:rsid w:val="00495202"/>
    <w:rsid w:val="00496D60"/>
    <w:rsid w:val="00497582"/>
    <w:rsid w:val="0049782E"/>
    <w:rsid w:val="004A0804"/>
    <w:rsid w:val="004A0DA0"/>
    <w:rsid w:val="004A179D"/>
    <w:rsid w:val="004A2C96"/>
    <w:rsid w:val="004A4337"/>
    <w:rsid w:val="004A4CD7"/>
    <w:rsid w:val="004A71FF"/>
    <w:rsid w:val="004A780A"/>
    <w:rsid w:val="004B11F5"/>
    <w:rsid w:val="004B27DB"/>
    <w:rsid w:val="004B32F0"/>
    <w:rsid w:val="004B3448"/>
    <w:rsid w:val="004B38F2"/>
    <w:rsid w:val="004B3F52"/>
    <w:rsid w:val="004B5F0F"/>
    <w:rsid w:val="004C1270"/>
    <w:rsid w:val="004C2FA9"/>
    <w:rsid w:val="004C41D7"/>
    <w:rsid w:val="004C4F9F"/>
    <w:rsid w:val="004C5EAB"/>
    <w:rsid w:val="004C6990"/>
    <w:rsid w:val="004C6F6C"/>
    <w:rsid w:val="004C7E03"/>
    <w:rsid w:val="004D0FDD"/>
    <w:rsid w:val="004D566C"/>
    <w:rsid w:val="004D5FE7"/>
    <w:rsid w:val="004D65D6"/>
    <w:rsid w:val="004E02CF"/>
    <w:rsid w:val="004E09E8"/>
    <w:rsid w:val="004E17C9"/>
    <w:rsid w:val="004E418C"/>
    <w:rsid w:val="004E5407"/>
    <w:rsid w:val="004E623D"/>
    <w:rsid w:val="004E66F4"/>
    <w:rsid w:val="004E71B4"/>
    <w:rsid w:val="004F1521"/>
    <w:rsid w:val="004F1865"/>
    <w:rsid w:val="004F2072"/>
    <w:rsid w:val="004F24E8"/>
    <w:rsid w:val="004F2FB0"/>
    <w:rsid w:val="004F3E89"/>
    <w:rsid w:val="004F478E"/>
    <w:rsid w:val="004F49DC"/>
    <w:rsid w:val="004F54D4"/>
    <w:rsid w:val="004F65B3"/>
    <w:rsid w:val="004F7D24"/>
    <w:rsid w:val="00500733"/>
    <w:rsid w:val="005031AE"/>
    <w:rsid w:val="0050367F"/>
    <w:rsid w:val="00503EFB"/>
    <w:rsid w:val="0050631F"/>
    <w:rsid w:val="00510FEF"/>
    <w:rsid w:val="00511300"/>
    <w:rsid w:val="005114B4"/>
    <w:rsid w:val="00511F25"/>
    <w:rsid w:val="00512620"/>
    <w:rsid w:val="00514327"/>
    <w:rsid w:val="00515F4A"/>
    <w:rsid w:val="00516142"/>
    <w:rsid w:val="00516321"/>
    <w:rsid w:val="0052122C"/>
    <w:rsid w:val="0052552C"/>
    <w:rsid w:val="00526882"/>
    <w:rsid w:val="00527306"/>
    <w:rsid w:val="005300C3"/>
    <w:rsid w:val="00530C25"/>
    <w:rsid w:val="00533DD4"/>
    <w:rsid w:val="00534836"/>
    <w:rsid w:val="00534948"/>
    <w:rsid w:val="00537ACB"/>
    <w:rsid w:val="0054197B"/>
    <w:rsid w:val="00541BB8"/>
    <w:rsid w:val="005433F2"/>
    <w:rsid w:val="00543643"/>
    <w:rsid w:val="0054373E"/>
    <w:rsid w:val="005444E2"/>
    <w:rsid w:val="00544E0A"/>
    <w:rsid w:val="00545067"/>
    <w:rsid w:val="00545BA0"/>
    <w:rsid w:val="00546C25"/>
    <w:rsid w:val="005501C0"/>
    <w:rsid w:val="00550E81"/>
    <w:rsid w:val="005511C9"/>
    <w:rsid w:val="00552783"/>
    <w:rsid w:val="00552F8D"/>
    <w:rsid w:val="00554C09"/>
    <w:rsid w:val="00554C32"/>
    <w:rsid w:val="005555E2"/>
    <w:rsid w:val="00555EF3"/>
    <w:rsid w:val="00556428"/>
    <w:rsid w:val="005565BA"/>
    <w:rsid w:val="005570AA"/>
    <w:rsid w:val="005610A3"/>
    <w:rsid w:val="00561423"/>
    <w:rsid w:val="00563AE2"/>
    <w:rsid w:val="00563AF5"/>
    <w:rsid w:val="00564197"/>
    <w:rsid w:val="0056704F"/>
    <w:rsid w:val="0056728D"/>
    <w:rsid w:val="0057186B"/>
    <w:rsid w:val="00571F0C"/>
    <w:rsid w:val="005731A1"/>
    <w:rsid w:val="00573C3D"/>
    <w:rsid w:val="00574CAE"/>
    <w:rsid w:val="005752BD"/>
    <w:rsid w:val="00580787"/>
    <w:rsid w:val="00581409"/>
    <w:rsid w:val="00581651"/>
    <w:rsid w:val="00581F1B"/>
    <w:rsid w:val="00583726"/>
    <w:rsid w:val="00585EAF"/>
    <w:rsid w:val="00590165"/>
    <w:rsid w:val="0059072B"/>
    <w:rsid w:val="0059264C"/>
    <w:rsid w:val="00592A17"/>
    <w:rsid w:val="00596AA3"/>
    <w:rsid w:val="00597ABD"/>
    <w:rsid w:val="00597AE1"/>
    <w:rsid w:val="005A1B7B"/>
    <w:rsid w:val="005A45B9"/>
    <w:rsid w:val="005A5A81"/>
    <w:rsid w:val="005A5F1D"/>
    <w:rsid w:val="005B012D"/>
    <w:rsid w:val="005B17E2"/>
    <w:rsid w:val="005B3578"/>
    <w:rsid w:val="005B378D"/>
    <w:rsid w:val="005B3E6E"/>
    <w:rsid w:val="005B51B4"/>
    <w:rsid w:val="005B712E"/>
    <w:rsid w:val="005B774F"/>
    <w:rsid w:val="005C1E22"/>
    <w:rsid w:val="005C2139"/>
    <w:rsid w:val="005C429F"/>
    <w:rsid w:val="005C4F0C"/>
    <w:rsid w:val="005C503F"/>
    <w:rsid w:val="005C5CB9"/>
    <w:rsid w:val="005C5E4D"/>
    <w:rsid w:val="005D1A53"/>
    <w:rsid w:val="005D2021"/>
    <w:rsid w:val="005D2B67"/>
    <w:rsid w:val="005D3492"/>
    <w:rsid w:val="005D4516"/>
    <w:rsid w:val="005D4A0E"/>
    <w:rsid w:val="005D660D"/>
    <w:rsid w:val="005E2FCE"/>
    <w:rsid w:val="005E339E"/>
    <w:rsid w:val="005E5433"/>
    <w:rsid w:val="005E69C5"/>
    <w:rsid w:val="005E6FA3"/>
    <w:rsid w:val="005E723A"/>
    <w:rsid w:val="005F2B04"/>
    <w:rsid w:val="005F2EDC"/>
    <w:rsid w:val="005F309C"/>
    <w:rsid w:val="005F310E"/>
    <w:rsid w:val="005F4D89"/>
    <w:rsid w:val="005F4F0F"/>
    <w:rsid w:val="005F517E"/>
    <w:rsid w:val="005F543E"/>
    <w:rsid w:val="005F5624"/>
    <w:rsid w:val="005F571D"/>
    <w:rsid w:val="005F5730"/>
    <w:rsid w:val="005F587A"/>
    <w:rsid w:val="005F58DA"/>
    <w:rsid w:val="005F5C11"/>
    <w:rsid w:val="005F60DF"/>
    <w:rsid w:val="005F6D7E"/>
    <w:rsid w:val="005F7745"/>
    <w:rsid w:val="005F7C97"/>
    <w:rsid w:val="00601579"/>
    <w:rsid w:val="00601990"/>
    <w:rsid w:val="006022E9"/>
    <w:rsid w:val="006031A0"/>
    <w:rsid w:val="00604C2B"/>
    <w:rsid w:val="00604C3A"/>
    <w:rsid w:val="00604CB3"/>
    <w:rsid w:val="00605787"/>
    <w:rsid w:val="00606497"/>
    <w:rsid w:val="006068A1"/>
    <w:rsid w:val="00606C66"/>
    <w:rsid w:val="00606D59"/>
    <w:rsid w:val="006073A0"/>
    <w:rsid w:val="00607D1D"/>
    <w:rsid w:val="00610D37"/>
    <w:rsid w:val="006114F1"/>
    <w:rsid w:val="0061186A"/>
    <w:rsid w:val="006134B2"/>
    <w:rsid w:val="00614983"/>
    <w:rsid w:val="00615E69"/>
    <w:rsid w:val="006215D6"/>
    <w:rsid w:val="00621A02"/>
    <w:rsid w:val="00623BFA"/>
    <w:rsid w:val="006242E7"/>
    <w:rsid w:val="006244A2"/>
    <w:rsid w:val="00625593"/>
    <w:rsid w:val="006310F7"/>
    <w:rsid w:val="00631A4F"/>
    <w:rsid w:val="00631C32"/>
    <w:rsid w:val="00632226"/>
    <w:rsid w:val="006329DC"/>
    <w:rsid w:val="00634998"/>
    <w:rsid w:val="0064111A"/>
    <w:rsid w:val="006469CD"/>
    <w:rsid w:val="006479C0"/>
    <w:rsid w:val="00650353"/>
    <w:rsid w:val="00651318"/>
    <w:rsid w:val="00653643"/>
    <w:rsid w:val="00654041"/>
    <w:rsid w:val="006540FF"/>
    <w:rsid w:val="00654294"/>
    <w:rsid w:val="00654D80"/>
    <w:rsid w:val="006566CB"/>
    <w:rsid w:val="0066020C"/>
    <w:rsid w:val="0066061B"/>
    <w:rsid w:val="006618DF"/>
    <w:rsid w:val="00661B6D"/>
    <w:rsid w:val="00662D69"/>
    <w:rsid w:val="00662DF0"/>
    <w:rsid w:val="00664B72"/>
    <w:rsid w:val="00665CBB"/>
    <w:rsid w:val="00666C3D"/>
    <w:rsid w:val="00667874"/>
    <w:rsid w:val="00670F4C"/>
    <w:rsid w:val="00671536"/>
    <w:rsid w:val="00674B2E"/>
    <w:rsid w:val="00675405"/>
    <w:rsid w:val="006756AD"/>
    <w:rsid w:val="00677BB7"/>
    <w:rsid w:val="006809D6"/>
    <w:rsid w:val="00681427"/>
    <w:rsid w:val="00681A52"/>
    <w:rsid w:val="006829F7"/>
    <w:rsid w:val="00683EF9"/>
    <w:rsid w:val="006860E0"/>
    <w:rsid w:val="00686354"/>
    <w:rsid w:val="00686D50"/>
    <w:rsid w:val="00687151"/>
    <w:rsid w:val="00687B43"/>
    <w:rsid w:val="00687CA4"/>
    <w:rsid w:val="00690C45"/>
    <w:rsid w:val="00691C86"/>
    <w:rsid w:val="00692D30"/>
    <w:rsid w:val="00692EE8"/>
    <w:rsid w:val="0069321D"/>
    <w:rsid w:val="006939A9"/>
    <w:rsid w:val="0069602D"/>
    <w:rsid w:val="0069664A"/>
    <w:rsid w:val="0069781C"/>
    <w:rsid w:val="006A0475"/>
    <w:rsid w:val="006A561C"/>
    <w:rsid w:val="006A58C8"/>
    <w:rsid w:val="006A6658"/>
    <w:rsid w:val="006A7DB8"/>
    <w:rsid w:val="006B0050"/>
    <w:rsid w:val="006B2DA0"/>
    <w:rsid w:val="006B4A38"/>
    <w:rsid w:val="006B4FCF"/>
    <w:rsid w:val="006B5064"/>
    <w:rsid w:val="006C18A1"/>
    <w:rsid w:val="006C1A5C"/>
    <w:rsid w:val="006C2E4D"/>
    <w:rsid w:val="006C3763"/>
    <w:rsid w:val="006C3B6A"/>
    <w:rsid w:val="006C4B07"/>
    <w:rsid w:val="006C791C"/>
    <w:rsid w:val="006C7BFD"/>
    <w:rsid w:val="006C7EC8"/>
    <w:rsid w:val="006D060F"/>
    <w:rsid w:val="006D082B"/>
    <w:rsid w:val="006D0968"/>
    <w:rsid w:val="006D16EF"/>
    <w:rsid w:val="006D2380"/>
    <w:rsid w:val="006D2E01"/>
    <w:rsid w:val="006D2E86"/>
    <w:rsid w:val="006D406D"/>
    <w:rsid w:val="006D51F6"/>
    <w:rsid w:val="006D69AB"/>
    <w:rsid w:val="006D7A43"/>
    <w:rsid w:val="006E04DB"/>
    <w:rsid w:val="006E0EC1"/>
    <w:rsid w:val="006E2226"/>
    <w:rsid w:val="006E55B0"/>
    <w:rsid w:val="006E7B4D"/>
    <w:rsid w:val="006F0911"/>
    <w:rsid w:val="006F1213"/>
    <w:rsid w:val="006F1998"/>
    <w:rsid w:val="006F4C2B"/>
    <w:rsid w:val="006F64C5"/>
    <w:rsid w:val="006F790C"/>
    <w:rsid w:val="006F7DED"/>
    <w:rsid w:val="006F7E7B"/>
    <w:rsid w:val="00704C4A"/>
    <w:rsid w:val="00707BC0"/>
    <w:rsid w:val="00707D4F"/>
    <w:rsid w:val="007105D4"/>
    <w:rsid w:val="0071175D"/>
    <w:rsid w:val="00711A92"/>
    <w:rsid w:val="007120BF"/>
    <w:rsid w:val="00712262"/>
    <w:rsid w:val="007128DA"/>
    <w:rsid w:val="00713897"/>
    <w:rsid w:val="007145E2"/>
    <w:rsid w:val="007159AD"/>
    <w:rsid w:val="00715B66"/>
    <w:rsid w:val="00715E3D"/>
    <w:rsid w:val="007224B3"/>
    <w:rsid w:val="007245EA"/>
    <w:rsid w:val="0072466A"/>
    <w:rsid w:val="007248DB"/>
    <w:rsid w:val="0072511A"/>
    <w:rsid w:val="0072755B"/>
    <w:rsid w:val="007338C1"/>
    <w:rsid w:val="0073444E"/>
    <w:rsid w:val="007350DF"/>
    <w:rsid w:val="007364AE"/>
    <w:rsid w:val="00742762"/>
    <w:rsid w:val="00745740"/>
    <w:rsid w:val="00745E35"/>
    <w:rsid w:val="00746A0C"/>
    <w:rsid w:val="00751596"/>
    <w:rsid w:val="0075288D"/>
    <w:rsid w:val="0075602A"/>
    <w:rsid w:val="007575B2"/>
    <w:rsid w:val="00762F35"/>
    <w:rsid w:val="00764A27"/>
    <w:rsid w:val="00765A06"/>
    <w:rsid w:val="007712CD"/>
    <w:rsid w:val="00773401"/>
    <w:rsid w:val="00773E94"/>
    <w:rsid w:val="00774039"/>
    <w:rsid w:val="00774CB0"/>
    <w:rsid w:val="00774DE9"/>
    <w:rsid w:val="00775692"/>
    <w:rsid w:val="00776D01"/>
    <w:rsid w:val="00781277"/>
    <w:rsid w:val="00782D13"/>
    <w:rsid w:val="007838DA"/>
    <w:rsid w:val="00783BD2"/>
    <w:rsid w:val="00784B26"/>
    <w:rsid w:val="007869AF"/>
    <w:rsid w:val="00787C59"/>
    <w:rsid w:val="00790641"/>
    <w:rsid w:val="0079149D"/>
    <w:rsid w:val="00792599"/>
    <w:rsid w:val="00794E37"/>
    <w:rsid w:val="00794EC9"/>
    <w:rsid w:val="00795645"/>
    <w:rsid w:val="007957E9"/>
    <w:rsid w:val="00796BA6"/>
    <w:rsid w:val="00797220"/>
    <w:rsid w:val="007A11B0"/>
    <w:rsid w:val="007A1BAF"/>
    <w:rsid w:val="007A30C8"/>
    <w:rsid w:val="007A367E"/>
    <w:rsid w:val="007A37F4"/>
    <w:rsid w:val="007A521F"/>
    <w:rsid w:val="007A72F6"/>
    <w:rsid w:val="007B086D"/>
    <w:rsid w:val="007B1F67"/>
    <w:rsid w:val="007B5558"/>
    <w:rsid w:val="007B5ED8"/>
    <w:rsid w:val="007B66A4"/>
    <w:rsid w:val="007B7DEE"/>
    <w:rsid w:val="007C096A"/>
    <w:rsid w:val="007C0B52"/>
    <w:rsid w:val="007C1649"/>
    <w:rsid w:val="007C1EC7"/>
    <w:rsid w:val="007C2022"/>
    <w:rsid w:val="007C2FC8"/>
    <w:rsid w:val="007C34A7"/>
    <w:rsid w:val="007C3ED5"/>
    <w:rsid w:val="007C4B47"/>
    <w:rsid w:val="007C4DC3"/>
    <w:rsid w:val="007C5ABC"/>
    <w:rsid w:val="007C5D03"/>
    <w:rsid w:val="007C5EE3"/>
    <w:rsid w:val="007D0DF3"/>
    <w:rsid w:val="007D1412"/>
    <w:rsid w:val="007D1B00"/>
    <w:rsid w:val="007D4B87"/>
    <w:rsid w:val="007D580F"/>
    <w:rsid w:val="007D5EFD"/>
    <w:rsid w:val="007D7BF9"/>
    <w:rsid w:val="007E16D1"/>
    <w:rsid w:val="007E331E"/>
    <w:rsid w:val="007E4323"/>
    <w:rsid w:val="007E5386"/>
    <w:rsid w:val="007E58C2"/>
    <w:rsid w:val="007E5A19"/>
    <w:rsid w:val="007E5EC5"/>
    <w:rsid w:val="007E64E5"/>
    <w:rsid w:val="007E6779"/>
    <w:rsid w:val="007F096B"/>
    <w:rsid w:val="007F0D3B"/>
    <w:rsid w:val="007F0E14"/>
    <w:rsid w:val="007F2465"/>
    <w:rsid w:val="007F4992"/>
    <w:rsid w:val="007F53CF"/>
    <w:rsid w:val="007F6556"/>
    <w:rsid w:val="008018D6"/>
    <w:rsid w:val="008025D4"/>
    <w:rsid w:val="008027E3"/>
    <w:rsid w:val="00802D7C"/>
    <w:rsid w:val="00807280"/>
    <w:rsid w:val="00807738"/>
    <w:rsid w:val="00807AB9"/>
    <w:rsid w:val="008109A2"/>
    <w:rsid w:val="00811D3E"/>
    <w:rsid w:val="00820DDA"/>
    <w:rsid w:val="008216C3"/>
    <w:rsid w:val="00822899"/>
    <w:rsid w:val="00822BC1"/>
    <w:rsid w:val="008231C5"/>
    <w:rsid w:val="0082475F"/>
    <w:rsid w:val="00826138"/>
    <w:rsid w:val="00826B1E"/>
    <w:rsid w:val="00826B44"/>
    <w:rsid w:val="00826ED9"/>
    <w:rsid w:val="0083233F"/>
    <w:rsid w:val="008332D4"/>
    <w:rsid w:val="00833340"/>
    <w:rsid w:val="0083468B"/>
    <w:rsid w:val="0083605C"/>
    <w:rsid w:val="00837BFA"/>
    <w:rsid w:val="00841050"/>
    <w:rsid w:val="00845578"/>
    <w:rsid w:val="00850E54"/>
    <w:rsid w:val="00852882"/>
    <w:rsid w:val="00855158"/>
    <w:rsid w:val="00856332"/>
    <w:rsid w:val="0085633D"/>
    <w:rsid w:val="00863638"/>
    <w:rsid w:val="0086483D"/>
    <w:rsid w:val="008651AE"/>
    <w:rsid w:val="00870D72"/>
    <w:rsid w:val="00871965"/>
    <w:rsid w:val="00872CE7"/>
    <w:rsid w:val="008752A8"/>
    <w:rsid w:val="00875574"/>
    <w:rsid w:val="008764A7"/>
    <w:rsid w:val="00881BC3"/>
    <w:rsid w:val="00881EB5"/>
    <w:rsid w:val="008829F8"/>
    <w:rsid w:val="00883083"/>
    <w:rsid w:val="00883093"/>
    <w:rsid w:val="00883DFA"/>
    <w:rsid w:val="00884513"/>
    <w:rsid w:val="0088474D"/>
    <w:rsid w:val="0088495E"/>
    <w:rsid w:val="0088604C"/>
    <w:rsid w:val="00887072"/>
    <w:rsid w:val="00890B9B"/>
    <w:rsid w:val="00891E61"/>
    <w:rsid w:val="00892A4F"/>
    <w:rsid w:val="00893E00"/>
    <w:rsid w:val="008946BE"/>
    <w:rsid w:val="008951C2"/>
    <w:rsid w:val="00896031"/>
    <w:rsid w:val="008A195C"/>
    <w:rsid w:val="008A6B87"/>
    <w:rsid w:val="008B0887"/>
    <w:rsid w:val="008B18B0"/>
    <w:rsid w:val="008B1FF3"/>
    <w:rsid w:val="008B2805"/>
    <w:rsid w:val="008B37D3"/>
    <w:rsid w:val="008B3978"/>
    <w:rsid w:val="008B46BE"/>
    <w:rsid w:val="008B4706"/>
    <w:rsid w:val="008B5316"/>
    <w:rsid w:val="008B7EA1"/>
    <w:rsid w:val="008C05BF"/>
    <w:rsid w:val="008C1E1F"/>
    <w:rsid w:val="008C2214"/>
    <w:rsid w:val="008C341F"/>
    <w:rsid w:val="008C4EDB"/>
    <w:rsid w:val="008C6DF1"/>
    <w:rsid w:val="008D144E"/>
    <w:rsid w:val="008D244C"/>
    <w:rsid w:val="008D34E8"/>
    <w:rsid w:val="008D3521"/>
    <w:rsid w:val="008D38C4"/>
    <w:rsid w:val="008D3BBC"/>
    <w:rsid w:val="008D5391"/>
    <w:rsid w:val="008D59E4"/>
    <w:rsid w:val="008D5E7C"/>
    <w:rsid w:val="008E0DCD"/>
    <w:rsid w:val="008E2A9D"/>
    <w:rsid w:val="008E2CDE"/>
    <w:rsid w:val="008E58D9"/>
    <w:rsid w:val="008E6701"/>
    <w:rsid w:val="008E7280"/>
    <w:rsid w:val="008F2285"/>
    <w:rsid w:val="008F2D30"/>
    <w:rsid w:val="008F42FE"/>
    <w:rsid w:val="008F433B"/>
    <w:rsid w:val="008F5C52"/>
    <w:rsid w:val="008F70A7"/>
    <w:rsid w:val="008F715A"/>
    <w:rsid w:val="00901395"/>
    <w:rsid w:val="00903A20"/>
    <w:rsid w:val="00906C7A"/>
    <w:rsid w:val="009132FD"/>
    <w:rsid w:val="009170A9"/>
    <w:rsid w:val="009207C6"/>
    <w:rsid w:val="0092482D"/>
    <w:rsid w:val="0092483A"/>
    <w:rsid w:val="009248A2"/>
    <w:rsid w:val="009267D9"/>
    <w:rsid w:val="00927474"/>
    <w:rsid w:val="009304EC"/>
    <w:rsid w:val="00931CE5"/>
    <w:rsid w:val="0093239E"/>
    <w:rsid w:val="009330D1"/>
    <w:rsid w:val="00934039"/>
    <w:rsid w:val="00937E12"/>
    <w:rsid w:val="00937F07"/>
    <w:rsid w:val="00940A4E"/>
    <w:rsid w:val="009448FA"/>
    <w:rsid w:val="00945A64"/>
    <w:rsid w:val="00945AA7"/>
    <w:rsid w:val="00945FE5"/>
    <w:rsid w:val="00950ADD"/>
    <w:rsid w:val="009563A5"/>
    <w:rsid w:val="009579B7"/>
    <w:rsid w:val="00961828"/>
    <w:rsid w:val="00963B54"/>
    <w:rsid w:val="00964311"/>
    <w:rsid w:val="00967605"/>
    <w:rsid w:val="00967606"/>
    <w:rsid w:val="0097278A"/>
    <w:rsid w:val="00975B46"/>
    <w:rsid w:val="00975E89"/>
    <w:rsid w:val="00976012"/>
    <w:rsid w:val="00976D4F"/>
    <w:rsid w:val="00977488"/>
    <w:rsid w:val="009804F1"/>
    <w:rsid w:val="00980B90"/>
    <w:rsid w:val="00983776"/>
    <w:rsid w:val="009837F8"/>
    <w:rsid w:val="00985302"/>
    <w:rsid w:val="00985A23"/>
    <w:rsid w:val="009917A0"/>
    <w:rsid w:val="00992CD3"/>
    <w:rsid w:val="009932D9"/>
    <w:rsid w:val="00994610"/>
    <w:rsid w:val="00994C33"/>
    <w:rsid w:val="00996EB1"/>
    <w:rsid w:val="009A011C"/>
    <w:rsid w:val="009A08FF"/>
    <w:rsid w:val="009A125B"/>
    <w:rsid w:val="009A241A"/>
    <w:rsid w:val="009A288E"/>
    <w:rsid w:val="009A2A78"/>
    <w:rsid w:val="009A331E"/>
    <w:rsid w:val="009A6614"/>
    <w:rsid w:val="009A6756"/>
    <w:rsid w:val="009A6D6D"/>
    <w:rsid w:val="009A745F"/>
    <w:rsid w:val="009A7CF3"/>
    <w:rsid w:val="009B116D"/>
    <w:rsid w:val="009B3330"/>
    <w:rsid w:val="009B5175"/>
    <w:rsid w:val="009C01D8"/>
    <w:rsid w:val="009C0247"/>
    <w:rsid w:val="009C041D"/>
    <w:rsid w:val="009C3734"/>
    <w:rsid w:val="009C5BFC"/>
    <w:rsid w:val="009C6012"/>
    <w:rsid w:val="009C6C11"/>
    <w:rsid w:val="009D165F"/>
    <w:rsid w:val="009D197A"/>
    <w:rsid w:val="009D24F2"/>
    <w:rsid w:val="009D28D9"/>
    <w:rsid w:val="009D2C53"/>
    <w:rsid w:val="009D3917"/>
    <w:rsid w:val="009D6836"/>
    <w:rsid w:val="009D7161"/>
    <w:rsid w:val="009D766B"/>
    <w:rsid w:val="009D78B3"/>
    <w:rsid w:val="009D7F52"/>
    <w:rsid w:val="009E040B"/>
    <w:rsid w:val="009E0441"/>
    <w:rsid w:val="009E057B"/>
    <w:rsid w:val="009E18F8"/>
    <w:rsid w:val="009E1934"/>
    <w:rsid w:val="009E6A17"/>
    <w:rsid w:val="009E794B"/>
    <w:rsid w:val="009F0272"/>
    <w:rsid w:val="009F02B5"/>
    <w:rsid w:val="009F1895"/>
    <w:rsid w:val="009F28D3"/>
    <w:rsid w:val="009F3116"/>
    <w:rsid w:val="009F3849"/>
    <w:rsid w:val="009F3F74"/>
    <w:rsid w:val="009F630D"/>
    <w:rsid w:val="00A00916"/>
    <w:rsid w:val="00A0290F"/>
    <w:rsid w:val="00A03364"/>
    <w:rsid w:val="00A04003"/>
    <w:rsid w:val="00A04842"/>
    <w:rsid w:val="00A067B0"/>
    <w:rsid w:val="00A076D0"/>
    <w:rsid w:val="00A07F19"/>
    <w:rsid w:val="00A12C86"/>
    <w:rsid w:val="00A14C10"/>
    <w:rsid w:val="00A157D2"/>
    <w:rsid w:val="00A1664F"/>
    <w:rsid w:val="00A218A5"/>
    <w:rsid w:val="00A21B1E"/>
    <w:rsid w:val="00A227AC"/>
    <w:rsid w:val="00A250FF"/>
    <w:rsid w:val="00A2626E"/>
    <w:rsid w:val="00A27449"/>
    <w:rsid w:val="00A2755E"/>
    <w:rsid w:val="00A27BE1"/>
    <w:rsid w:val="00A301CD"/>
    <w:rsid w:val="00A318E2"/>
    <w:rsid w:val="00A31EB4"/>
    <w:rsid w:val="00A33BAE"/>
    <w:rsid w:val="00A33C26"/>
    <w:rsid w:val="00A34FD6"/>
    <w:rsid w:val="00A3560E"/>
    <w:rsid w:val="00A37057"/>
    <w:rsid w:val="00A407B3"/>
    <w:rsid w:val="00A463EB"/>
    <w:rsid w:val="00A47857"/>
    <w:rsid w:val="00A4789A"/>
    <w:rsid w:val="00A478FF"/>
    <w:rsid w:val="00A50112"/>
    <w:rsid w:val="00A5066F"/>
    <w:rsid w:val="00A51BC1"/>
    <w:rsid w:val="00A5207C"/>
    <w:rsid w:val="00A53A43"/>
    <w:rsid w:val="00A53AF5"/>
    <w:rsid w:val="00A554B6"/>
    <w:rsid w:val="00A602D1"/>
    <w:rsid w:val="00A615C3"/>
    <w:rsid w:val="00A62562"/>
    <w:rsid w:val="00A633B4"/>
    <w:rsid w:val="00A63BE5"/>
    <w:rsid w:val="00A7038E"/>
    <w:rsid w:val="00A7105C"/>
    <w:rsid w:val="00A71D1F"/>
    <w:rsid w:val="00A724B8"/>
    <w:rsid w:val="00A73B0A"/>
    <w:rsid w:val="00A74787"/>
    <w:rsid w:val="00A7661B"/>
    <w:rsid w:val="00A77F9C"/>
    <w:rsid w:val="00A77FD5"/>
    <w:rsid w:val="00A8030F"/>
    <w:rsid w:val="00A804A4"/>
    <w:rsid w:val="00A84E15"/>
    <w:rsid w:val="00A86D69"/>
    <w:rsid w:val="00A872E7"/>
    <w:rsid w:val="00A9004A"/>
    <w:rsid w:val="00A92645"/>
    <w:rsid w:val="00A92CEC"/>
    <w:rsid w:val="00A93F2A"/>
    <w:rsid w:val="00A9572E"/>
    <w:rsid w:val="00A96FDA"/>
    <w:rsid w:val="00A9792D"/>
    <w:rsid w:val="00A97B4D"/>
    <w:rsid w:val="00AA0B04"/>
    <w:rsid w:val="00AA0CB1"/>
    <w:rsid w:val="00AA13B9"/>
    <w:rsid w:val="00AA21D0"/>
    <w:rsid w:val="00AA335F"/>
    <w:rsid w:val="00AA4B67"/>
    <w:rsid w:val="00AA4F8C"/>
    <w:rsid w:val="00AA5D24"/>
    <w:rsid w:val="00AA5DFF"/>
    <w:rsid w:val="00AB14DD"/>
    <w:rsid w:val="00AB3B61"/>
    <w:rsid w:val="00AB4217"/>
    <w:rsid w:val="00AB55FD"/>
    <w:rsid w:val="00AB62A9"/>
    <w:rsid w:val="00AB7564"/>
    <w:rsid w:val="00AC0A59"/>
    <w:rsid w:val="00AC0FA1"/>
    <w:rsid w:val="00AC2F1C"/>
    <w:rsid w:val="00AC51EA"/>
    <w:rsid w:val="00AC64FA"/>
    <w:rsid w:val="00AD121B"/>
    <w:rsid w:val="00AD17C7"/>
    <w:rsid w:val="00AD2A79"/>
    <w:rsid w:val="00AD4DF8"/>
    <w:rsid w:val="00AD5EDA"/>
    <w:rsid w:val="00AD6497"/>
    <w:rsid w:val="00AD7FE3"/>
    <w:rsid w:val="00AE112D"/>
    <w:rsid w:val="00AE1B36"/>
    <w:rsid w:val="00AE1DA4"/>
    <w:rsid w:val="00AE4005"/>
    <w:rsid w:val="00AE4B2B"/>
    <w:rsid w:val="00AE4FEA"/>
    <w:rsid w:val="00AE7431"/>
    <w:rsid w:val="00AE7C8B"/>
    <w:rsid w:val="00AF1744"/>
    <w:rsid w:val="00AF2903"/>
    <w:rsid w:val="00AF6BE2"/>
    <w:rsid w:val="00B00CF2"/>
    <w:rsid w:val="00B013ED"/>
    <w:rsid w:val="00B01501"/>
    <w:rsid w:val="00B055B2"/>
    <w:rsid w:val="00B061D8"/>
    <w:rsid w:val="00B102BE"/>
    <w:rsid w:val="00B10C93"/>
    <w:rsid w:val="00B146EE"/>
    <w:rsid w:val="00B14BD2"/>
    <w:rsid w:val="00B163C3"/>
    <w:rsid w:val="00B16828"/>
    <w:rsid w:val="00B174A0"/>
    <w:rsid w:val="00B1754D"/>
    <w:rsid w:val="00B1766A"/>
    <w:rsid w:val="00B204B2"/>
    <w:rsid w:val="00B21F3B"/>
    <w:rsid w:val="00B23CA3"/>
    <w:rsid w:val="00B24108"/>
    <w:rsid w:val="00B24BB1"/>
    <w:rsid w:val="00B257D1"/>
    <w:rsid w:val="00B30EB4"/>
    <w:rsid w:val="00B32B92"/>
    <w:rsid w:val="00B32D56"/>
    <w:rsid w:val="00B347E1"/>
    <w:rsid w:val="00B34ADA"/>
    <w:rsid w:val="00B35665"/>
    <w:rsid w:val="00B404F0"/>
    <w:rsid w:val="00B44597"/>
    <w:rsid w:val="00B44F40"/>
    <w:rsid w:val="00B458DF"/>
    <w:rsid w:val="00B45961"/>
    <w:rsid w:val="00B46F01"/>
    <w:rsid w:val="00B478B8"/>
    <w:rsid w:val="00B479AA"/>
    <w:rsid w:val="00B5084C"/>
    <w:rsid w:val="00B51B5D"/>
    <w:rsid w:val="00B522E8"/>
    <w:rsid w:val="00B5323F"/>
    <w:rsid w:val="00B53683"/>
    <w:rsid w:val="00B53B1B"/>
    <w:rsid w:val="00B53F8B"/>
    <w:rsid w:val="00B541A0"/>
    <w:rsid w:val="00B54C8D"/>
    <w:rsid w:val="00B54D10"/>
    <w:rsid w:val="00B62C53"/>
    <w:rsid w:val="00B6398F"/>
    <w:rsid w:val="00B659AA"/>
    <w:rsid w:val="00B66345"/>
    <w:rsid w:val="00B679DA"/>
    <w:rsid w:val="00B71018"/>
    <w:rsid w:val="00B71D10"/>
    <w:rsid w:val="00B72CBB"/>
    <w:rsid w:val="00B747E3"/>
    <w:rsid w:val="00B749E1"/>
    <w:rsid w:val="00B804A8"/>
    <w:rsid w:val="00B811F2"/>
    <w:rsid w:val="00B82E36"/>
    <w:rsid w:val="00B860E6"/>
    <w:rsid w:val="00B86365"/>
    <w:rsid w:val="00B90A50"/>
    <w:rsid w:val="00B91055"/>
    <w:rsid w:val="00B95971"/>
    <w:rsid w:val="00B9664D"/>
    <w:rsid w:val="00BA26DA"/>
    <w:rsid w:val="00BA4351"/>
    <w:rsid w:val="00BB0768"/>
    <w:rsid w:val="00BB0E26"/>
    <w:rsid w:val="00BB4C32"/>
    <w:rsid w:val="00BB52C4"/>
    <w:rsid w:val="00BB58F2"/>
    <w:rsid w:val="00BB6E40"/>
    <w:rsid w:val="00BB7592"/>
    <w:rsid w:val="00BC1D0B"/>
    <w:rsid w:val="00BC20D8"/>
    <w:rsid w:val="00BC24A1"/>
    <w:rsid w:val="00BC26AB"/>
    <w:rsid w:val="00BC270F"/>
    <w:rsid w:val="00BC2989"/>
    <w:rsid w:val="00BC4700"/>
    <w:rsid w:val="00BC540A"/>
    <w:rsid w:val="00BC6DD5"/>
    <w:rsid w:val="00BC7972"/>
    <w:rsid w:val="00BD0CF6"/>
    <w:rsid w:val="00BD0F27"/>
    <w:rsid w:val="00BD132B"/>
    <w:rsid w:val="00BD191E"/>
    <w:rsid w:val="00BD20D6"/>
    <w:rsid w:val="00BD45FC"/>
    <w:rsid w:val="00BD5485"/>
    <w:rsid w:val="00BD6ECE"/>
    <w:rsid w:val="00BD7B76"/>
    <w:rsid w:val="00BE0E33"/>
    <w:rsid w:val="00BE0ED5"/>
    <w:rsid w:val="00BE2C0A"/>
    <w:rsid w:val="00BE6042"/>
    <w:rsid w:val="00BE6326"/>
    <w:rsid w:val="00BE6484"/>
    <w:rsid w:val="00BE6DF0"/>
    <w:rsid w:val="00BF0289"/>
    <w:rsid w:val="00BF1FB8"/>
    <w:rsid w:val="00BF327C"/>
    <w:rsid w:val="00BF38D5"/>
    <w:rsid w:val="00BF3C3B"/>
    <w:rsid w:val="00BF45F9"/>
    <w:rsid w:val="00BF7621"/>
    <w:rsid w:val="00BF77E1"/>
    <w:rsid w:val="00C01403"/>
    <w:rsid w:val="00C01B20"/>
    <w:rsid w:val="00C02F0A"/>
    <w:rsid w:val="00C0376E"/>
    <w:rsid w:val="00C050D0"/>
    <w:rsid w:val="00C06419"/>
    <w:rsid w:val="00C06AC0"/>
    <w:rsid w:val="00C06E67"/>
    <w:rsid w:val="00C10D1D"/>
    <w:rsid w:val="00C10E6C"/>
    <w:rsid w:val="00C11CF4"/>
    <w:rsid w:val="00C132EF"/>
    <w:rsid w:val="00C13466"/>
    <w:rsid w:val="00C1368E"/>
    <w:rsid w:val="00C14B8D"/>
    <w:rsid w:val="00C14F56"/>
    <w:rsid w:val="00C15450"/>
    <w:rsid w:val="00C15BEB"/>
    <w:rsid w:val="00C15DFF"/>
    <w:rsid w:val="00C16223"/>
    <w:rsid w:val="00C16EE5"/>
    <w:rsid w:val="00C21AA6"/>
    <w:rsid w:val="00C234A0"/>
    <w:rsid w:val="00C25D2C"/>
    <w:rsid w:val="00C26720"/>
    <w:rsid w:val="00C30E01"/>
    <w:rsid w:val="00C32051"/>
    <w:rsid w:val="00C33189"/>
    <w:rsid w:val="00C357D1"/>
    <w:rsid w:val="00C35DD0"/>
    <w:rsid w:val="00C36005"/>
    <w:rsid w:val="00C36102"/>
    <w:rsid w:val="00C361FD"/>
    <w:rsid w:val="00C36554"/>
    <w:rsid w:val="00C37904"/>
    <w:rsid w:val="00C40153"/>
    <w:rsid w:val="00C402BB"/>
    <w:rsid w:val="00C411D5"/>
    <w:rsid w:val="00C42B26"/>
    <w:rsid w:val="00C42E3A"/>
    <w:rsid w:val="00C43544"/>
    <w:rsid w:val="00C43C98"/>
    <w:rsid w:val="00C44B92"/>
    <w:rsid w:val="00C4760B"/>
    <w:rsid w:val="00C50890"/>
    <w:rsid w:val="00C50C22"/>
    <w:rsid w:val="00C5356A"/>
    <w:rsid w:val="00C54337"/>
    <w:rsid w:val="00C5478C"/>
    <w:rsid w:val="00C55B8E"/>
    <w:rsid w:val="00C568DA"/>
    <w:rsid w:val="00C57BDB"/>
    <w:rsid w:val="00C57D8A"/>
    <w:rsid w:val="00C611B5"/>
    <w:rsid w:val="00C611BC"/>
    <w:rsid w:val="00C61572"/>
    <w:rsid w:val="00C620AF"/>
    <w:rsid w:val="00C63B38"/>
    <w:rsid w:val="00C640E8"/>
    <w:rsid w:val="00C641B2"/>
    <w:rsid w:val="00C65257"/>
    <w:rsid w:val="00C65B57"/>
    <w:rsid w:val="00C67D5B"/>
    <w:rsid w:val="00C70507"/>
    <w:rsid w:val="00C71619"/>
    <w:rsid w:val="00C71D7B"/>
    <w:rsid w:val="00C726A8"/>
    <w:rsid w:val="00C72CB7"/>
    <w:rsid w:val="00C72FD7"/>
    <w:rsid w:val="00C7321D"/>
    <w:rsid w:val="00C73E97"/>
    <w:rsid w:val="00C74121"/>
    <w:rsid w:val="00C76EAA"/>
    <w:rsid w:val="00C809B2"/>
    <w:rsid w:val="00C80C8F"/>
    <w:rsid w:val="00C81AEC"/>
    <w:rsid w:val="00C82CC5"/>
    <w:rsid w:val="00C84995"/>
    <w:rsid w:val="00C8516F"/>
    <w:rsid w:val="00C8685C"/>
    <w:rsid w:val="00C8750A"/>
    <w:rsid w:val="00C904D2"/>
    <w:rsid w:val="00C90656"/>
    <w:rsid w:val="00C91C99"/>
    <w:rsid w:val="00C9516E"/>
    <w:rsid w:val="00C95667"/>
    <w:rsid w:val="00C97EAE"/>
    <w:rsid w:val="00CA08AD"/>
    <w:rsid w:val="00CA1567"/>
    <w:rsid w:val="00CA28E3"/>
    <w:rsid w:val="00CA2E06"/>
    <w:rsid w:val="00CA5209"/>
    <w:rsid w:val="00CA539A"/>
    <w:rsid w:val="00CA7C1A"/>
    <w:rsid w:val="00CB0EB2"/>
    <w:rsid w:val="00CB19B9"/>
    <w:rsid w:val="00CB1CCA"/>
    <w:rsid w:val="00CB1F36"/>
    <w:rsid w:val="00CB32A7"/>
    <w:rsid w:val="00CB3868"/>
    <w:rsid w:val="00CB3CB6"/>
    <w:rsid w:val="00CB3E14"/>
    <w:rsid w:val="00CB49C8"/>
    <w:rsid w:val="00CB7892"/>
    <w:rsid w:val="00CC015D"/>
    <w:rsid w:val="00CC097A"/>
    <w:rsid w:val="00CC2D13"/>
    <w:rsid w:val="00CC4347"/>
    <w:rsid w:val="00CC52E3"/>
    <w:rsid w:val="00CC7821"/>
    <w:rsid w:val="00CC79D9"/>
    <w:rsid w:val="00CC7D03"/>
    <w:rsid w:val="00CD027D"/>
    <w:rsid w:val="00CD110F"/>
    <w:rsid w:val="00CD2528"/>
    <w:rsid w:val="00CD2B4F"/>
    <w:rsid w:val="00CD551B"/>
    <w:rsid w:val="00CD6A2E"/>
    <w:rsid w:val="00CE1548"/>
    <w:rsid w:val="00CE26C2"/>
    <w:rsid w:val="00CE3A84"/>
    <w:rsid w:val="00CE3C80"/>
    <w:rsid w:val="00CE695F"/>
    <w:rsid w:val="00CF17EB"/>
    <w:rsid w:val="00CF5B5D"/>
    <w:rsid w:val="00CF5E79"/>
    <w:rsid w:val="00CF63A8"/>
    <w:rsid w:val="00CF69C4"/>
    <w:rsid w:val="00CF7825"/>
    <w:rsid w:val="00CF798C"/>
    <w:rsid w:val="00D011BF"/>
    <w:rsid w:val="00D015ED"/>
    <w:rsid w:val="00D019F5"/>
    <w:rsid w:val="00D032A5"/>
    <w:rsid w:val="00D03DEC"/>
    <w:rsid w:val="00D0420F"/>
    <w:rsid w:val="00D0784E"/>
    <w:rsid w:val="00D07D89"/>
    <w:rsid w:val="00D07F2E"/>
    <w:rsid w:val="00D10224"/>
    <w:rsid w:val="00D103A8"/>
    <w:rsid w:val="00D10EF4"/>
    <w:rsid w:val="00D12A61"/>
    <w:rsid w:val="00D13C29"/>
    <w:rsid w:val="00D14F97"/>
    <w:rsid w:val="00D165FE"/>
    <w:rsid w:val="00D218DE"/>
    <w:rsid w:val="00D22440"/>
    <w:rsid w:val="00D24FDE"/>
    <w:rsid w:val="00D26E64"/>
    <w:rsid w:val="00D27F8B"/>
    <w:rsid w:val="00D315C3"/>
    <w:rsid w:val="00D3226B"/>
    <w:rsid w:val="00D32DE5"/>
    <w:rsid w:val="00D341D0"/>
    <w:rsid w:val="00D35E4F"/>
    <w:rsid w:val="00D36124"/>
    <w:rsid w:val="00D363BF"/>
    <w:rsid w:val="00D429A7"/>
    <w:rsid w:val="00D42B12"/>
    <w:rsid w:val="00D42B1B"/>
    <w:rsid w:val="00D441F9"/>
    <w:rsid w:val="00D45B78"/>
    <w:rsid w:val="00D5295B"/>
    <w:rsid w:val="00D552C2"/>
    <w:rsid w:val="00D5586B"/>
    <w:rsid w:val="00D55E9F"/>
    <w:rsid w:val="00D5750C"/>
    <w:rsid w:val="00D5794C"/>
    <w:rsid w:val="00D57B46"/>
    <w:rsid w:val="00D606FB"/>
    <w:rsid w:val="00D60D3F"/>
    <w:rsid w:val="00D6171D"/>
    <w:rsid w:val="00D62300"/>
    <w:rsid w:val="00D628BE"/>
    <w:rsid w:val="00D629BC"/>
    <w:rsid w:val="00D64A64"/>
    <w:rsid w:val="00D67045"/>
    <w:rsid w:val="00D67AAF"/>
    <w:rsid w:val="00D70014"/>
    <w:rsid w:val="00D719B2"/>
    <w:rsid w:val="00D71B2E"/>
    <w:rsid w:val="00D727DC"/>
    <w:rsid w:val="00D730E2"/>
    <w:rsid w:val="00D7631A"/>
    <w:rsid w:val="00D76634"/>
    <w:rsid w:val="00D9025E"/>
    <w:rsid w:val="00D91CB5"/>
    <w:rsid w:val="00D930AC"/>
    <w:rsid w:val="00D9338D"/>
    <w:rsid w:val="00D97642"/>
    <w:rsid w:val="00DA1007"/>
    <w:rsid w:val="00DA1075"/>
    <w:rsid w:val="00DA2329"/>
    <w:rsid w:val="00DA2353"/>
    <w:rsid w:val="00DA2E30"/>
    <w:rsid w:val="00DA3288"/>
    <w:rsid w:val="00DA3513"/>
    <w:rsid w:val="00DA3B6D"/>
    <w:rsid w:val="00DA43EA"/>
    <w:rsid w:val="00DA49FD"/>
    <w:rsid w:val="00DA5758"/>
    <w:rsid w:val="00DA5BBB"/>
    <w:rsid w:val="00DA6EF8"/>
    <w:rsid w:val="00DB1961"/>
    <w:rsid w:val="00DB21A2"/>
    <w:rsid w:val="00DB2B56"/>
    <w:rsid w:val="00DB3720"/>
    <w:rsid w:val="00DB3DEB"/>
    <w:rsid w:val="00DB5D81"/>
    <w:rsid w:val="00DB6039"/>
    <w:rsid w:val="00DB702F"/>
    <w:rsid w:val="00DB7311"/>
    <w:rsid w:val="00DC3148"/>
    <w:rsid w:val="00DC3519"/>
    <w:rsid w:val="00DC53A8"/>
    <w:rsid w:val="00DC5623"/>
    <w:rsid w:val="00DC5EAC"/>
    <w:rsid w:val="00DC76D6"/>
    <w:rsid w:val="00DD044D"/>
    <w:rsid w:val="00DD0866"/>
    <w:rsid w:val="00DD131B"/>
    <w:rsid w:val="00DD1893"/>
    <w:rsid w:val="00DD2833"/>
    <w:rsid w:val="00DD3DF7"/>
    <w:rsid w:val="00DD5F9A"/>
    <w:rsid w:val="00DE0EC8"/>
    <w:rsid w:val="00DE1337"/>
    <w:rsid w:val="00DE302E"/>
    <w:rsid w:val="00DE3E0C"/>
    <w:rsid w:val="00DE4099"/>
    <w:rsid w:val="00DE60A9"/>
    <w:rsid w:val="00DE6541"/>
    <w:rsid w:val="00DE6DAC"/>
    <w:rsid w:val="00DE78CC"/>
    <w:rsid w:val="00DE7C17"/>
    <w:rsid w:val="00DF0042"/>
    <w:rsid w:val="00DF1581"/>
    <w:rsid w:val="00DF2603"/>
    <w:rsid w:val="00DF2D1B"/>
    <w:rsid w:val="00DF409D"/>
    <w:rsid w:val="00DF63C7"/>
    <w:rsid w:val="00E0152E"/>
    <w:rsid w:val="00E01892"/>
    <w:rsid w:val="00E03944"/>
    <w:rsid w:val="00E03FA1"/>
    <w:rsid w:val="00E05795"/>
    <w:rsid w:val="00E06B8E"/>
    <w:rsid w:val="00E105A7"/>
    <w:rsid w:val="00E12139"/>
    <w:rsid w:val="00E12302"/>
    <w:rsid w:val="00E12A4D"/>
    <w:rsid w:val="00E12AE1"/>
    <w:rsid w:val="00E12BBF"/>
    <w:rsid w:val="00E13B02"/>
    <w:rsid w:val="00E1516D"/>
    <w:rsid w:val="00E16A6B"/>
    <w:rsid w:val="00E275F0"/>
    <w:rsid w:val="00E301E0"/>
    <w:rsid w:val="00E3208D"/>
    <w:rsid w:val="00E3209C"/>
    <w:rsid w:val="00E33702"/>
    <w:rsid w:val="00E34668"/>
    <w:rsid w:val="00E40F7E"/>
    <w:rsid w:val="00E43335"/>
    <w:rsid w:val="00E460F3"/>
    <w:rsid w:val="00E47100"/>
    <w:rsid w:val="00E47A9A"/>
    <w:rsid w:val="00E50889"/>
    <w:rsid w:val="00E51F4E"/>
    <w:rsid w:val="00E527F9"/>
    <w:rsid w:val="00E528EF"/>
    <w:rsid w:val="00E53EBD"/>
    <w:rsid w:val="00E5460A"/>
    <w:rsid w:val="00E566B8"/>
    <w:rsid w:val="00E56F7E"/>
    <w:rsid w:val="00E57119"/>
    <w:rsid w:val="00E60A65"/>
    <w:rsid w:val="00E62216"/>
    <w:rsid w:val="00E63930"/>
    <w:rsid w:val="00E646D7"/>
    <w:rsid w:val="00E74169"/>
    <w:rsid w:val="00E74222"/>
    <w:rsid w:val="00E75235"/>
    <w:rsid w:val="00E80313"/>
    <w:rsid w:val="00E80B39"/>
    <w:rsid w:val="00E81089"/>
    <w:rsid w:val="00E84C37"/>
    <w:rsid w:val="00E853B6"/>
    <w:rsid w:val="00E87746"/>
    <w:rsid w:val="00E90A46"/>
    <w:rsid w:val="00E9155B"/>
    <w:rsid w:val="00E92050"/>
    <w:rsid w:val="00E92BB0"/>
    <w:rsid w:val="00E93691"/>
    <w:rsid w:val="00E93B10"/>
    <w:rsid w:val="00E94ADD"/>
    <w:rsid w:val="00E953C1"/>
    <w:rsid w:val="00E95E8B"/>
    <w:rsid w:val="00E96571"/>
    <w:rsid w:val="00E97C14"/>
    <w:rsid w:val="00EA1A46"/>
    <w:rsid w:val="00EA1D0F"/>
    <w:rsid w:val="00EA388A"/>
    <w:rsid w:val="00EA5D08"/>
    <w:rsid w:val="00EA61F2"/>
    <w:rsid w:val="00EB1639"/>
    <w:rsid w:val="00EB1C47"/>
    <w:rsid w:val="00EB24AE"/>
    <w:rsid w:val="00EB4195"/>
    <w:rsid w:val="00EB42F5"/>
    <w:rsid w:val="00EB4AD9"/>
    <w:rsid w:val="00EB4E99"/>
    <w:rsid w:val="00EB6669"/>
    <w:rsid w:val="00EB7DC4"/>
    <w:rsid w:val="00EC0A40"/>
    <w:rsid w:val="00EC0BBF"/>
    <w:rsid w:val="00EC0E02"/>
    <w:rsid w:val="00EC27F8"/>
    <w:rsid w:val="00EC2A45"/>
    <w:rsid w:val="00EC48AA"/>
    <w:rsid w:val="00EC4B45"/>
    <w:rsid w:val="00EC5F31"/>
    <w:rsid w:val="00EC7428"/>
    <w:rsid w:val="00ED32B4"/>
    <w:rsid w:val="00ED3F2E"/>
    <w:rsid w:val="00ED42E0"/>
    <w:rsid w:val="00ED58DA"/>
    <w:rsid w:val="00ED71F7"/>
    <w:rsid w:val="00ED768B"/>
    <w:rsid w:val="00EE06F4"/>
    <w:rsid w:val="00EE0B7E"/>
    <w:rsid w:val="00EE1317"/>
    <w:rsid w:val="00EE1F15"/>
    <w:rsid w:val="00EE2043"/>
    <w:rsid w:val="00EE2785"/>
    <w:rsid w:val="00EE2B41"/>
    <w:rsid w:val="00EE40F2"/>
    <w:rsid w:val="00EE4775"/>
    <w:rsid w:val="00EE7C93"/>
    <w:rsid w:val="00EF18D1"/>
    <w:rsid w:val="00EF234E"/>
    <w:rsid w:val="00EF417C"/>
    <w:rsid w:val="00EF5E94"/>
    <w:rsid w:val="00EF6494"/>
    <w:rsid w:val="00F00700"/>
    <w:rsid w:val="00F01F66"/>
    <w:rsid w:val="00F026C1"/>
    <w:rsid w:val="00F030CA"/>
    <w:rsid w:val="00F036B7"/>
    <w:rsid w:val="00F03B8C"/>
    <w:rsid w:val="00F04315"/>
    <w:rsid w:val="00F06103"/>
    <w:rsid w:val="00F06AAB"/>
    <w:rsid w:val="00F06B72"/>
    <w:rsid w:val="00F07837"/>
    <w:rsid w:val="00F07A6A"/>
    <w:rsid w:val="00F10CA6"/>
    <w:rsid w:val="00F11DE8"/>
    <w:rsid w:val="00F14900"/>
    <w:rsid w:val="00F14C49"/>
    <w:rsid w:val="00F15554"/>
    <w:rsid w:val="00F207AE"/>
    <w:rsid w:val="00F21168"/>
    <w:rsid w:val="00F21659"/>
    <w:rsid w:val="00F22D04"/>
    <w:rsid w:val="00F23409"/>
    <w:rsid w:val="00F24221"/>
    <w:rsid w:val="00F243F8"/>
    <w:rsid w:val="00F26A5E"/>
    <w:rsid w:val="00F32232"/>
    <w:rsid w:val="00F32461"/>
    <w:rsid w:val="00F348AC"/>
    <w:rsid w:val="00F36B4F"/>
    <w:rsid w:val="00F36E88"/>
    <w:rsid w:val="00F36F67"/>
    <w:rsid w:val="00F37017"/>
    <w:rsid w:val="00F37EB1"/>
    <w:rsid w:val="00F40047"/>
    <w:rsid w:val="00F40CD0"/>
    <w:rsid w:val="00F41AE2"/>
    <w:rsid w:val="00F426B1"/>
    <w:rsid w:val="00F427A9"/>
    <w:rsid w:val="00F42BBA"/>
    <w:rsid w:val="00F430D2"/>
    <w:rsid w:val="00F43AE6"/>
    <w:rsid w:val="00F43C0D"/>
    <w:rsid w:val="00F46969"/>
    <w:rsid w:val="00F47148"/>
    <w:rsid w:val="00F515D7"/>
    <w:rsid w:val="00F51BE5"/>
    <w:rsid w:val="00F52645"/>
    <w:rsid w:val="00F53422"/>
    <w:rsid w:val="00F53FB7"/>
    <w:rsid w:val="00F56822"/>
    <w:rsid w:val="00F6009E"/>
    <w:rsid w:val="00F61C8A"/>
    <w:rsid w:val="00F62002"/>
    <w:rsid w:val="00F62235"/>
    <w:rsid w:val="00F63954"/>
    <w:rsid w:val="00F63DBF"/>
    <w:rsid w:val="00F64A23"/>
    <w:rsid w:val="00F6574F"/>
    <w:rsid w:val="00F668D7"/>
    <w:rsid w:val="00F66CAC"/>
    <w:rsid w:val="00F67335"/>
    <w:rsid w:val="00F70809"/>
    <w:rsid w:val="00F70AC2"/>
    <w:rsid w:val="00F71316"/>
    <w:rsid w:val="00F7192B"/>
    <w:rsid w:val="00F72FCD"/>
    <w:rsid w:val="00F73864"/>
    <w:rsid w:val="00F77F8E"/>
    <w:rsid w:val="00F8061B"/>
    <w:rsid w:val="00F823E5"/>
    <w:rsid w:val="00F8605E"/>
    <w:rsid w:val="00F86309"/>
    <w:rsid w:val="00F90AAD"/>
    <w:rsid w:val="00F9266D"/>
    <w:rsid w:val="00F93C5E"/>
    <w:rsid w:val="00F96F01"/>
    <w:rsid w:val="00FA03B6"/>
    <w:rsid w:val="00FA07A1"/>
    <w:rsid w:val="00FA65F9"/>
    <w:rsid w:val="00FB29E5"/>
    <w:rsid w:val="00FB3167"/>
    <w:rsid w:val="00FB6114"/>
    <w:rsid w:val="00FB7A4A"/>
    <w:rsid w:val="00FB7B05"/>
    <w:rsid w:val="00FC3ABD"/>
    <w:rsid w:val="00FC44A1"/>
    <w:rsid w:val="00FC552D"/>
    <w:rsid w:val="00FC6AB6"/>
    <w:rsid w:val="00FD00D1"/>
    <w:rsid w:val="00FD0662"/>
    <w:rsid w:val="00FD0970"/>
    <w:rsid w:val="00FD2776"/>
    <w:rsid w:val="00FD2D8C"/>
    <w:rsid w:val="00FD3165"/>
    <w:rsid w:val="00FD3CC6"/>
    <w:rsid w:val="00FD476C"/>
    <w:rsid w:val="00FD64CB"/>
    <w:rsid w:val="00FD6A01"/>
    <w:rsid w:val="00FE15B5"/>
    <w:rsid w:val="00FE3B98"/>
    <w:rsid w:val="00FE3BE3"/>
    <w:rsid w:val="00FE413A"/>
    <w:rsid w:val="00FE4CFA"/>
    <w:rsid w:val="00FE6D87"/>
    <w:rsid w:val="00FE7599"/>
    <w:rsid w:val="00FF0B06"/>
    <w:rsid w:val="00FF259F"/>
    <w:rsid w:val="00FF260B"/>
    <w:rsid w:val="00FF2A9D"/>
    <w:rsid w:val="00FF2B01"/>
    <w:rsid w:val="00FF4038"/>
    <w:rsid w:val="00FF579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DB4F5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80A"/>
  </w:style>
  <w:style w:type="paragraph" w:styleId="Ttulo1">
    <w:name w:val="heading 1"/>
    <w:basedOn w:val="Normal"/>
    <w:next w:val="Normal"/>
    <w:link w:val="Ttulo1Car"/>
    <w:uiPriority w:val="9"/>
    <w:qFormat/>
    <w:rsid w:val="0063499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910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A49F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06C6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6F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6F01"/>
  </w:style>
  <w:style w:type="paragraph" w:styleId="Piedepgina">
    <w:name w:val="footer"/>
    <w:basedOn w:val="Normal"/>
    <w:link w:val="PiedepginaCar"/>
    <w:uiPriority w:val="99"/>
    <w:unhideWhenUsed/>
    <w:rsid w:val="00B46F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F01"/>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C67D5B"/>
    <w:pPr>
      <w:ind w:left="720"/>
      <w:contextualSpacing/>
    </w:pPr>
    <w:rPr>
      <w:rFonts w:ascii="Lucida Sans Unicode" w:eastAsia="Lucida Sans Unicode" w:hAnsi="Lucida Sans Unicode" w:cs="Times New Roman"/>
    </w:rPr>
  </w:style>
  <w:style w:type="paragraph" w:styleId="Textonotapie">
    <w:name w:val="footnote text"/>
    <w:aliases w:val="Texto nota pie 1.22"/>
    <w:basedOn w:val="Normal"/>
    <w:link w:val="TextonotapieCar"/>
    <w:uiPriority w:val="99"/>
    <w:unhideWhenUsed/>
    <w:qFormat/>
    <w:rsid w:val="00C67D5B"/>
    <w:pPr>
      <w:spacing w:after="0" w:line="240" w:lineRule="auto"/>
      <w:jc w:val="center"/>
    </w:pPr>
    <w:rPr>
      <w:sz w:val="20"/>
      <w:szCs w:val="20"/>
    </w:rPr>
  </w:style>
  <w:style w:type="character" w:customStyle="1" w:styleId="TextonotapieCar">
    <w:name w:val="Texto nota pie Car"/>
    <w:aliases w:val="Texto nota pie 1.22 Car"/>
    <w:basedOn w:val="Fuentedeprrafopredeter"/>
    <w:link w:val="Textonotapie"/>
    <w:uiPriority w:val="99"/>
    <w:rsid w:val="00C67D5B"/>
    <w:rPr>
      <w:sz w:val="20"/>
      <w:szCs w:val="20"/>
    </w:rPr>
  </w:style>
  <w:style w:type="character" w:styleId="Refdenotaalpie">
    <w:name w:val="footnote reference"/>
    <w:basedOn w:val="Fuentedeprrafopredeter"/>
    <w:uiPriority w:val="99"/>
    <w:unhideWhenUsed/>
    <w:rsid w:val="00C67D5B"/>
    <w:rPr>
      <w:vertAlign w:val="superscript"/>
    </w:rPr>
  </w:style>
  <w:style w:type="paragraph" w:styleId="Textodeglobo">
    <w:name w:val="Balloon Text"/>
    <w:basedOn w:val="Normal"/>
    <w:link w:val="TextodegloboCar"/>
    <w:uiPriority w:val="99"/>
    <w:semiHidden/>
    <w:unhideWhenUsed/>
    <w:rsid w:val="00C67D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D5B"/>
    <w:rPr>
      <w:rFonts w:ascii="Tahoma" w:hAnsi="Tahoma" w:cs="Tahoma"/>
      <w:sz w:val="16"/>
      <w:szCs w:val="16"/>
    </w:rPr>
  </w:style>
  <w:style w:type="table" w:styleId="Tablaconcuadrcula">
    <w:name w:val="Table Grid"/>
    <w:basedOn w:val="Tablanormal"/>
    <w:uiPriority w:val="59"/>
    <w:rsid w:val="00C91C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43150B"/>
    <w:rPr>
      <w:sz w:val="16"/>
      <w:szCs w:val="16"/>
    </w:rPr>
  </w:style>
  <w:style w:type="paragraph" w:styleId="Textocomentario">
    <w:name w:val="annotation text"/>
    <w:basedOn w:val="Normal"/>
    <w:link w:val="TextocomentarioCar"/>
    <w:uiPriority w:val="99"/>
    <w:semiHidden/>
    <w:unhideWhenUsed/>
    <w:rsid w:val="004315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150B"/>
    <w:rPr>
      <w:sz w:val="20"/>
      <w:szCs w:val="20"/>
    </w:rPr>
  </w:style>
  <w:style w:type="paragraph" w:styleId="Asuntodelcomentario">
    <w:name w:val="annotation subject"/>
    <w:basedOn w:val="Textocomentario"/>
    <w:next w:val="Textocomentario"/>
    <w:link w:val="AsuntodelcomentarioCar"/>
    <w:uiPriority w:val="99"/>
    <w:semiHidden/>
    <w:unhideWhenUsed/>
    <w:rsid w:val="0043150B"/>
    <w:rPr>
      <w:b/>
      <w:bCs/>
    </w:rPr>
  </w:style>
  <w:style w:type="character" w:customStyle="1" w:styleId="AsuntodelcomentarioCar">
    <w:name w:val="Asunto del comentario Car"/>
    <w:basedOn w:val="TextocomentarioCar"/>
    <w:link w:val="Asuntodelcomentario"/>
    <w:uiPriority w:val="99"/>
    <w:semiHidden/>
    <w:rsid w:val="0043150B"/>
    <w:rPr>
      <w:b/>
      <w:bCs/>
      <w:sz w:val="20"/>
      <w:szCs w:val="20"/>
    </w:rPr>
  </w:style>
  <w:style w:type="paragraph" w:styleId="Descripcin">
    <w:name w:val="caption"/>
    <w:basedOn w:val="Normal"/>
    <w:next w:val="Normal"/>
    <w:uiPriority w:val="35"/>
    <w:semiHidden/>
    <w:unhideWhenUsed/>
    <w:qFormat/>
    <w:rsid w:val="001E2E82"/>
    <w:pPr>
      <w:spacing w:line="240" w:lineRule="auto"/>
    </w:pPr>
    <w:rPr>
      <w:b/>
      <w:bCs/>
      <w:color w:val="4F81BD" w:themeColor="accent1"/>
      <w:sz w:val="18"/>
      <w:szCs w:val="18"/>
    </w:rPr>
  </w:style>
  <w:style w:type="table" w:customStyle="1" w:styleId="Cuadrculaclara-nfasis11">
    <w:name w:val="Cuadrícula clara - Énfasis 11"/>
    <w:basedOn w:val="Tablanormal"/>
    <w:uiPriority w:val="62"/>
    <w:rsid w:val="00B061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164BAF"/>
    <w:pPr>
      <w:autoSpaceDE w:val="0"/>
      <w:autoSpaceDN w:val="0"/>
      <w:adjustRightInd w:val="0"/>
      <w:spacing w:after="0" w:line="240" w:lineRule="auto"/>
    </w:pPr>
    <w:rPr>
      <w:rFonts w:ascii="Futura Lt" w:eastAsia="Times New Roman" w:hAnsi="Futura Lt" w:cs="Futura Lt"/>
      <w:color w:val="000000"/>
      <w:sz w:val="24"/>
      <w:szCs w:val="24"/>
      <w:lang w:val="es-ES" w:eastAsia="es-ES"/>
    </w:rPr>
  </w:style>
  <w:style w:type="paragraph" w:customStyle="1" w:styleId="Listavistosa-nfasis11">
    <w:name w:val="Lista vistosa - Énfasis 11"/>
    <w:basedOn w:val="Normal"/>
    <w:uiPriority w:val="34"/>
    <w:qFormat/>
    <w:rsid w:val="00164BAF"/>
    <w:pPr>
      <w:overflowPunct w:val="0"/>
      <w:autoSpaceDE w:val="0"/>
      <w:autoSpaceDN w:val="0"/>
      <w:adjustRightInd w:val="0"/>
      <w:spacing w:after="0" w:line="240" w:lineRule="auto"/>
      <w:ind w:left="708"/>
      <w:textAlignment w:val="baseline"/>
    </w:pPr>
    <w:rPr>
      <w:rFonts w:ascii="Times New Roman" w:eastAsia="Times New Roman" w:hAnsi="Times New Roman" w:cs="Times New Roman"/>
      <w:sz w:val="20"/>
      <w:szCs w:val="20"/>
      <w:lang w:eastAsia="es-ES"/>
    </w:rPr>
  </w:style>
  <w:style w:type="character" w:styleId="Nmerodepgina">
    <w:name w:val="page number"/>
    <w:basedOn w:val="Fuentedeprrafopredeter"/>
    <w:uiPriority w:val="99"/>
    <w:unhideWhenUsed/>
    <w:rsid w:val="00164BAF"/>
  </w:style>
  <w:style w:type="character" w:customStyle="1" w:styleId="apple-converted-space">
    <w:name w:val="apple-converted-space"/>
    <w:basedOn w:val="Fuentedeprrafopredeter"/>
    <w:rsid w:val="00164BAF"/>
  </w:style>
  <w:style w:type="character" w:styleId="Textoennegrita">
    <w:name w:val="Strong"/>
    <w:basedOn w:val="Fuentedeprrafopredeter"/>
    <w:uiPriority w:val="22"/>
    <w:qFormat/>
    <w:rsid w:val="00164BAF"/>
    <w:rPr>
      <w:b/>
      <w:bCs/>
    </w:rPr>
  </w:style>
  <w:style w:type="table" w:styleId="Cuadrculamedia1-nfasis1">
    <w:name w:val="Medium Grid 1 Accent 1"/>
    <w:basedOn w:val="Tablanormal"/>
    <w:uiPriority w:val="67"/>
    <w:rsid w:val="00164BA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claro-nfasis1">
    <w:name w:val="Light Shading Accent 1"/>
    <w:basedOn w:val="Tablanormal"/>
    <w:uiPriority w:val="60"/>
    <w:rsid w:val="00164BA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odelmarcadordeposicin">
    <w:name w:val="Placeholder Text"/>
    <w:basedOn w:val="Fuentedeprrafopredeter"/>
    <w:uiPriority w:val="99"/>
    <w:semiHidden/>
    <w:rsid w:val="00164BAF"/>
    <w:rPr>
      <w:color w:val="808080"/>
    </w:rPr>
  </w:style>
  <w:style w:type="character" w:styleId="Hipervnculo">
    <w:name w:val="Hyperlink"/>
    <w:basedOn w:val="Fuentedeprrafopredeter"/>
    <w:uiPriority w:val="99"/>
    <w:unhideWhenUsed/>
    <w:rsid w:val="00AB3B61"/>
    <w:rPr>
      <w:color w:val="0000FF" w:themeColor="hyperlink"/>
      <w:u w:val="single"/>
    </w:rPr>
  </w:style>
  <w:style w:type="paragraph" w:customStyle="1" w:styleId="Prrafodelista1">
    <w:name w:val="Párrafo de lista1"/>
    <w:basedOn w:val="Normal"/>
    <w:uiPriority w:val="99"/>
    <w:qFormat/>
    <w:rsid w:val="007B1F67"/>
    <w:pPr>
      <w:overflowPunct w:val="0"/>
      <w:autoSpaceDE w:val="0"/>
      <w:autoSpaceDN w:val="0"/>
      <w:adjustRightInd w:val="0"/>
      <w:ind w:left="720"/>
      <w:contextualSpacing/>
      <w:textAlignment w:val="baseline"/>
    </w:pPr>
    <w:rPr>
      <w:rFonts w:ascii="Calibri" w:eastAsia="Calibri" w:hAnsi="Calibri" w:cs="Times New Roman"/>
    </w:rPr>
  </w:style>
  <w:style w:type="paragraph" w:styleId="Revisin">
    <w:name w:val="Revision"/>
    <w:hidden/>
    <w:uiPriority w:val="99"/>
    <w:semiHidden/>
    <w:rsid w:val="00F01F66"/>
    <w:pPr>
      <w:spacing w:after="0" w:line="240" w:lineRule="auto"/>
    </w:pPr>
  </w:style>
  <w:style w:type="paragraph" w:styleId="NormalWeb">
    <w:name w:val="Normal (Web)"/>
    <w:basedOn w:val="Normal"/>
    <w:uiPriority w:val="99"/>
    <w:unhideWhenUsed/>
    <w:rsid w:val="00EE2785"/>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1Car">
    <w:name w:val="Título 1 Car"/>
    <w:basedOn w:val="Fuentedeprrafopredeter"/>
    <w:link w:val="Ttulo1"/>
    <w:uiPriority w:val="9"/>
    <w:rsid w:val="00634998"/>
    <w:rPr>
      <w:rFonts w:asciiTheme="majorHAnsi" w:eastAsiaTheme="majorEastAsia" w:hAnsiTheme="majorHAnsi" w:cstheme="majorBidi"/>
      <w:color w:val="365F91" w:themeColor="accent1" w:themeShade="BF"/>
      <w:sz w:val="32"/>
      <w:szCs w:val="32"/>
    </w:rPr>
  </w:style>
  <w:style w:type="character" w:styleId="Hipervnculovisitado">
    <w:name w:val="FollowedHyperlink"/>
    <w:basedOn w:val="Fuentedeprrafopredeter"/>
    <w:uiPriority w:val="99"/>
    <w:semiHidden/>
    <w:unhideWhenUsed/>
    <w:rsid w:val="005B3578"/>
    <w:rPr>
      <w:color w:val="800080" w:themeColor="followedHyperlink"/>
      <w:u w:val="single"/>
    </w:rPr>
  </w:style>
  <w:style w:type="numbering" w:customStyle="1" w:styleId="Sinlista1">
    <w:name w:val="Sin lista1"/>
    <w:next w:val="Sinlista"/>
    <w:uiPriority w:val="99"/>
    <w:semiHidden/>
    <w:unhideWhenUsed/>
    <w:rsid w:val="009F28D3"/>
  </w:style>
  <w:style w:type="table" w:customStyle="1" w:styleId="Tablaconcuadrcula1">
    <w:name w:val="Tabla con cuadrícula1"/>
    <w:basedOn w:val="Tablanormal"/>
    <w:next w:val="Tablaconcuadrcula"/>
    <w:uiPriority w:val="59"/>
    <w:rsid w:val="009F28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1">
    <w:name w:val="Cuadrícula clara - Énfasis 111"/>
    <w:basedOn w:val="Tablanormal"/>
    <w:uiPriority w:val="62"/>
    <w:rsid w:val="009F28D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media1-nfasis11">
    <w:name w:val="Cuadrícula media 1 - Énfasis 11"/>
    <w:basedOn w:val="Tablanormal"/>
    <w:next w:val="Cuadrculamedia1-nfasis1"/>
    <w:uiPriority w:val="67"/>
    <w:rsid w:val="009F28D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ombreadoclaro-nfasis11">
    <w:name w:val="Sombreado claro - Énfasis 11"/>
    <w:basedOn w:val="Tablanormal"/>
    <w:next w:val="Sombreadoclaro-nfasis1"/>
    <w:uiPriority w:val="60"/>
    <w:rsid w:val="009F28D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ol1">
    <w:name w:val="lol 1"/>
    <w:basedOn w:val="Ttulo1"/>
    <w:uiPriority w:val="99"/>
    <w:qFormat/>
    <w:rsid w:val="00C57D8A"/>
    <w:pPr>
      <w:spacing w:before="480"/>
    </w:pPr>
    <w:rPr>
      <w:rFonts w:ascii="Century Gothic" w:eastAsia="Times New Roman" w:hAnsi="Century Gothic" w:cs="Times New Roman"/>
      <w:b/>
      <w:bCs/>
      <w:color w:val="365F91"/>
      <w:szCs w:val="28"/>
    </w:rPr>
  </w:style>
  <w:style w:type="table" w:customStyle="1" w:styleId="Tablaconcuadrcula2">
    <w:name w:val="Tabla con cuadrícula2"/>
    <w:basedOn w:val="Tablanormal"/>
    <w:next w:val="Tablaconcuadrcula"/>
    <w:uiPriority w:val="39"/>
    <w:rsid w:val="00B32D56"/>
    <w:pPr>
      <w:spacing w:after="0" w:line="240" w:lineRule="auto"/>
      <w:jc w:val="both"/>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462B9F"/>
    <w:pPr>
      <w:spacing w:after="0" w:line="240" w:lineRule="auto"/>
      <w:jc w:val="both"/>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15BEB"/>
    <w:pPr>
      <w:spacing w:before="480"/>
      <w:outlineLvl w:val="9"/>
    </w:pPr>
    <w:rPr>
      <w:b/>
      <w:bCs/>
      <w:sz w:val="28"/>
      <w:szCs w:val="28"/>
      <w:lang w:eastAsia="es-MX"/>
    </w:rPr>
  </w:style>
  <w:style w:type="character" w:customStyle="1" w:styleId="Ttulo2Car">
    <w:name w:val="Título 2 Car"/>
    <w:basedOn w:val="Fuentedeprrafopredeter"/>
    <w:link w:val="Ttulo2"/>
    <w:uiPriority w:val="9"/>
    <w:rsid w:val="003910D2"/>
    <w:rPr>
      <w:rFonts w:asciiTheme="majorHAnsi" w:eastAsiaTheme="majorEastAsia" w:hAnsiTheme="majorHAnsi" w:cstheme="majorBidi"/>
      <w:b/>
      <w:bCs/>
      <w:color w:val="4F81BD" w:themeColor="accent1"/>
      <w:sz w:val="26"/>
      <w:szCs w:val="26"/>
    </w:rPr>
  </w:style>
  <w:style w:type="paragraph" w:styleId="TDC1">
    <w:name w:val="toc 1"/>
    <w:basedOn w:val="Normal"/>
    <w:next w:val="Normal"/>
    <w:autoRedefine/>
    <w:uiPriority w:val="39"/>
    <w:unhideWhenUsed/>
    <w:rsid w:val="00EC2A45"/>
    <w:pPr>
      <w:tabs>
        <w:tab w:val="left" w:pos="440"/>
        <w:tab w:val="right" w:leader="dot" w:pos="8828"/>
      </w:tabs>
      <w:spacing w:after="100"/>
    </w:pPr>
    <w:rPr>
      <w:rFonts w:ascii="Century Gothic" w:hAnsi="Century Gothic"/>
      <w:noProof/>
      <w:sz w:val="24"/>
    </w:rPr>
  </w:style>
  <w:style w:type="paragraph" w:styleId="TDC2">
    <w:name w:val="toc 2"/>
    <w:basedOn w:val="Normal"/>
    <w:next w:val="Normal"/>
    <w:autoRedefine/>
    <w:uiPriority w:val="39"/>
    <w:unhideWhenUsed/>
    <w:rsid w:val="00F36B4F"/>
    <w:pPr>
      <w:tabs>
        <w:tab w:val="right" w:leader="dot" w:pos="8828"/>
      </w:tabs>
      <w:spacing w:after="100"/>
      <w:ind w:left="220" w:hanging="78"/>
    </w:pPr>
  </w:style>
  <w:style w:type="paragraph" w:styleId="Sinespaciado">
    <w:name w:val="No Spacing"/>
    <w:uiPriority w:val="1"/>
    <w:qFormat/>
    <w:rsid w:val="00F8061B"/>
    <w:pPr>
      <w:spacing w:after="0" w:line="240" w:lineRule="auto"/>
    </w:pPr>
  </w:style>
  <w:style w:type="character" w:customStyle="1" w:styleId="Ttulo3Car">
    <w:name w:val="Título 3 Car"/>
    <w:basedOn w:val="Fuentedeprrafopredeter"/>
    <w:link w:val="Ttulo3"/>
    <w:uiPriority w:val="9"/>
    <w:rsid w:val="00DA49F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F36B4F"/>
    <w:pPr>
      <w:tabs>
        <w:tab w:val="right" w:leader="dot" w:pos="8828"/>
      </w:tabs>
      <w:spacing w:after="100"/>
      <w:ind w:left="440" w:hanging="14"/>
    </w:pPr>
  </w:style>
  <w:style w:type="table" w:customStyle="1" w:styleId="Tabladelista3-nfasis11">
    <w:name w:val="Tabla de lista 3 - Énfasis 11"/>
    <w:basedOn w:val="Tablanormal"/>
    <w:uiPriority w:val="48"/>
    <w:rsid w:val="008F2D30"/>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locked/>
    <w:rsid w:val="007128DA"/>
    <w:rPr>
      <w:rFonts w:ascii="Lucida Sans Unicode" w:eastAsia="Lucida Sans Unicode" w:hAnsi="Lucida Sans Unicode" w:cs="Times New Roman"/>
    </w:rPr>
  </w:style>
  <w:style w:type="character" w:customStyle="1" w:styleId="Ttulo4Car">
    <w:name w:val="Título 4 Car"/>
    <w:basedOn w:val="Fuentedeprrafopredeter"/>
    <w:link w:val="Ttulo4"/>
    <w:uiPriority w:val="9"/>
    <w:rsid w:val="00606C66"/>
    <w:rPr>
      <w:rFonts w:asciiTheme="majorHAnsi" w:eastAsiaTheme="majorEastAsia" w:hAnsiTheme="majorHAnsi" w:cstheme="majorBidi"/>
      <w:i/>
      <w:iCs/>
      <w:color w:val="365F91" w:themeColor="accent1" w:themeShade="BF"/>
    </w:rPr>
  </w:style>
  <w:style w:type="paragraph" w:styleId="Bibliografa">
    <w:name w:val="Bibliography"/>
    <w:basedOn w:val="Normal"/>
    <w:next w:val="Normal"/>
    <w:uiPriority w:val="37"/>
    <w:unhideWhenUsed/>
    <w:rsid w:val="00C10E6C"/>
    <w:rPr>
      <w:lang w:val="es-ES_tradnl"/>
    </w:rPr>
  </w:style>
  <w:style w:type="paragraph" w:customStyle="1" w:styleId="ROMANOS">
    <w:name w:val="ROMANOS"/>
    <w:basedOn w:val="Normal"/>
    <w:link w:val="ROMANOSCar"/>
    <w:rsid w:val="002B348E"/>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basedOn w:val="Fuentedeprrafopredeter"/>
    <w:link w:val="ROMANOS"/>
    <w:rsid w:val="002B348E"/>
    <w:rPr>
      <w:rFonts w:ascii="Arial" w:eastAsia="Times New Roman" w:hAnsi="Arial" w:cs="Arial"/>
      <w:sz w:val="18"/>
      <w:szCs w:val="18"/>
      <w:lang w:val="es-ES" w:eastAsia="es-ES"/>
    </w:rPr>
  </w:style>
  <w:style w:type="table" w:customStyle="1" w:styleId="Tabladecuadrcula5oscura-nfasis51">
    <w:name w:val="Tabla de cuadrícula 5 oscura - Énfasis 51"/>
    <w:basedOn w:val="Tablanormal"/>
    <w:uiPriority w:val="50"/>
    <w:rsid w:val="00D70014"/>
    <w:pPr>
      <w:spacing w:after="0" w:line="240" w:lineRule="auto"/>
    </w:pPr>
    <w:rPr>
      <w:rFonts w:eastAsiaTheme="minorEastAsia"/>
      <w:lang w:eastAsia="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angra2detindependiente">
    <w:name w:val="Body Text Indent 2"/>
    <w:basedOn w:val="Normal"/>
    <w:link w:val="Sangra2detindependienteCar"/>
    <w:uiPriority w:val="99"/>
    <w:unhideWhenUsed/>
    <w:rsid w:val="00583726"/>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583726"/>
    <w:rPr>
      <w:rFonts w:ascii="Times New Roman" w:eastAsia="Times New Roman" w:hAnsi="Times New Roman" w:cs="Times New Roman"/>
      <w:sz w:val="24"/>
      <w:szCs w:val="24"/>
      <w:lang w:val="es-ES" w:eastAsia="es-ES"/>
    </w:rPr>
  </w:style>
  <w:style w:type="numbering" w:customStyle="1" w:styleId="Estilo4">
    <w:name w:val="Estilo4"/>
    <w:rsid w:val="00583726"/>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27391">
      <w:bodyDiv w:val="1"/>
      <w:marLeft w:val="0"/>
      <w:marRight w:val="0"/>
      <w:marTop w:val="0"/>
      <w:marBottom w:val="0"/>
      <w:divBdr>
        <w:top w:val="none" w:sz="0" w:space="0" w:color="auto"/>
        <w:left w:val="none" w:sz="0" w:space="0" w:color="auto"/>
        <w:bottom w:val="none" w:sz="0" w:space="0" w:color="auto"/>
        <w:right w:val="none" w:sz="0" w:space="0" w:color="auto"/>
      </w:divBdr>
    </w:div>
    <w:div w:id="139462022">
      <w:bodyDiv w:val="1"/>
      <w:marLeft w:val="0"/>
      <w:marRight w:val="0"/>
      <w:marTop w:val="0"/>
      <w:marBottom w:val="0"/>
      <w:divBdr>
        <w:top w:val="none" w:sz="0" w:space="0" w:color="auto"/>
        <w:left w:val="none" w:sz="0" w:space="0" w:color="auto"/>
        <w:bottom w:val="none" w:sz="0" w:space="0" w:color="auto"/>
        <w:right w:val="none" w:sz="0" w:space="0" w:color="auto"/>
      </w:divBdr>
    </w:div>
    <w:div w:id="159128779">
      <w:bodyDiv w:val="1"/>
      <w:marLeft w:val="0"/>
      <w:marRight w:val="0"/>
      <w:marTop w:val="0"/>
      <w:marBottom w:val="0"/>
      <w:divBdr>
        <w:top w:val="none" w:sz="0" w:space="0" w:color="auto"/>
        <w:left w:val="none" w:sz="0" w:space="0" w:color="auto"/>
        <w:bottom w:val="none" w:sz="0" w:space="0" w:color="auto"/>
        <w:right w:val="none" w:sz="0" w:space="0" w:color="auto"/>
      </w:divBdr>
    </w:div>
    <w:div w:id="227348648">
      <w:bodyDiv w:val="1"/>
      <w:marLeft w:val="0"/>
      <w:marRight w:val="0"/>
      <w:marTop w:val="0"/>
      <w:marBottom w:val="0"/>
      <w:divBdr>
        <w:top w:val="none" w:sz="0" w:space="0" w:color="auto"/>
        <w:left w:val="none" w:sz="0" w:space="0" w:color="auto"/>
        <w:bottom w:val="none" w:sz="0" w:space="0" w:color="auto"/>
        <w:right w:val="none" w:sz="0" w:space="0" w:color="auto"/>
      </w:divBdr>
    </w:div>
    <w:div w:id="232813164">
      <w:bodyDiv w:val="1"/>
      <w:marLeft w:val="0"/>
      <w:marRight w:val="0"/>
      <w:marTop w:val="0"/>
      <w:marBottom w:val="0"/>
      <w:divBdr>
        <w:top w:val="none" w:sz="0" w:space="0" w:color="auto"/>
        <w:left w:val="none" w:sz="0" w:space="0" w:color="auto"/>
        <w:bottom w:val="none" w:sz="0" w:space="0" w:color="auto"/>
        <w:right w:val="none" w:sz="0" w:space="0" w:color="auto"/>
      </w:divBdr>
    </w:div>
    <w:div w:id="284653231">
      <w:bodyDiv w:val="1"/>
      <w:marLeft w:val="0"/>
      <w:marRight w:val="0"/>
      <w:marTop w:val="0"/>
      <w:marBottom w:val="0"/>
      <w:divBdr>
        <w:top w:val="none" w:sz="0" w:space="0" w:color="auto"/>
        <w:left w:val="none" w:sz="0" w:space="0" w:color="auto"/>
        <w:bottom w:val="none" w:sz="0" w:space="0" w:color="auto"/>
        <w:right w:val="none" w:sz="0" w:space="0" w:color="auto"/>
      </w:divBdr>
      <w:divsChild>
        <w:div w:id="518785218">
          <w:marLeft w:val="0"/>
          <w:marRight w:val="0"/>
          <w:marTop w:val="0"/>
          <w:marBottom w:val="0"/>
          <w:divBdr>
            <w:top w:val="none" w:sz="0" w:space="0" w:color="auto"/>
            <w:left w:val="none" w:sz="0" w:space="0" w:color="auto"/>
            <w:bottom w:val="none" w:sz="0" w:space="0" w:color="auto"/>
            <w:right w:val="none" w:sz="0" w:space="0" w:color="auto"/>
          </w:divBdr>
          <w:divsChild>
            <w:div w:id="8784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93444">
      <w:bodyDiv w:val="1"/>
      <w:marLeft w:val="0"/>
      <w:marRight w:val="0"/>
      <w:marTop w:val="0"/>
      <w:marBottom w:val="0"/>
      <w:divBdr>
        <w:top w:val="none" w:sz="0" w:space="0" w:color="auto"/>
        <w:left w:val="none" w:sz="0" w:space="0" w:color="auto"/>
        <w:bottom w:val="none" w:sz="0" w:space="0" w:color="auto"/>
        <w:right w:val="none" w:sz="0" w:space="0" w:color="auto"/>
      </w:divBdr>
    </w:div>
    <w:div w:id="341130059">
      <w:bodyDiv w:val="1"/>
      <w:marLeft w:val="0"/>
      <w:marRight w:val="0"/>
      <w:marTop w:val="0"/>
      <w:marBottom w:val="0"/>
      <w:divBdr>
        <w:top w:val="none" w:sz="0" w:space="0" w:color="auto"/>
        <w:left w:val="none" w:sz="0" w:space="0" w:color="auto"/>
        <w:bottom w:val="none" w:sz="0" w:space="0" w:color="auto"/>
        <w:right w:val="none" w:sz="0" w:space="0" w:color="auto"/>
      </w:divBdr>
    </w:div>
    <w:div w:id="358437380">
      <w:bodyDiv w:val="1"/>
      <w:marLeft w:val="0"/>
      <w:marRight w:val="0"/>
      <w:marTop w:val="0"/>
      <w:marBottom w:val="0"/>
      <w:divBdr>
        <w:top w:val="none" w:sz="0" w:space="0" w:color="auto"/>
        <w:left w:val="none" w:sz="0" w:space="0" w:color="auto"/>
        <w:bottom w:val="none" w:sz="0" w:space="0" w:color="auto"/>
        <w:right w:val="none" w:sz="0" w:space="0" w:color="auto"/>
      </w:divBdr>
    </w:div>
    <w:div w:id="364330913">
      <w:bodyDiv w:val="1"/>
      <w:marLeft w:val="0"/>
      <w:marRight w:val="0"/>
      <w:marTop w:val="0"/>
      <w:marBottom w:val="0"/>
      <w:divBdr>
        <w:top w:val="none" w:sz="0" w:space="0" w:color="auto"/>
        <w:left w:val="none" w:sz="0" w:space="0" w:color="auto"/>
        <w:bottom w:val="none" w:sz="0" w:space="0" w:color="auto"/>
        <w:right w:val="none" w:sz="0" w:space="0" w:color="auto"/>
      </w:divBdr>
    </w:div>
    <w:div w:id="402486180">
      <w:bodyDiv w:val="1"/>
      <w:marLeft w:val="0"/>
      <w:marRight w:val="0"/>
      <w:marTop w:val="0"/>
      <w:marBottom w:val="0"/>
      <w:divBdr>
        <w:top w:val="none" w:sz="0" w:space="0" w:color="auto"/>
        <w:left w:val="none" w:sz="0" w:space="0" w:color="auto"/>
        <w:bottom w:val="none" w:sz="0" w:space="0" w:color="auto"/>
        <w:right w:val="none" w:sz="0" w:space="0" w:color="auto"/>
      </w:divBdr>
    </w:div>
    <w:div w:id="411005700">
      <w:bodyDiv w:val="1"/>
      <w:marLeft w:val="0"/>
      <w:marRight w:val="0"/>
      <w:marTop w:val="0"/>
      <w:marBottom w:val="0"/>
      <w:divBdr>
        <w:top w:val="none" w:sz="0" w:space="0" w:color="auto"/>
        <w:left w:val="none" w:sz="0" w:space="0" w:color="auto"/>
        <w:bottom w:val="none" w:sz="0" w:space="0" w:color="auto"/>
        <w:right w:val="none" w:sz="0" w:space="0" w:color="auto"/>
      </w:divBdr>
      <w:divsChild>
        <w:div w:id="770129344">
          <w:marLeft w:val="0"/>
          <w:marRight w:val="0"/>
          <w:marTop w:val="0"/>
          <w:marBottom w:val="0"/>
          <w:divBdr>
            <w:top w:val="none" w:sz="0" w:space="0" w:color="auto"/>
            <w:left w:val="none" w:sz="0" w:space="0" w:color="auto"/>
            <w:bottom w:val="none" w:sz="0" w:space="0" w:color="auto"/>
            <w:right w:val="none" w:sz="0" w:space="0" w:color="auto"/>
          </w:divBdr>
        </w:div>
      </w:divsChild>
    </w:div>
    <w:div w:id="449277445">
      <w:bodyDiv w:val="1"/>
      <w:marLeft w:val="0"/>
      <w:marRight w:val="0"/>
      <w:marTop w:val="0"/>
      <w:marBottom w:val="0"/>
      <w:divBdr>
        <w:top w:val="none" w:sz="0" w:space="0" w:color="auto"/>
        <w:left w:val="none" w:sz="0" w:space="0" w:color="auto"/>
        <w:bottom w:val="none" w:sz="0" w:space="0" w:color="auto"/>
        <w:right w:val="none" w:sz="0" w:space="0" w:color="auto"/>
      </w:divBdr>
    </w:div>
    <w:div w:id="459880482">
      <w:bodyDiv w:val="1"/>
      <w:marLeft w:val="0"/>
      <w:marRight w:val="0"/>
      <w:marTop w:val="0"/>
      <w:marBottom w:val="0"/>
      <w:divBdr>
        <w:top w:val="none" w:sz="0" w:space="0" w:color="auto"/>
        <w:left w:val="none" w:sz="0" w:space="0" w:color="auto"/>
        <w:bottom w:val="none" w:sz="0" w:space="0" w:color="auto"/>
        <w:right w:val="none" w:sz="0" w:space="0" w:color="auto"/>
      </w:divBdr>
    </w:div>
    <w:div w:id="486164837">
      <w:bodyDiv w:val="1"/>
      <w:marLeft w:val="0"/>
      <w:marRight w:val="0"/>
      <w:marTop w:val="0"/>
      <w:marBottom w:val="0"/>
      <w:divBdr>
        <w:top w:val="none" w:sz="0" w:space="0" w:color="auto"/>
        <w:left w:val="none" w:sz="0" w:space="0" w:color="auto"/>
        <w:bottom w:val="none" w:sz="0" w:space="0" w:color="auto"/>
        <w:right w:val="none" w:sz="0" w:space="0" w:color="auto"/>
      </w:divBdr>
    </w:div>
    <w:div w:id="486676256">
      <w:bodyDiv w:val="1"/>
      <w:marLeft w:val="0"/>
      <w:marRight w:val="0"/>
      <w:marTop w:val="0"/>
      <w:marBottom w:val="0"/>
      <w:divBdr>
        <w:top w:val="none" w:sz="0" w:space="0" w:color="auto"/>
        <w:left w:val="none" w:sz="0" w:space="0" w:color="auto"/>
        <w:bottom w:val="none" w:sz="0" w:space="0" w:color="auto"/>
        <w:right w:val="none" w:sz="0" w:space="0" w:color="auto"/>
      </w:divBdr>
    </w:div>
    <w:div w:id="493181405">
      <w:bodyDiv w:val="1"/>
      <w:marLeft w:val="0"/>
      <w:marRight w:val="0"/>
      <w:marTop w:val="0"/>
      <w:marBottom w:val="0"/>
      <w:divBdr>
        <w:top w:val="none" w:sz="0" w:space="0" w:color="auto"/>
        <w:left w:val="none" w:sz="0" w:space="0" w:color="auto"/>
        <w:bottom w:val="none" w:sz="0" w:space="0" w:color="auto"/>
        <w:right w:val="none" w:sz="0" w:space="0" w:color="auto"/>
      </w:divBdr>
    </w:div>
    <w:div w:id="496113387">
      <w:bodyDiv w:val="1"/>
      <w:marLeft w:val="0"/>
      <w:marRight w:val="0"/>
      <w:marTop w:val="0"/>
      <w:marBottom w:val="0"/>
      <w:divBdr>
        <w:top w:val="none" w:sz="0" w:space="0" w:color="auto"/>
        <w:left w:val="none" w:sz="0" w:space="0" w:color="auto"/>
        <w:bottom w:val="none" w:sz="0" w:space="0" w:color="auto"/>
        <w:right w:val="none" w:sz="0" w:space="0" w:color="auto"/>
      </w:divBdr>
    </w:div>
    <w:div w:id="552348679">
      <w:bodyDiv w:val="1"/>
      <w:marLeft w:val="0"/>
      <w:marRight w:val="0"/>
      <w:marTop w:val="0"/>
      <w:marBottom w:val="0"/>
      <w:divBdr>
        <w:top w:val="none" w:sz="0" w:space="0" w:color="auto"/>
        <w:left w:val="none" w:sz="0" w:space="0" w:color="auto"/>
        <w:bottom w:val="none" w:sz="0" w:space="0" w:color="auto"/>
        <w:right w:val="none" w:sz="0" w:space="0" w:color="auto"/>
      </w:divBdr>
    </w:div>
    <w:div w:id="554656486">
      <w:bodyDiv w:val="1"/>
      <w:marLeft w:val="0"/>
      <w:marRight w:val="0"/>
      <w:marTop w:val="0"/>
      <w:marBottom w:val="0"/>
      <w:divBdr>
        <w:top w:val="none" w:sz="0" w:space="0" w:color="auto"/>
        <w:left w:val="none" w:sz="0" w:space="0" w:color="auto"/>
        <w:bottom w:val="none" w:sz="0" w:space="0" w:color="auto"/>
        <w:right w:val="none" w:sz="0" w:space="0" w:color="auto"/>
      </w:divBdr>
    </w:div>
    <w:div w:id="584651417">
      <w:bodyDiv w:val="1"/>
      <w:marLeft w:val="0"/>
      <w:marRight w:val="0"/>
      <w:marTop w:val="0"/>
      <w:marBottom w:val="0"/>
      <w:divBdr>
        <w:top w:val="none" w:sz="0" w:space="0" w:color="auto"/>
        <w:left w:val="none" w:sz="0" w:space="0" w:color="auto"/>
        <w:bottom w:val="none" w:sz="0" w:space="0" w:color="auto"/>
        <w:right w:val="none" w:sz="0" w:space="0" w:color="auto"/>
      </w:divBdr>
    </w:div>
    <w:div w:id="609553701">
      <w:bodyDiv w:val="1"/>
      <w:marLeft w:val="0"/>
      <w:marRight w:val="0"/>
      <w:marTop w:val="0"/>
      <w:marBottom w:val="0"/>
      <w:divBdr>
        <w:top w:val="none" w:sz="0" w:space="0" w:color="auto"/>
        <w:left w:val="none" w:sz="0" w:space="0" w:color="auto"/>
        <w:bottom w:val="none" w:sz="0" w:space="0" w:color="auto"/>
        <w:right w:val="none" w:sz="0" w:space="0" w:color="auto"/>
      </w:divBdr>
    </w:div>
    <w:div w:id="628898113">
      <w:bodyDiv w:val="1"/>
      <w:marLeft w:val="0"/>
      <w:marRight w:val="0"/>
      <w:marTop w:val="0"/>
      <w:marBottom w:val="0"/>
      <w:divBdr>
        <w:top w:val="none" w:sz="0" w:space="0" w:color="auto"/>
        <w:left w:val="none" w:sz="0" w:space="0" w:color="auto"/>
        <w:bottom w:val="none" w:sz="0" w:space="0" w:color="auto"/>
        <w:right w:val="none" w:sz="0" w:space="0" w:color="auto"/>
      </w:divBdr>
    </w:div>
    <w:div w:id="641158522">
      <w:bodyDiv w:val="1"/>
      <w:marLeft w:val="0"/>
      <w:marRight w:val="0"/>
      <w:marTop w:val="0"/>
      <w:marBottom w:val="0"/>
      <w:divBdr>
        <w:top w:val="none" w:sz="0" w:space="0" w:color="auto"/>
        <w:left w:val="none" w:sz="0" w:space="0" w:color="auto"/>
        <w:bottom w:val="none" w:sz="0" w:space="0" w:color="auto"/>
        <w:right w:val="none" w:sz="0" w:space="0" w:color="auto"/>
      </w:divBdr>
    </w:div>
    <w:div w:id="665714878">
      <w:bodyDiv w:val="1"/>
      <w:marLeft w:val="0"/>
      <w:marRight w:val="0"/>
      <w:marTop w:val="0"/>
      <w:marBottom w:val="0"/>
      <w:divBdr>
        <w:top w:val="none" w:sz="0" w:space="0" w:color="auto"/>
        <w:left w:val="none" w:sz="0" w:space="0" w:color="auto"/>
        <w:bottom w:val="none" w:sz="0" w:space="0" w:color="auto"/>
        <w:right w:val="none" w:sz="0" w:space="0" w:color="auto"/>
      </w:divBdr>
    </w:div>
    <w:div w:id="714887372">
      <w:bodyDiv w:val="1"/>
      <w:marLeft w:val="0"/>
      <w:marRight w:val="0"/>
      <w:marTop w:val="0"/>
      <w:marBottom w:val="0"/>
      <w:divBdr>
        <w:top w:val="none" w:sz="0" w:space="0" w:color="auto"/>
        <w:left w:val="none" w:sz="0" w:space="0" w:color="auto"/>
        <w:bottom w:val="none" w:sz="0" w:space="0" w:color="auto"/>
        <w:right w:val="none" w:sz="0" w:space="0" w:color="auto"/>
      </w:divBdr>
    </w:div>
    <w:div w:id="786315010">
      <w:bodyDiv w:val="1"/>
      <w:marLeft w:val="0"/>
      <w:marRight w:val="0"/>
      <w:marTop w:val="0"/>
      <w:marBottom w:val="0"/>
      <w:divBdr>
        <w:top w:val="none" w:sz="0" w:space="0" w:color="auto"/>
        <w:left w:val="none" w:sz="0" w:space="0" w:color="auto"/>
        <w:bottom w:val="none" w:sz="0" w:space="0" w:color="auto"/>
        <w:right w:val="none" w:sz="0" w:space="0" w:color="auto"/>
      </w:divBdr>
    </w:div>
    <w:div w:id="788014209">
      <w:bodyDiv w:val="1"/>
      <w:marLeft w:val="0"/>
      <w:marRight w:val="0"/>
      <w:marTop w:val="0"/>
      <w:marBottom w:val="0"/>
      <w:divBdr>
        <w:top w:val="none" w:sz="0" w:space="0" w:color="auto"/>
        <w:left w:val="none" w:sz="0" w:space="0" w:color="auto"/>
        <w:bottom w:val="none" w:sz="0" w:space="0" w:color="auto"/>
        <w:right w:val="none" w:sz="0" w:space="0" w:color="auto"/>
      </w:divBdr>
      <w:divsChild>
        <w:div w:id="527062173">
          <w:marLeft w:val="446"/>
          <w:marRight w:val="0"/>
          <w:marTop w:val="0"/>
          <w:marBottom w:val="0"/>
          <w:divBdr>
            <w:top w:val="none" w:sz="0" w:space="0" w:color="auto"/>
            <w:left w:val="none" w:sz="0" w:space="0" w:color="auto"/>
            <w:bottom w:val="none" w:sz="0" w:space="0" w:color="auto"/>
            <w:right w:val="none" w:sz="0" w:space="0" w:color="auto"/>
          </w:divBdr>
        </w:div>
      </w:divsChild>
    </w:div>
    <w:div w:id="793451724">
      <w:bodyDiv w:val="1"/>
      <w:marLeft w:val="0"/>
      <w:marRight w:val="0"/>
      <w:marTop w:val="0"/>
      <w:marBottom w:val="0"/>
      <w:divBdr>
        <w:top w:val="none" w:sz="0" w:space="0" w:color="auto"/>
        <w:left w:val="none" w:sz="0" w:space="0" w:color="auto"/>
        <w:bottom w:val="none" w:sz="0" w:space="0" w:color="auto"/>
        <w:right w:val="none" w:sz="0" w:space="0" w:color="auto"/>
      </w:divBdr>
      <w:divsChild>
        <w:div w:id="654333153">
          <w:marLeft w:val="0"/>
          <w:marRight w:val="0"/>
          <w:marTop w:val="0"/>
          <w:marBottom w:val="0"/>
          <w:divBdr>
            <w:top w:val="none" w:sz="0" w:space="0" w:color="auto"/>
            <w:left w:val="none" w:sz="0" w:space="0" w:color="auto"/>
            <w:bottom w:val="none" w:sz="0" w:space="0" w:color="auto"/>
            <w:right w:val="none" w:sz="0" w:space="0" w:color="auto"/>
          </w:divBdr>
        </w:div>
      </w:divsChild>
    </w:div>
    <w:div w:id="811680940">
      <w:bodyDiv w:val="1"/>
      <w:marLeft w:val="0"/>
      <w:marRight w:val="0"/>
      <w:marTop w:val="0"/>
      <w:marBottom w:val="0"/>
      <w:divBdr>
        <w:top w:val="none" w:sz="0" w:space="0" w:color="auto"/>
        <w:left w:val="none" w:sz="0" w:space="0" w:color="auto"/>
        <w:bottom w:val="none" w:sz="0" w:space="0" w:color="auto"/>
        <w:right w:val="none" w:sz="0" w:space="0" w:color="auto"/>
      </w:divBdr>
    </w:div>
    <w:div w:id="827482127">
      <w:bodyDiv w:val="1"/>
      <w:marLeft w:val="0"/>
      <w:marRight w:val="0"/>
      <w:marTop w:val="0"/>
      <w:marBottom w:val="0"/>
      <w:divBdr>
        <w:top w:val="none" w:sz="0" w:space="0" w:color="auto"/>
        <w:left w:val="none" w:sz="0" w:space="0" w:color="auto"/>
        <w:bottom w:val="none" w:sz="0" w:space="0" w:color="auto"/>
        <w:right w:val="none" w:sz="0" w:space="0" w:color="auto"/>
      </w:divBdr>
    </w:div>
    <w:div w:id="850530532">
      <w:bodyDiv w:val="1"/>
      <w:marLeft w:val="0"/>
      <w:marRight w:val="0"/>
      <w:marTop w:val="0"/>
      <w:marBottom w:val="0"/>
      <w:divBdr>
        <w:top w:val="none" w:sz="0" w:space="0" w:color="auto"/>
        <w:left w:val="none" w:sz="0" w:space="0" w:color="auto"/>
        <w:bottom w:val="none" w:sz="0" w:space="0" w:color="auto"/>
        <w:right w:val="none" w:sz="0" w:space="0" w:color="auto"/>
      </w:divBdr>
      <w:divsChild>
        <w:div w:id="1192188362">
          <w:marLeft w:val="0"/>
          <w:marRight w:val="0"/>
          <w:marTop w:val="0"/>
          <w:marBottom w:val="0"/>
          <w:divBdr>
            <w:top w:val="none" w:sz="0" w:space="0" w:color="auto"/>
            <w:left w:val="none" w:sz="0" w:space="0" w:color="auto"/>
            <w:bottom w:val="none" w:sz="0" w:space="0" w:color="auto"/>
            <w:right w:val="none" w:sz="0" w:space="0" w:color="auto"/>
          </w:divBdr>
        </w:div>
      </w:divsChild>
    </w:div>
    <w:div w:id="861169526">
      <w:bodyDiv w:val="1"/>
      <w:marLeft w:val="0"/>
      <w:marRight w:val="0"/>
      <w:marTop w:val="0"/>
      <w:marBottom w:val="0"/>
      <w:divBdr>
        <w:top w:val="none" w:sz="0" w:space="0" w:color="auto"/>
        <w:left w:val="none" w:sz="0" w:space="0" w:color="auto"/>
        <w:bottom w:val="none" w:sz="0" w:space="0" w:color="auto"/>
        <w:right w:val="none" w:sz="0" w:space="0" w:color="auto"/>
      </w:divBdr>
    </w:div>
    <w:div w:id="910503127">
      <w:bodyDiv w:val="1"/>
      <w:marLeft w:val="0"/>
      <w:marRight w:val="0"/>
      <w:marTop w:val="0"/>
      <w:marBottom w:val="0"/>
      <w:divBdr>
        <w:top w:val="none" w:sz="0" w:space="0" w:color="auto"/>
        <w:left w:val="none" w:sz="0" w:space="0" w:color="auto"/>
        <w:bottom w:val="none" w:sz="0" w:space="0" w:color="auto"/>
        <w:right w:val="none" w:sz="0" w:space="0" w:color="auto"/>
      </w:divBdr>
    </w:div>
    <w:div w:id="946356036">
      <w:bodyDiv w:val="1"/>
      <w:marLeft w:val="0"/>
      <w:marRight w:val="0"/>
      <w:marTop w:val="0"/>
      <w:marBottom w:val="0"/>
      <w:divBdr>
        <w:top w:val="none" w:sz="0" w:space="0" w:color="auto"/>
        <w:left w:val="none" w:sz="0" w:space="0" w:color="auto"/>
        <w:bottom w:val="none" w:sz="0" w:space="0" w:color="auto"/>
        <w:right w:val="none" w:sz="0" w:space="0" w:color="auto"/>
      </w:divBdr>
    </w:div>
    <w:div w:id="972368153">
      <w:bodyDiv w:val="1"/>
      <w:marLeft w:val="0"/>
      <w:marRight w:val="0"/>
      <w:marTop w:val="0"/>
      <w:marBottom w:val="0"/>
      <w:divBdr>
        <w:top w:val="none" w:sz="0" w:space="0" w:color="auto"/>
        <w:left w:val="none" w:sz="0" w:space="0" w:color="auto"/>
        <w:bottom w:val="none" w:sz="0" w:space="0" w:color="auto"/>
        <w:right w:val="none" w:sz="0" w:space="0" w:color="auto"/>
      </w:divBdr>
    </w:div>
    <w:div w:id="993264818">
      <w:bodyDiv w:val="1"/>
      <w:marLeft w:val="0"/>
      <w:marRight w:val="0"/>
      <w:marTop w:val="0"/>
      <w:marBottom w:val="0"/>
      <w:divBdr>
        <w:top w:val="none" w:sz="0" w:space="0" w:color="auto"/>
        <w:left w:val="none" w:sz="0" w:space="0" w:color="auto"/>
        <w:bottom w:val="none" w:sz="0" w:space="0" w:color="auto"/>
        <w:right w:val="none" w:sz="0" w:space="0" w:color="auto"/>
      </w:divBdr>
    </w:div>
    <w:div w:id="1142692298">
      <w:bodyDiv w:val="1"/>
      <w:marLeft w:val="0"/>
      <w:marRight w:val="0"/>
      <w:marTop w:val="0"/>
      <w:marBottom w:val="0"/>
      <w:divBdr>
        <w:top w:val="none" w:sz="0" w:space="0" w:color="auto"/>
        <w:left w:val="none" w:sz="0" w:space="0" w:color="auto"/>
        <w:bottom w:val="none" w:sz="0" w:space="0" w:color="auto"/>
        <w:right w:val="none" w:sz="0" w:space="0" w:color="auto"/>
      </w:divBdr>
    </w:div>
    <w:div w:id="1165320186">
      <w:bodyDiv w:val="1"/>
      <w:marLeft w:val="0"/>
      <w:marRight w:val="0"/>
      <w:marTop w:val="0"/>
      <w:marBottom w:val="0"/>
      <w:divBdr>
        <w:top w:val="none" w:sz="0" w:space="0" w:color="auto"/>
        <w:left w:val="none" w:sz="0" w:space="0" w:color="auto"/>
        <w:bottom w:val="none" w:sz="0" w:space="0" w:color="auto"/>
        <w:right w:val="none" w:sz="0" w:space="0" w:color="auto"/>
      </w:divBdr>
    </w:div>
    <w:div w:id="1168638885">
      <w:bodyDiv w:val="1"/>
      <w:marLeft w:val="0"/>
      <w:marRight w:val="0"/>
      <w:marTop w:val="0"/>
      <w:marBottom w:val="0"/>
      <w:divBdr>
        <w:top w:val="none" w:sz="0" w:space="0" w:color="auto"/>
        <w:left w:val="none" w:sz="0" w:space="0" w:color="auto"/>
        <w:bottom w:val="none" w:sz="0" w:space="0" w:color="auto"/>
        <w:right w:val="none" w:sz="0" w:space="0" w:color="auto"/>
      </w:divBdr>
    </w:div>
    <w:div w:id="1196621907">
      <w:bodyDiv w:val="1"/>
      <w:marLeft w:val="0"/>
      <w:marRight w:val="0"/>
      <w:marTop w:val="0"/>
      <w:marBottom w:val="0"/>
      <w:divBdr>
        <w:top w:val="none" w:sz="0" w:space="0" w:color="auto"/>
        <w:left w:val="none" w:sz="0" w:space="0" w:color="auto"/>
        <w:bottom w:val="none" w:sz="0" w:space="0" w:color="auto"/>
        <w:right w:val="none" w:sz="0" w:space="0" w:color="auto"/>
      </w:divBdr>
    </w:div>
    <w:div w:id="1221207399">
      <w:bodyDiv w:val="1"/>
      <w:marLeft w:val="0"/>
      <w:marRight w:val="0"/>
      <w:marTop w:val="0"/>
      <w:marBottom w:val="0"/>
      <w:divBdr>
        <w:top w:val="none" w:sz="0" w:space="0" w:color="auto"/>
        <w:left w:val="none" w:sz="0" w:space="0" w:color="auto"/>
        <w:bottom w:val="none" w:sz="0" w:space="0" w:color="auto"/>
        <w:right w:val="none" w:sz="0" w:space="0" w:color="auto"/>
      </w:divBdr>
    </w:div>
    <w:div w:id="1250701635">
      <w:bodyDiv w:val="1"/>
      <w:marLeft w:val="0"/>
      <w:marRight w:val="0"/>
      <w:marTop w:val="0"/>
      <w:marBottom w:val="0"/>
      <w:divBdr>
        <w:top w:val="none" w:sz="0" w:space="0" w:color="auto"/>
        <w:left w:val="none" w:sz="0" w:space="0" w:color="auto"/>
        <w:bottom w:val="none" w:sz="0" w:space="0" w:color="auto"/>
        <w:right w:val="none" w:sz="0" w:space="0" w:color="auto"/>
      </w:divBdr>
    </w:div>
    <w:div w:id="1255552988">
      <w:bodyDiv w:val="1"/>
      <w:marLeft w:val="0"/>
      <w:marRight w:val="0"/>
      <w:marTop w:val="0"/>
      <w:marBottom w:val="0"/>
      <w:divBdr>
        <w:top w:val="none" w:sz="0" w:space="0" w:color="auto"/>
        <w:left w:val="none" w:sz="0" w:space="0" w:color="auto"/>
        <w:bottom w:val="none" w:sz="0" w:space="0" w:color="auto"/>
        <w:right w:val="none" w:sz="0" w:space="0" w:color="auto"/>
      </w:divBdr>
    </w:div>
    <w:div w:id="1281689385">
      <w:bodyDiv w:val="1"/>
      <w:marLeft w:val="0"/>
      <w:marRight w:val="0"/>
      <w:marTop w:val="0"/>
      <w:marBottom w:val="0"/>
      <w:divBdr>
        <w:top w:val="none" w:sz="0" w:space="0" w:color="auto"/>
        <w:left w:val="none" w:sz="0" w:space="0" w:color="auto"/>
        <w:bottom w:val="none" w:sz="0" w:space="0" w:color="auto"/>
        <w:right w:val="none" w:sz="0" w:space="0" w:color="auto"/>
      </w:divBdr>
    </w:div>
    <w:div w:id="1304046590">
      <w:bodyDiv w:val="1"/>
      <w:marLeft w:val="0"/>
      <w:marRight w:val="0"/>
      <w:marTop w:val="0"/>
      <w:marBottom w:val="0"/>
      <w:divBdr>
        <w:top w:val="none" w:sz="0" w:space="0" w:color="auto"/>
        <w:left w:val="none" w:sz="0" w:space="0" w:color="auto"/>
        <w:bottom w:val="none" w:sz="0" w:space="0" w:color="auto"/>
        <w:right w:val="none" w:sz="0" w:space="0" w:color="auto"/>
      </w:divBdr>
    </w:div>
    <w:div w:id="1317105581">
      <w:bodyDiv w:val="1"/>
      <w:marLeft w:val="0"/>
      <w:marRight w:val="0"/>
      <w:marTop w:val="0"/>
      <w:marBottom w:val="0"/>
      <w:divBdr>
        <w:top w:val="none" w:sz="0" w:space="0" w:color="auto"/>
        <w:left w:val="none" w:sz="0" w:space="0" w:color="auto"/>
        <w:bottom w:val="none" w:sz="0" w:space="0" w:color="auto"/>
        <w:right w:val="none" w:sz="0" w:space="0" w:color="auto"/>
      </w:divBdr>
    </w:div>
    <w:div w:id="1323849141">
      <w:bodyDiv w:val="1"/>
      <w:marLeft w:val="0"/>
      <w:marRight w:val="0"/>
      <w:marTop w:val="0"/>
      <w:marBottom w:val="0"/>
      <w:divBdr>
        <w:top w:val="none" w:sz="0" w:space="0" w:color="auto"/>
        <w:left w:val="none" w:sz="0" w:space="0" w:color="auto"/>
        <w:bottom w:val="none" w:sz="0" w:space="0" w:color="auto"/>
        <w:right w:val="none" w:sz="0" w:space="0" w:color="auto"/>
      </w:divBdr>
      <w:divsChild>
        <w:div w:id="244414187">
          <w:marLeft w:val="0"/>
          <w:marRight w:val="0"/>
          <w:marTop w:val="0"/>
          <w:marBottom w:val="101"/>
          <w:divBdr>
            <w:top w:val="none" w:sz="0" w:space="0" w:color="auto"/>
            <w:left w:val="none" w:sz="0" w:space="0" w:color="auto"/>
            <w:bottom w:val="none" w:sz="0" w:space="0" w:color="auto"/>
            <w:right w:val="none" w:sz="0" w:space="0" w:color="auto"/>
          </w:divBdr>
        </w:div>
        <w:div w:id="1010065707">
          <w:marLeft w:val="0"/>
          <w:marRight w:val="0"/>
          <w:marTop w:val="0"/>
          <w:marBottom w:val="101"/>
          <w:divBdr>
            <w:top w:val="none" w:sz="0" w:space="0" w:color="auto"/>
            <w:left w:val="none" w:sz="0" w:space="0" w:color="auto"/>
            <w:bottom w:val="none" w:sz="0" w:space="0" w:color="auto"/>
            <w:right w:val="none" w:sz="0" w:space="0" w:color="auto"/>
          </w:divBdr>
        </w:div>
      </w:divsChild>
    </w:div>
    <w:div w:id="1338146010">
      <w:bodyDiv w:val="1"/>
      <w:marLeft w:val="0"/>
      <w:marRight w:val="0"/>
      <w:marTop w:val="0"/>
      <w:marBottom w:val="0"/>
      <w:divBdr>
        <w:top w:val="none" w:sz="0" w:space="0" w:color="auto"/>
        <w:left w:val="none" w:sz="0" w:space="0" w:color="auto"/>
        <w:bottom w:val="none" w:sz="0" w:space="0" w:color="auto"/>
        <w:right w:val="none" w:sz="0" w:space="0" w:color="auto"/>
      </w:divBdr>
    </w:div>
    <w:div w:id="1344556167">
      <w:bodyDiv w:val="1"/>
      <w:marLeft w:val="0"/>
      <w:marRight w:val="0"/>
      <w:marTop w:val="0"/>
      <w:marBottom w:val="0"/>
      <w:divBdr>
        <w:top w:val="none" w:sz="0" w:space="0" w:color="auto"/>
        <w:left w:val="none" w:sz="0" w:space="0" w:color="auto"/>
        <w:bottom w:val="none" w:sz="0" w:space="0" w:color="auto"/>
        <w:right w:val="none" w:sz="0" w:space="0" w:color="auto"/>
      </w:divBdr>
    </w:div>
    <w:div w:id="1353923649">
      <w:bodyDiv w:val="1"/>
      <w:marLeft w:val="0"/>
      <w:marRight w:val="0"/>
      <w:marTop w:val="0"/>
      <w:marBottom w:val="0"/>
      <w:divBdr>
        <w:top w:val="none" w:sz="0" w:space="0" w:color="auto"/>
        <w:left w:val="none" w:sz="0" w:space="0" w:color="auto"/>
        <w:bottom w:val="none" w:sz="0" w:space="0" w:color="auto"/>
        <w:right w:val="none" w:sz="0" w:space="0" w:color="auto"/>
      </w:divBdr>
    </w:div>
    <w:div w:id="1392121157">
      <w:bodyDiv w:val="1"/>
      <w:marLeft w:val="0"/>
      <w:marRight w:val="0"/>
      <w:marTop w:val="0"/>
      <w:marBottom w:val="0"/>
      <w:divBdr>
        <w:top w:val="none" w:sz="0" w:space="0" w:color="auto"/>
        <w:left w:val="none" w:sz="0" w:space="0" w:color="auto"/>
        <w:bottom w:val="none" w:sz="0" w:space="0" w:color="auto"/>
        <w:right w:val="none" w:sz="0" w:space="0" w:color="auto"/>
      </w:divBdr>
    </w:div>
    <w:div w:id="1430271150">
      <w:bodyDiv w:val="1"/>
      <w:marLeft w:val="0"/>
      <w:marRight w:val="0"/>
      <w:marTop w:val="0"/>
      <w:marBottom w:val="0"/>
      <w:divBdr>
        <w:top w:val="none" w:sz="0" w:space="0" w:color="auto"/>
        <w:left w:val="none" w:sz="0" w:space="0" w:color="auto"/>
        <w:bottom w:val="none" w:sz="0" w:space="0" w:color="auto"/>
        <w:right w:val="none" w:sz="0" w:space="0" w:color="auto"/>
      </w:divBdr>
    </w:div>
    <w:div w:id="1458135291">
      <w:bodyDiv w:val="1"/>
      <w:marLeft w:val="0"/>
      <w:marRight w:val="0"/>
      <w:marTop w:val="0"/>
      <w:marBottom w:val="0"/>
      <w:divBdr>
        <w:top w:val="none" w:sz="0" w:space="0" w:color="auto"/>
        <w:left w:val="none" w:sz="0" w:space="0" w:color="auto"/>
        <w:bottom w:val="none" w:sz="0" w:space="0" w:color="auto"/>
        <w:right w:val="none" w:sz="0" w:space="0" w:color="auto"/>
      </w:divBdr>
    </w:div>
    <w:div w:id="1459303592">
      <w:bodyDiv w:val="1"/>
      <w:marLeft w:val="0"/>
      <w:marRight w:val="0"/>
      <w:marTop w:val="0"/>
      <w:marBottom w:val="0"/>
      <w:divBdr>
        <w:top w:val="none" w:sz="0" w:space="0" w:color="auto"/>
        <w:left w:val="none" w:sz="0" w:space="0" w:color="auto"/>
        <w:bottom w:val="none" w:sz="0" w:space="0" w:color="auto"/>
        <w:right w:val="none" w:sz="0" w:space="0" w:color="auto"/>
      </w:divBdr>
    </w:div>
    <w:div w:id="1472669350">
      <w:bodyDiv w:val="1"/>
      <w:marLeft w:val="0"/>
      <w:marRight w:val="0"/>
      <w:marTop w:val="0"/>
      <w:marBottom w:val="0"/>
      <w:divBdr>
        <w:top w:val="none" w:sz="0" w:space="0" w:color="auto"/>
        <w:left w:val="none" w:sz="0" w:space="0" w:color="auto"/>
        <w:bottom w:val="none" w:sz="0" w:space="0" w:color="auto"/>
        <w:right w:val="none" w:sz="0" w:space="0" w:color="auto"/>
      </w:divBdr>
    </w:div>
    <w:div w:id="1494641509">
      <w:bodyDiv w:val="1"/>
      <w:marLeft w:val="0"/>
      <w:marRight w:val="0"/>
      <w:marTop w:val="0"/>
      <w:marBottom w:val="0"/>
      <w:divBdr>
        <w:top w:val="none" w:sz="0" w:space="0" w:color="auto"/>
        <w:left w:val="none" w:sz="0" w:space="0" w:color="auto"/>
        <w:bottom w:val="none" w:sz="0" w:space="0" w:color="auto"/>
        <w:right w:val="none" w:sz="0" w:space="0" w:color="auto"/>
      </w:divBdr>
    </w:div>
    <w:div w:id="1503010311">
      <w:bodyDiv w:val="1"/>
      <w:marLeft w:val="0"/>
      <w:marRight w:val="0"/>
      <w:marTop w:val="0"/>
      <w:marBottom w:val="0"/>
      <w:divBdr>
        <w:top w:val="none" w:sz="0" w:space="0" w:color="auto"/>
        <w:left w:val="none" w:sz="0" w:space="0" w:color="auto"/>
        <w:bottom w:val="none" w:sz="0" w:space="0" w:color="auto"/>
        <w:right w:val="none" w:sz="0" w:space="0" w:color="auto"/>
      </w:divBdr>
    </w:div>
    <w:div w:id="1530530549">
      <w:bodyDiv w:val="1"/>
      <w:marLeft w:val="0"/>
      <w:marRight w:val="0"/>
      <w:marTop w:val="0"/>
      <w:marBottom w:val="0"/>
      <w:divBdr>
        <w:top w:val="none" w:sz="0" w:space="0" w:color="auto"/>
        <w:left w:val="none" w:sz="0" w:space="0" w:color="auto"/>
        <w:bottom w:val="none" w:sz="0" w:space="0" w:color="auto"/>
        <w:right w:val="none" w:sz="0" w:space="0" w:color="auto"/>
      </w:divBdr>
    </w:div>
    <w:div w:id="1556744142">
      <w:bodyDiv w:val="1"/>
      <w:marLeft w:val="0"/>
      <w:marRight w:val="0"/>
      <w:marTop w:val="0"/>
      <w:marBottom w:val="0"/>
      <w:divBdr>
        <w:top w:val="none" w:sz="0" w:space="0" w:color="auto"/>
        <w:left w:val="none" w:sz="0" w:space="0" w:color="auto"/>
        <w:bottom w:val="none" w:sz="0" w:space="0" w:color="auto"/>
        <w:right w:val="none" w:sz="0" w:space="0" w:color="auto"/>
      </w:divBdr>
    </w:div>
    <w:div w:id="1563172766">
      <w:bodyDiv w:val="1"/>
      <w:marLeft w:val="0"/>
      <w:marRight w:val="0"/>
      <w:marTop w:val="0"/>
      <w:marBottom w:val="0"/>
      <w:divBdr>
        <w:top w:val="none" w:sz="0" w:space="0" w:color="auto"/>
        <w:left w:val="none" w:sz="0" w:space="0" w:color="auto"/>
        <w:bottom w:val="none" w:sz="0" w:space="0" w:color="auto"/>
        <w:right w:val="none" w:sz="0" w:space="0" w:color="auto"/>
      </w:divBdr>
    </w:div>
    <w:div w:id="1594824623">
      <w:bodyDiv w:val="1"/>
      <w:marLeft w:val="0"/>
      <w:marRight w:val="0"/>
      <w:marTop w:val="0"/>
      <w:marBottom w:val="0"/>
      <w:divBdr>
        <w:top w:val="none" w:sz="0" w:space="0" w:color="auto"/>
        <w:left w:val="none" w:sz="0" w:space="0" w:color="auto"/>
        <w:bottom w:val="none" w:sz="0" w:space="0" w:color="auto"/>
        <w:right w:val="none" w:sz="0" w:space="0" w:color="auto"/>
      </w:divBdr>
    </w:div>
    <w:div w:id="1609922968">
      <w:bodyDiv w:val="1"/>
      <w:marLeft w:val="0"/>
      <w:marRight w:val="0"/>
      <w:marTop w:val="0"/>
      <w:marBottom w:val="0"/>
      <w:divBdr>
        <w:top w:val="none" w:sz="0" w:space="0" w:color="auto"/>
        <w:left w:val="none" w:sz="0" w:space="0" w:color="auto"/>
        <w:bottom w:val="none" w:sz="0" w:space="0" w:color="auto"/>
        <w:right w:val="none" w:sz="0" w:space="0" w:color="auto"/>
      </w:divBdr>
    </w:div>
    <w:div w:id="1621107208">
      <w:bodyDiv w:val="1"/>
      <w:marLeft w:val="0"/>
      <w:marRight w:val="0"/>
      <w:marTop w:val="0"/>
      <w:marBottom w:val="0"/>
      <w:divBdr>
        <w:top w:val="none" w:sz="0" w:space="0" w:color="auto"/>
        <w:left w:val="none" w:sz="0" w:space="0" w:color="auto"/>
        <w:bottom w:val="none" w:sz="0" w:space="0" w:color="auto"/>
        <w:right w:val="none" w:sz="0" w:space="0" w:color="auto"/>
      </w:divBdr>
    </w:div>
    <w:div w:id="1625883833">
      <w:bodyDiv w:val="1"/>
      <w:marLeft w:val="0"/>
      <w:marRight w:val="0"/>
      <w:marTop w:val="0"/>
      <w:marBottom w:val="0"/>
      <w:divBdr>
        <w:top w:val="none" w:sz="0" w:space="0" w:color="auto"/>
        <w:left w:val="none" w:sz="0" w:space="0" w:color="auto"/>
        <w:bottom w:val="none" w:sz="0" w:space="0" w:color="auto"/>
        <w:right w:val="none" w:sz="0" w:space="0" w:color="auto"/>
      </w:divBdr>
    </w:div>
    <w:div w:id="1645114436">
      <w:bodyDiv w:val="1"/>
      <w:marLeft w:val="0"/>
      <w:marRight w:val="0"/>
      <w:marTop w:val="0"/>
      <w:marBottom w:val="0"/>
      <w:divBdr>
        <w:top w:val="none" w:sz="0" w:space="0" w:color="auto"/>
        <w:left w:val="none" w:sz="0" w:space="0" w:color="auto"/>
        <w:bottom w:val="none" w:sz="0" w:space="0" w:color="auto"/>
        <w:right w:val="none" w:sz="0" w:space="0" w:color="auto"/>
      </w:divBdr>
    </w:div>
    <w:div w:id="1653749815">
      <w:bodyDiv w:val="1"/>
      <w:marLeft w:val="0"/>
      <w:marRight w:val="0"/>
      <w:marTop w:val="0"/>
      <w:marBottom w:val="0"/>
      <w:divBdr>
        <w:top w:val="none" w:sz="0" w:space="0" w:color="auto"/>
        <w:left w:val="none" w:sz="0" w:space="0" w:color="auto"/>
        <w:bottom w:val="none" w:sz="0" w:space="0" w:color="auto"/>
        <w:right w:val="none" w:sz="0" w:space="0" w:color="auto"/>
      </w:divBdr>
    </w:div>
    <w:div w:id="1657799398">
      <w:bodyDiv w:val="1"/>
      <w:marLeft w:val="0"/>
      <w:marRight w:val="0"/>
      <w:marTop w:val="0"/>
      <w:marBottom w:val="0"/>
      <w:divBdr>
        <w:top w:val="none" w:sz="0" w:space="0" w:color="auto"/>
        <w:left w:val="none" w:sz="0" w:space="0" w:color="auto"/>
        <w:bottom w:val="none" w:sz="0" w:space="0" w:color="auto"/>
        <w:right w:val="none" w:sz="0" w:space="0" w:color="auto"/>
      </w:divBdr>
    </w:div>
    <w:div w:id="1670447228">
      <w:bodyDiv w:val="1"/>
      <w:marLeft w:val="0"/>
      <w:marRight w:val="0"/>
      <w:marTop w:val="0"/>
      <w:marBottom w:val="0"/>
      <w:divBdr>
        <w:top w:val="none" w:sz="0" w:space="0" w:color="auto"/>
        <w:left w:val="none" w:sz="0" w:space="0" w:color="auto"/>
        <w:bottom w:val="none" w:sz="0" w:space="0" w:color="auto"/>
        <w:right w:val="none" w:sz="0" w:space="0" w:color="auto"/>
      </w:divBdr>
    </w:div>
    <w:div w:id="1688479168">
      <w:bodyDiv w:val="1"/>
      <w:marLeft w:val="0"/>
      <w:marRight w:val="0"/>
      <w:marTop w:val="0"/>
      <w:marBottom w:val="0"/>
      <w:divBdr>
        <w:top w:val="none" w:sz="0" w:space="0" w:color="auto"/>
        <w:left w:val="none" w:sz="0" w:space="0" w:color="auto"/>
        <w:bottom w:val="none" w:sz="0" w:space="0" w:color="auto"/>
        <w:right w:val="none" w:sz="0" w:space="0" w:color="auto"/>
      </w:divBdr>
    </w:div>
    <w:div w:id="1689872264">
      <w:bodyDiv w:val="1"/>
      <w:marLeft w:val="0"/>
      <w:marRight w:val="0"/>
      <w:marTop w:val="0"/>
      <w:marBottom w:val="0"/>
      <w:divBdr>
        <w:top w:val="none" w:sz="0" w:space="0" w:color="auto"/>
        <w:left w:val="none" w:sz="0" w:space="0" w:color="auto"/>
        <w:bottom w:val="none" w:sz="0" w:space="0" w:color="auto"/>
        <w:right w:val="none" w:sz="0" w:space="0" w:color="auto"/>
      </w:divBdr>
    </w:div>
    <w:div w:id="1694989317">
      <w:bodyDiv w:val="1"/>
      <w:marLeft w:val="0"/>
      <w:marRight w:val="0"/>
      <w:marTop w:val="0"/>
      <w:marBottom w:val="0"/>
      <w:divBdr>
        <w:top w:val="none" w:sz="0" w:space="0" w:color="auto"/>
        <w:left w:val="none" w:sz="0" w:space="0" w:color="auto"/>
        <w:bottom w:val="none" w:sz="0" w:space="0" w:color="auto"/>
        <w:right w:val="none" w:sz="0" w:space="0" w:color="auto"/>
      </w:divBdr>
      <w:divsChild>
        <w:div w:id="522477230">
          <w:marLeft w:val="1166"/>
          <w:marRight w:val="0"/>
          <w:marTop w:val="0"/>
          <w:marBottom w:val="0"/>
          <w:divBdr>
            <w:top w:val="none" w:sz="0" w:space="0" w:color="auto"/>
            <w:left w:val="none" w:sz="0" w:space="0" w:color="auto"/>
            <w:bottom w:val="none" w:sz="0" w:space="0" w:color="auto"/>
            <w:right w:val="none" w:sz="0" w:space="0" w:color="auto"/>
          </w:divBdr>
        </w:div>
        <w:div w:id="321281648">
          <w:marLeft w:val="1166"/>
          <w:marRight w:val="0"/>
          <w:marTop w:val="0"/>
          <w:marBottom w:val="0"/>
          <w:divBdr>
            <w:top w:val="none" w:sz="0" w:space="0" w:color="auto"/>
            <w:left w:val="none" w:sz="0" w:space="0" w:color="auto"/>
            <w:bottom w:val="none" w:sz="0" w:space="0" w:color="auto"/>
            <w:right w:val="none" w:sz="0" w:space="0" w:color="auto"/>
          </w:divBdr>
        </w:div>
        <w:div w:id="205214401">
          <w:marLeft w:val="1166"/>
          <w:marRight w:val="0"/>
          <w:marTop w:val="0"/>
          <w:marBottom w:val="0"/>
          <w:divBdr>
            <w:top w:val="none" w:sz="0" w:space="0" w:color="auto"/>
            <w:left w:val="none" w:sz="0" w:space="0" w:color="auto"/>
            <w:bottom w:val="none" w:sz="0" w:space="0" w:color="auto"/>
            <w:right w:val="none" w:sz="0" w:space="0" w:color="auto"/>
          </w:divBdr>
        </w:div>
        <w:div w:id="1227297899">
          <w:marLeft w:val="1166"/>
          <w:marRight w:val="0"/>
          <w:marTop w:val="0"/>
          <w:marBottom w:val="0"/>
          <w:divBdr>
            <w:top w:val="none" w:sz="0" w:space="0" w:color="auto"/>
            <w:left w:val="none" w:sz="0" w:space="0" w:color="auto"/>
            <w:bottom w:val="none" w:sz="0" w:space="0" w:color="auto"/>
            <w:right w:val="none" w:sz="0" w:space="0" w:color="auto"/>
          </w:divBdr>
        </w:div>
        <w:div w:id="121463711">
          <w:marLeft w:val="1166"/>
          <w:marRight w:val="0"/>
          <w:marTop w:val="0"/>
          <w:marBottom w:val="240"/>
          <w:divBdr>
            <w:top w:val="none" w:sz="0" w:space="0" w:color="auto"/>
            <w:left w:val="none" w:sz="0" w:space="0" w:color="auto"/>
            <w:bottom w:val="none" w:sz="0" w:space="0" w:color="auto"/>
            <w:right w:val="none" w:sz="0" w:space="0" w:color="auto"/>
          </w:divBdr>
        </w:div>
      </w:divsChild>
    </w:div>
    <w:div w:id="1696998161">
      <w:bodyDiv w:val="1"/>
      <w:marLeft w:val="0"/>
      <w:marRight w:val="0"/>
      <w:marTop w:val="0"/>
      <w:marBottom w:val="0"/>
      <w:divBdr>
        <w:top w:val="none" w:sz="0" w:space="0" w:color="auto"/>
        <w:left w:val="none" w:sz="0" w:space="0" w:color="auto"/>
        <w:bottom w:val="none" w:sz="0" w:space="0" w:color="auto"/>
        <w:right w:val="none" w:sz="0" w:space="0" w:color="auto"/>
      </w:divBdr>
    </w:div>
    <w:div w:id="1707563437">
      <w:bodyDiv w:val="1"/>
      <w:marLeft w:val="0"/>
      <w:marRight w:val="0"/>
      <w:marTop w:val="0"/>
      <w:marBottom w:val="0"/>
      <w:divBdr>
        <w:top w:val="none" w:sz="0" w:space="0" w:color="auto"/>
        <w:left w:val="none" w:sz="0" w:space="0" w:color="auto"/>
        <w:bottom w:val="none" w:sz="0" w:space="0" w:color="auto"/>
        <w:right w:val="none" w:sz="0" w:space="0" w:color="auto"/>
      </w:divBdr>
    </w:div>
    <w:div w:id="1750073371">
      <w:bodyDiv w:val="1"/>
      <w:marLeft w:val="0"/>
      <w:marRight w:val="0"/>
      <w:marTop w:val="0"/>
      <w:marBottom w:val="0"/>
      <w:divBdr>
        <w:top w:val="none" w:sz="0" w:space="0" w:color="auto"/>
        <w:left w:val="none" w:sz="0" w:space="0" w:color="auto"/>
        <w:bottom w:val="none" w:sz="0" w:space="0" w:color="auto"/>
        <w:right w:val="none" w:sz="0" w:space="0" w:color="auto"/>
      </w:divBdr>
    </w:div>
    <w:div w:id="1766996403">
      <w:bodyDiv w:val="1"/>
      <w:marLeft w:val="0"/>
      <w:marRight w:val="0"/>
      <w:marTop w:val="0"/>
      <w:marBottom w:val="0"/>
      <w:divBdr>
        <w:top w:val="none" w:sz="0" w:space="0" w:color="auto"/>
        <w:left w:val="none" w:sz="0" w:space="0" w:color="auto"/>
        <w:bottom w:val="none" w:sz="0" w:space="0" w:color="auto"/>
        <w:right w:val="none" w:sz="0" w:space="0" w:color="auto"/>
      </w:divBdr>
    </w:div>
    <w:div w:id="1786120427">
      <w:bodyDiv w:val="1"/>
      <w:marLeft w:val="0"/>
      <w:marRight w:val="0"/>
      <w:marTop w:val="0"/>
      <w:marBottom w:val="0"/>
      <w:divBdr>
        <w:top w:val="none" w:sz="0" w:space="0" w:color="auto"/>
        <w:left w:val="none" w:sz="0" w:space="0" w:color="auto"/>
        <w:bottom w:val="none" w:sz="0" w:space="0" w:color="auto"/>
        <w:right w:val="none" w:sz="0" w:space="0" w:color="auto"/>
      </w:divBdr>
    </w:div>
    <w:div w:id="1786272554">
      <w:bodyDiv w:val="1"/>
      <w:marLeft w:val="0"/>
      <w:marRight w:val="0"/>
      <w:marTop w:val="0"/>
      <w:marBottom w:val="0"/>
      <w:divBdr>
        <w:top w:val="none" w:sz="0" w:space="0" w:color="auto"/>
        <w:left w:val="none" w:sz="0" w:space="0" w:color="auto"/>
        <w:bottom w:val="none" w:sz="0" w:space="0" w:color="auto"/>
        <w:right w:val="none" w:sz="0" w:space="0" w:color="auto"/>
      </w:divBdr>
    </w:div>
    <w:div w:id="1839886568">
      <w:bodyDiv w:val="1"/>
      <w:marLeft w:val="0"/>
      <w:marRight w:val="0"/>
      <w:marTop w:val="0"/>
      <w:marBottom w:val="0"/>
      <w:divBdr>
        <w:top w:val="none" w:sz="0" w:space="0" w:color="auto"/>
        <w:left w:val="none" w:sz="0" w:space="0" w:color="auto"/>
        <w:bottom w:val="none" w:sz="0" w:space="0" w:color="auto"/>
        <w:right w:val="none" w:sz="0" w:space="0" w:color="auto"/>
      </w:divBdr>
    </w:div>
    <w:div w:id="1841579146">
      <w:bodyDiv w:val="1"/>
      <w:marLeft w:val="0"/>
      <w:marRight w:val="0"/>
      <w:marTop w:val="0"/>
      <w:marBottom w:val="0"/>
      <w:divBdr>
        <w:top w:val="none" w:sz="0" w:space="0" w:color="auto"/>
        <w:left w:val="none" w:sz="0" w:space="0" w:color="auto"/>
        <w:bottom w:val="none" w:sz="0" w:space="0" w:color="auto"/>
        <w:right w:val="none" w:sz="0" w:space="0" w:color="auto"/>
      </w:divBdr>
    </w:div>
    <w:div w:id="1849129726">
      <w:bodyDiv w:val="1"/>
      <w:marLeft w:val="0"/>
      <w:marRight w:val="0"/>
      <w:marTop w:val="0"/>
      <w:marBottom w:val="0"/>
      <w:divBdr>
        <w:top w:val="none" w:sz="0" w:space="0" w:color="auto"/>
        <w:left w:val="none" w:sz="0" w:space="0" w:color="auto"/>
        <w:bottom w:val="none" w:sz="0" w:space="0" w:color="auto"/>
        <w:right w:val="none" w:sz="0" w:space="0" w:color="auto"/>
      </w:divBdr>
    </w:div>
    <w:div w:id="1912230522">
      <w:bodyDiv w:val="1"/>
      <w:marLeft w:val="0"/>
      <w:marRight w:val="0"/>
      <w:marTop w:val="0"/>
      <w:marBottom w:val="0"/>
      <w:divBdr>
        <w:top w:val="none" w:sz="0" w:space="0" w:color="auto"/>
        <w:left w:val="none" w:sz="0" w:space="0" w:color="auto"/>
        <w:bottom w:val="none" w:sz="0" w:space="0" w:color="auto"/>
        <w:right w:val="none" w:sz="0" w:space="0" w:color="auto"/>
      </w:divBdr>
    </w:div>
    <w:div w:id="1920946216">
      <w:bodyDiv w:val="1"/>
      <w:marLeft w:val="0"/>
      <w:marRight w:val="0"/>
      <w:marTop w:val="0"/>
      <w:marBottom w:val="0"/>
      <w:divBdr>
        <w:top w:val="none" w:sz="0" w:space="0" w:color="auto"/>
        <w:left w:val="none" w:sz="0" w:space="0" w:color="auto"/>
        <w:bottom w:val="none" w:sz="0" w:space="0" w:color="auto"/>
        <w:right w:val="none" w:sz="0" w:space="0" w:color="auto"/>
      </w:divBdr>
    </w:div>
    <w:div w:id="1930188109">
      <w:bodyDiv w:val="1"/>
      <w:marLeft w:val="0"/>
      <w:marRight w:val="0"/>
      <w:marTop w:val="0"/>
      <w:marBottom w:val="0"/>
      <w:divBdr>
        <w:top w:val="none" w:sz="0" w:space="0" w:color="auto"/>
        <w:left w:val="none" w:sz="0" w:space="0" w:color="auto"/>
        <w:bottom w:val="none" w:sz="0" w:space="0" w:color="auto"/>
        <w:right w:val="none" w:sz="0" w:space="0" w:color="auto"/>
      </w:divBdr>
    </w:div>
    <w:div w:id="1930692251">
      <w:bodyDiv w:val="1"/>
      <w:marLeft w:val="0"/>
      <w:marRight w:val="0"/>
      <w:marTop w:val="0"/>
      <w:marBottom w:val="0"/>
      <w:divBdr>
        <w:top w:val="none" w:sz="0" w:space="0" w:color="auto"/>
        <w:left w:val="none" w:sz="0" w:space="0" w:color="auto"/>
        <w:bottom w:val="none" w:sz="0" w:space="0" w:color="auto"/>
        <w:right w:val="none" w:sz="0" w:space="0" w:color="auto"/>
      </w:divBdr>
    </w:div>
    <w:div w:id="1967195192">
      <w:bodyDiv w:val="1"/>
      <w:marLeft w:val="0"/>
      <w:marRight w:val="0"/>
      <w:marTop w:val="0"/>
      <w:marBottom w:val="0"/>
      <w:divBdr>
        <w:top w:val="none" w:sz="0" w:space="0" w:color="auto"/>
        <w:left w:val="none" w:sz="0" w:space="0" w:color="auto"/>
        <w:bottom w:val="none" w:sz="0" w:space="0" w:color="auto"/>
        <w:right w:val="none" w:sz="0" w:space="0" w:color="auto"/>
      </w:divBdr>
    </w:div>
    <w:div w:id="1988128236">
      <w:bodyDiv w:val="1"/>
      <w:marLeft w:val="0"/>
      <w:marRight w:val="0"/>
      <w:marTop w:val="0"/>
      <w:marBottom w:val="0"/>
      <w:divBdr>
        <w:top w:val="none" w:sz="0" w:space="0" w:color="auto"/>
        <w:left w:val="none" w:sz="0" w:space="0" w:color="auto"/>
        <w:bottom w:val="none" w:sz="0" w:space="0" w:color="auto"/>
        <w:right w:val="none" w:sz="0" w:space="0" w:color="auto"/>
      </w:divBdr>
    </w:div>
    <w:div w:id="2005861562">
      <w:bodyDiv w:val="1"/>
      <w:marLeft w:val="0"/>
      <w:marRight w:val="0"/>
      <w:marTop w:val="0"/>
      <w:marBottom w:val="0"/>
      <w:divBdr>
        <w:top w:val="none" w:sz="0" w:space="0" w:color="auto"/>
        <w:left w:val="none" w:sz="0" w:space="0" w:color="auto"/>
        <w:bottom w:val="none" w:sz="0" w:space="0" w:color="auto"/>
        <w:right w:val="none" w:sz="0" w:space="0" w:color="auto"/>
      </w:divBdr>
    </w:div>
    <w:div w:id="2016491494">
      <w:bodyDiv w:val="1"/>
      <w:marLeft w:val="0"/>
      <w:marRight w:val="0"/>
      <w:marTop w:val="0"/>
      <w:marBottom w:val="0"/>
      <w:divBdr>
        <w:top w:val="none" w:sz="0" w:space="0" w:color="auto"/>
        <w:left w:val="none" w:sz="0" w:space="0" w:color="auto"/>
        <w:bottom w:val="none" w:sz="0" w:space="0" w:color="auto"/>
        <w:right w:val="none" w:sz="0" w:space="0" w:color="auto"/>
      </w:divBdr>
    </w:div>
    <w:div w:id="2018193939">
      <w:bodyDiv w:val="1"/>
      <w:marLeft w:val="0"/>
      <w:marRight w:val="0"/>
      <w:marTop w:val="0"/>
      <w:marBottom w:val="0"/>
      <w:divBdr>
        <w:top w:val="none" w:sz="0" w:space="0" w:color="auto"/>
        <w:left w:val="none" w:sz="0" w:space="0" w:color="auto"/>
        <w:bottom w:val="none" w:sz="0" w:space="0" w:color="auto"/>
        <w:right w:val="none" w:sz="0" w:space="0" w:color="auto"/>
      </w:divBdr>
    </w:div>
    <w:div w:id="2035301422">
      <w:bodyDiv w:val="1"/>
      <w:marLeft w:val="0"/>
      <w:marRight w:val="0"/>
      <w:marTop w:val="0"/>
      <w:marBottom w:val="0"/>
      <w:divBdr>
        <w:top w:val="none" w:sz="0" w:space="0" w:color="auto"/>
        <w:left w:val="none" w:sz="0" w:space="0" w:color="auto"/>
        <w:bottom w:val="none" w:sz="0" w:space="0" w:color="auto"/>
        <w:right w:val="none" w:sz="0" w:space="0" w:color="auto"/>
      </w:divBdr>
    </w:div>
    <w:div w:id="2055083866">
      <w:bodyDiv w:val="1"/>
      <w:marLeft w:val="0"/>
      <w:marRight w:val="0"/>
      <w:marTop w:val="0"/>
      <w:marBottom w:val="0"/>
      <w:divBdr>
        <w:top w:val="none" w:sz="0" w:space="0" w:color="auto"/>
        <w:left w:val="none" w:sz="0" w:space="0" w:color="auto"/>
        <w:bottom w:val="none" w:sz="0" w:space="0" w:color="auto"/>
        <w:right w:val="none" w:sz="0" w:space="0" w:color="auto"/>
      </w:divBdr>
    </w:div>
    <w:div w:id="2069567262">
      <w:bodyDiv w:val="1"/>
      <w:marLeft w:val="0"/>
      <w:marRight w:val="0"/>
      <w:marTop w:val="0"/>
      <w:marBottom w:val="0"/>
      <w:divBdr>
        <w:top w:val="none" w:sz="0" w:space="0" w:color="auto"/>
        <w:left w:val="none" w:sz="0" w:space="0" w:color="auto"/>
        <w:bottom w:val="none" w:sz="0" w:space="0" w:color="auto"/>
        <w:right w:val="none" w:sz="0" w:space="0" w:color="auto"/>
      </w:divBdr>
    </w:div>
    <w:div w:id="211867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dof.gob.mx/nota_detalle.php?codigo=5301698&amp;fecha=07/06/2013"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oleObject" Target="embeddings/oleObject2.bin"/><Relationship Id="rId42" Type="http://schemas.openxmlformats.org/officeDocument/2006/relationships/hyperlink" Target="http://congresocol.gob.mx/web/Sistema/uploads/LegislacionEstatal/LeyesEstatales/administracion_publica_29sept2015.pdf" TargetMode="External"/><Relationship Id="rId47" Type="http://schemas.openxmlformats.org/officeDocument/2006/relationships/hyperlink" Target="http://www.colima-estado.gob.mx/transparencia/archivos/portal/2017042719463344_Programa-sectorial-desarrollo-urbano-ordenamiento-territorial-2016-2021.pdf" TargetMode="External"/><Relationship Id="rId50" Type="http://schemas.openxmlformats.org/officeDocument/2006/relationships/hyperlink" Target="http://www.osaf.gob.mx/Resultados_2016/Evaluacion/EVAL_FAFEF_2016.pdf" TargetMode="External"/><Relationship Id="rId7" Type="http://schemas.openxmlformats.org/officeDocument/2006/relationships/endnotes" Target="endnotes.xml"/><Relationship Id="rId12" Type="http://schemas.openxmlformats.org/officeDocument/2006/relationships/hyperlink" Target="file:///C:\Users\paola\Desktop\Proyectos_TECSO\Proyectos_2018\Colima_2018\Col_CyR_Obra\Inf_preliminares\Cuadros\Cuadros%20FAFEF_SEIDUR.xlsx"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hyperlink" Target="https://docs.google.com/document/d/1SvUQNjcHyRK4TzaZQv8kaR1GzVzDTJwIJU_UYn7-eds/edit" TargetMode="External"/><Relationship Id="rId46" Type="http://schemas.openxmlformats.org/officeDocument/2006/relationships/hyperlink" Target="http://www.ordenjuridico.gob.mx/Documentos/Estatal/Colima/wo116099.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hyperlink" Target="http://congresocol.gob.mx/web/Sistema/uploads/LegislacionEstatal/LeyesEstatales/administracion_publica_29sept2015.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oleObject" Target="embeddings/oleObject1.bin"/><Relationship Id="rId37" Type="http://schemas.openxmlformats.org/officeDocument/2006/relationships/hyperlink" Target="http://www.shcp.gob.mx/EGRESOS/PEF/sed/Guia%20MIR.pdf" TargetMode="External"/><Relationship Id="rId40" Type="http://schemas.openxmlformats.org/officeDocument/2006/relationships/hyperlink" Target="http://www.dof.gob.mx/nota_detalle.php?codigo=5509137&amp;fecha=27/12/2017" TargetMode="External"/><Relationship Id="rId45" Type="http://schemas.openxmlformats.org/officeDocument/2006/relationships/hyperlink" Target="http://www.ordenjuridico.gob.mx/Documentos/Estatal/Colima/wo116246.pdf"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hyperlink" Target="http://www.coneval.org.mx/Evaluacion/Paginas/Normatividad/Terminos_de_Referencia_vigentes.aspx" TargetMode="External"/><Relationship Id="rId49" Type="http://schemas.openxmlformats.org/officeDocument/2006/relationships/hyperlink" Target="http://www.un.org/sustainabledevelopment/es/cities/" TargetMode="Externa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hyperlink" Target="http://legismex.mty.itesm.mx/estados/ley-col/COL-L-ObPub2017_09.pdf"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hyperlink" Target="https://www.coneval.org.mx/rw/resource/coneval/info_public/PDF_PUBLICACIONES/Ramo_33_PDF_02032011.pdf" TargetMode="External"/><Relationship Id="rId43" Type="http://schemas.openxmlformats.org/officeDocument/2006/relationships/hyperlink" Target="http://www.colima-estado.gob.mx/transparencia/archivos/Ley-asentamientos-humanos.pdf" TargetMode="External"/><Relationship Id="rId48" Type="http://schemas.openxmlformats.org/officeDocument/2006/relationships/hyperlink" Target="http://pnd.gob.mx/" TargetMode="External"/><Relationship Id="rId8" Type="http://schemas.openxmlformats.org/officeDocument/2006/relationships/image" Target="media/image2.jpe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D4A75-5707-423F-9F7E-8D522B61B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99</Pages>
  <Words>23436</Words>
  <Characters>128898</Characters>
  <Application>Microsoft Office Word</Application>
  <DocSecurity>0</DocSecurity>
  <Lines>1074</Lines>
  <Paragraphs>304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Usuario de Windows</cp:lastModifiedBy>
  <cp:revision>3</cp:revision>
  <cp:lastPrinted>2018-04-19T05:25:00Z</cp:lastPrinted>
  <dcterms:created xsi:type="dcterms:W3CDTF">2018-06-06T15:11:00Z</dcterms:created>
  <dcterms:modified xsi:type="dcterms:W3CDTF">2018-06-06T16:15:00Z</dcterms:modified>
</cp:coreProperties>
</file>