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9E722" w14:textId="77777777" w:rsidR="0080329D" w:rsidRDefault="0080329D" w:rsidP="00980C53">
      <w:pPr>
        <w:spacing w:after="240" w:line="276" w:lineRule="auto"/>
        <w:jc w:val="center"/>
        <w:rPr>
          <w:rFonts w:ascii="Century Gothic" w:hAnsi="Century Gothic"/>
          <w:b/>
          <w:color w:val="0E4E7A"/>
          <w:sz w:val="28"/>
        </w:rPr>
      </w:pPr>
    </w:p>
    <w:p w14:paraId="1744F5B2" w14:textId="77777777" w:rsidR="0080329D" w:rsidRDefault="00081AA1" w:rsidP="00980C53">
      <w:pPr>
        <w:spacing w:after="240" w:line="276" w:lineRule="auto"/>
        <w:jc w:val="center"/>
        <w:rPr>
          <w:rFonts w:ascii="Century Gothic" w:hAnsi="Century Gothic"/>
          <w:b/>
          <w:color w:val="0E4E7A"/>
          <w:sz w:val="28"/>
        </w:rPr>
      </w:pPr>
      <w:r>
        <w:rPr>
          <w:noProof/>
          <w:lang w:val="es-MX" w:eastAsia="es-MX"/>
        </w:rPr>
        <w:drawing>
          <wp:anchor distT="0" distB="0" distL="114300" distR="114300" simplePos="0" relativeHeight="251669504" behindDoc="1" locked="0" layoutInCell="1" allowOverlap="1" wp14:anchorId="62E10C4F" wp14:editId="6EA22B1B">
            <wp:simplePos x="0" y="0"/>
            <wp:positionH relativeFrom="column">
              <wp:posOffset>1574165</wp:posOffset>
            </wp:positionH>
            <wp:positionV relativeFrom="paragraph">
              <wp:posOffset>102870</wp:posOffset>
            </wp:positionV>
            <wp:extent cx="2268220" cy="1172845"/>
            <wp:effectExtent l="0" t="0" r="0" b="8255"/>
            <wp:wrapTight wrapText="bothSides">
              <wp:wrapPolygon edited="0">
                <wp:start x="10340" y="0"/>
                <wp:lineTo x="0" y="3158"/>
                <wp:lineTo x="0" y="5964"/>
                <wp:lineTo x="1270" y="11227"/>
                <wp:lineTo x="907" y="18594"/>
                <wp:lineTo x="7075" y="21401"/>
                <wp:lineTo x="10522" y="21401"/>
                <wp:lineTo x="11610" y="21401"/>
                <wp:lineTo x="15601" y="21401"/>
                <wp:lineTo x="21225" y="18594"/>
                <wp:lineTo x="21406" y="13332"/>
                <wp:lineTo x="21406" y="3508"/>
                <wp:lineTo x="19411" y="2456"/>
                <wp:lineTo x="11610" y="0"/>
                <wp:lineTo x="10340" y="0"/>
              </wp:wrapPolygon>
            </wp:wrapTight>
            <wp:docPr id="9" name="Picture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logo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8220" cy="1172845"/>
                    </a:xfrm>
                    <a:prstGeom prst="rect">
                      <a:avLst/>
                    </a:prstGeom>
                    <a:noFill/>
                    <a:ln w="9525">
                      <a:noFill/>
                      <a:miter lim="800000"/>
                      <a:headEnd/>
                      <a:tailEnd/>
                    </a:ln>
                  </pic:spPr>
                </pic:pic>
              </a:graphicData>
            </a:graphic>
          </wp:anchor>
        </w:drawing>
      </w:r>
    </w:p>
    <w:p w14:paraId="4B92682F" w14:textId="77777777" w:rsidR="0080329D" w:rsidRDefault="0080329D" w:rsidP="00980C53">
      <w:pPr>
        <w:spacing w:after="240" w:line="276" w:lineRule="auto"/>
        <w:jc w:val="center"/>
        <w:rPr>
          <w:rFonts w:ascii="Century Gothic" w:hAnsi="Century Gothic"/>
          <w:b/>
          <w:color w:val="0E4E7A"/>
          <w:sz w:val="28"/>
        </w:rPr>
      </w:pPr>
    </w:p>
    <w:p w14:paraId="4AB3A798" w14:textId="77777777" w:rsidR="0080329D" w:rsidRDefault="0080329D" w:rsidP="00980C53">
      <w:pPr>
        <w:spacing w:after="240" w:line="276" w:lineRule="auto"/>
        <w:jc w:val="center"/>
        <w:rPr>
          <w:rFonts w:ascii="Century Gothic" w:hAnsi="Century Gothic"/>
          <w:b/>
          <w:color w:val="0E4E7A"/>
          <w:sz w:val="28"/>
        </w:rPr>
      </w:pPr>
    </w:p>
    <w:p w14:paraId="693147DC" w14:textId="77777777" w:rsidR="0080329D" w:rsidRDefault="0080329D" w:rsidP="00980C53">
      <w:pPr>
        <w:spacing w:after="240" w:line="276" w:lineRule="auto"/>
        <w:jc w:val="center"/>
        <w:rPr>
          <w:rFonts w:ascii="Century Gothic" w:hAnsi="Century Gothic"/>
          <w:b/>
          <w:color w:val="0E4E7A"/>
          <w:sz w:val="28"/>
        </w:rPr>
      </w:pPr>
    </w:p>
    <w:p w14:paraId="229EB45E" w14:textId="77777777" w:rsidR="0080329D" w:rsidRDefault="0080329D" w:rsidP="00980C53">
      <w:pPr>
        <w:spacing w:after="240" w:line="276" w:lineRule="auto"/>
        <w:jc w:val="center"/>
        <w:rPr>
          <w:rFonts w:ascii="Century Gothic" w:hAnsi="Century Gothic"/>
          <w:b/>
          <w:color w:val="0E4E7A"/>
          <w:sz w:val="28"/>
        </w:rPr>
      </w:pPr>
    </w:p>
    <w:p w14:paraId="3D7A2DC6" w14:textId="77777777" w:rsidR="0080329D" w:rsidRDefault="0080329D" w:rsidP="00980C53">
      <w:pPr>
        <w:spacing w:after="240" w:line="276" w:lineRule="auto"/>
        <w:jc w:val="center"/>
        <w:rPr>
          <w:rFonts w:ascii="Century Gothic" w:hAnsi="Century Gothic"/>
          <w:b/>
          <w:color w:val="0E4E7A"/>
          <w:sz w:val="28"/>
        </w:rPr>
      </w:pPr>
    </w:p>
    <w:p w14:paraId="133AE48B" w14:textId="77777777" w:rsidR="00081AA1" w:rsidRDefault="00081AA1" w:rsidP="00980C53">
      <w:pPr>
        <w:spacing w:after="240" w:line="276" w:lineRule="auto"/>
        <w:jc w:val="center"/>
        <w:rPr>
          <w:rFonts w:ascii="Century Gothic" w:hAnsi="Century Gothic"/>
          <w:b/>
          <w:color w:val="0E4E7A"/>
          <w:sz w:val="28"/>
        </w:rPr>
      </w:pPr>
    </w:p>
    <w:p w14:paraId="555E5347" w14:textId="77777777" w:rsidR="0080329D" w:rsidRDefault="00951A37" w:rsidP="00980C53">
      <w:pPr>
        <w:spacing w:after="240" w:line="276" w:lineRule="auto"/>
        <w:jc w:val="center"/>
        <w:rPr>
          <w:rFonts w:ascii="Century Gothic" w:hAnsi="Century Gothic"/>
          <w:b/>
        </w:rPr>
      </w:pPr>
      <w:r w:rsidRPr="000B6EC3">
        <w:rPr>
          <w:rFonts w:ascii="Century Gothic" w:hAnsi="Century Gothic"/>
          <w:b/>
          <w:color w:val="0E4E7A"/>
          <w:sz w:val="28"/>
        </w:rPr>
        <w:t xml:space="preserve">Evaluación </w:t>
      </w:r>
      <w:r w:rsidR="0013273A" w:rsidRPr="0013273A">
        <w:rPr>
          <w:rFonts w:ascii="Century Gothic" w:hAnsi="Century Gothic"/>
          <w:b/>
          <w:color w:val="0E4E7A"/>
          <w:sz w:val="28"/>
        </w:rPr>
        <w:t xml:space="preserve">de Procesos </w:t>
      </w:r>
      <w:r w:rsidR="00081AA1">
        <w:rPr>
          <w:rFonts w:ascii="Century Gothic" w:hAnsi="Century Gothic"/>
          <w:b/>
          <w:color w:val="0E4E7A"/>
          <w:sz w:val="28"/>
        </w:rPr>
        <w:t xml:space="preserve">al Fondo de Aportaciones para la </w:t>
      </w:r>
      <w:r w:rsidR="0013273A" w:rsidRPr="0013273A">
        <w:rPr>
          <w:rFonts w:ascii="Century Gothic" w:hAnsi="Century Gothic"/>
          <w:b/>
          <w:color w:val="0E4E7A"/>
          <w:sz w:val="28"/>
        </w:rPr>
        <w:t>Infraestructura Social Estatal (FISE) a través del programa presupuestario “Construcción, Modernización y Mantenimiento de la Infraestructura para el Desarrollo”</w:t>
      </w:r>
      <w:r w:rsidR="00EF2AB0" w:rsidRPr="000B6EC3">
        <w:rPr>
          <w:rFonts w:ascii="Century Gothic" w:hAnsi="Century Gothic"/>
          <w:b/>
          <w:color w:val="0E4E7A"/>
          <w:sz w:val="28"/>
        </w:rPr>
        <w:t>, para el ejercicio fiscal 2016</w:t>
      </w:r>
      <w:r w:rsidR="00EF2AB0" w:rsidRPr="00980C53">
        <w:rPr>
          <w:rFonts w:ascii="Century Gothic" w:hAnsi="Century Gothic"/>
          <w:b/>
        </w:rPr>
        <w:t>.</w:t>
      </w:r>
    </w:p>
    <w:p w14:paraId="1EADC022" w14:textId="77777777" w:rsidR="0080329D" w:rsidRDefault="0080329D">
      <w:pPr>
        <w:rPr>
          <w:rFonts w:ascii="Century Gothic" w:hAnsi="Century Gothic"/>
          <w:b/>
        </w:rPr>
      </w:pPr>
      <w:r>
        <w:rPr>
          <w:rFonts w:ascii="Century Gothic" w:hAnsi="Century Gothic"/>
          <w:b/>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0329D" w:rsidRPr="00C76AF2" w14:paraId="3D5D35BE" w14:textId="77777777" w:rsidTr="0069371D">
        <w:tc>
          <w:tcPr>
            <w:tcW w:w="8838" w:type="dxa"/>
          </w:tcPr>
          <w:p w14:paraId="0AB09D10" w14:textId="77777777" w:rsidR="0080329D" w:rsidRPr="00C76AF2" w:rsidRDefault="0080329D" w:rsidP="0069371D">
            <w:pPr>
              <w:spacing w:line="276" w:lineRule="auto"/>
              <w:contextualSpacing/>
              <w:rPr>
                <w:rFonts w:ascii="Century Gothic" w:hAnsi="Century Gothic"/>
                <w:b/>
                <w:sz w:val="20"/>
                <w:szCs w:val="20"/>
              </w:rPr>
            </w:pPr>
          </w:p>
          <w:p w14:paraId="348637F2" w14:textId="77777777" w:rsidR="0080329D" w:rsidRPr="00C76AF2" w:rsidRDefault="0080329D" w:rsidP="0069371D">
            <w:pPr>
              <w:spacing w:line="276" w:lineRule="auto"/>
              <w:contextualSpacing/>
              <w:rPr>
                <w:rFonts w:ascii="Century Gothic" w:hAnsi="Century Gothic"/>
                <w:b/>
                <w:sz w:val="20"/>
                <w:szCs w:val="20"/>
              </w:rPr>
            </w:pPr>
          </w:p>
          <w:p w14:paraId="1C1CFD2F" w14:textId="77777777" w:rsidR="0080329D" w:rsidRPr="00C76AF2" w:rsidRDefault="0080329D" w:rsidP="0069371D">
            <w:pPr>
              <w:spacing w:line="276" w:lineRule="auto"/>
              <w:contextualSpacing/>
              <w:rPr>
                <w:rFonts w:ascii="Century Gothic" w:hAnsi="Century Gothic"/>
                <w:b/>
                <w:sz w:val="20"/>
                <w:szCs w:val="20"/>
              </w:rPr>
            </w:pPr>
          </w:p>
          <w:p w14:paraId="1F29A561" w14:textId="77777777" w:rsidR="0080329D" w:rsidRPr="00C76AF2" w:rsidRDefault="0080329D" w:rsidP="0069371D">
            <w:pPr>
              <w:spacing w:line="276" w:lineRule="auto"/>
              <w:contextualSpacing/>
              <w:rPr>
                <w:rFonts w:ascii="Century Gothic" w:hAnsi="Century Gothic"/>
                <w:b/>
                <w:sz w:val="20"/>
                <w:szCs w:val="20"/>
              </w:rPr>
            </w:pPr>
          </w:p>
          <w:p w14:paraId="1BBA41A6" w14:textId="77777777" w:rsidR="0080329D" w:rsidRPr="00C76AF2" w:rsidRDefault="0080329D" w:rsidP="0069371D">
            <w:pPr>
              <w:spacing w:line="276" w:lineRule="auto"/>
              <w:contextualSpacing/>
              <w:rPr>
                <w:rFonts w:ascii="Century Gothic" w:hAnsi="Century Gothic"/>
                <w:b/>
                <w:sz w:val="20"/>
                <w:szCs w:val="20"/>
              </w:rPr>
            </w:pPr>
          </w:p>
          <w:p w14:paraId="537534C0" w14:textId="77777777" w:rsidR="0080329D" w:rsidRPr="00C76AF2" w:rsidRDefault="0080329D" w:rsidP="0069371D">
            <w:pPr>
              <w:spacing w:line="276" w:lineRule="auto"/>
              <w:contextualSpacing/>
              <w:rPr>
                <w:rFonts w:ascii="Century Gothic" w:hAnsi="Century Gothic"/>
                <w:b/>
                <w:sz w:val="20"/>
                <w:szCs w:val="20"/>
              </w:rPr>
            </w:pPr>
          </w:p>
          <w:p w14:paraId="52759379" w14:textId="77777777" w:rsidR="0080329D" w:rsidRPr="00C76AF2" w:rsidRDefault="0080329D" w:rsidP="0069371D">
            <w:pPr>
              <w:spacing w:line="276" w:lineRule="auto"/>
              <w:contextualSpacing/>
              <w:rPr>
                <w:rFonts w:ascii="Century Gothic" w:hAnsi="Century Gothic"/>
                <w:b/>
                <w:sz w:val="20"/>
                <w:szCs w:val="20"/>
              </w:rPr>
            </w:pPr>
          </w:p>
          <w:p w14:paraId="03A76E1D" w14:textId="77777777" w:rsidR="0080329D" w:rsidRPr="00C76AF2" w:rsidRDefault="0080329D" w:rsidP="0069371D">
            <w:pPr>
              <w:spacing w:line="276" w:lineRule="auto"/>
              <w:contextualSpacing/>
              <w:rPr>
                <w:rFonts w:ascii="Century Gothic" w:hAnsi="Century Gothic"/>
                <w:b/>
                <w:sz w:val="20"/>
                <w:szCs w:val="20"/>
              </w:rPr>
            </w:pPr>
          </w:p>
          <w:p w14:paraId="49380A41" w14:textId="77777777" w:rsidR="0080329D" w:rsidRPr="00C76AF2" w:rsidRDefault="0080329D" w:rsidP="0069371D">
            <w:pPr>
              <w:spacing w:line="276" w:lineRule="auto"/>
              <w:contextualSpacing/>
              <w:rPr>
                <w:rFonts w:ascii="Century Gothic" w:hAnsi="Century Gothic"/>
                <w:b/>
                <w:sz w:val="20"/>
                <w:szCs w:val="20"/>
              </w:rPr>
            </w:pPr>
          </w:p>
          <w:p w14:paraId="05EE308A" w14:textId="77777777" w:rsidR="0080329D" w:rsidRPr="00C76AF2" w:rsidRDefault="0080329D" w:rsidP="0069371D">
            <w:pPr>
              <w:spacing w:line="276" w:lineRule="auto"/>
              <w:contextualSpacing/>
              <w:rPr>
                <w:rFonts w:ascii="Century Gothic" w:hAnsi="Century Gothic"/>
                <w:b/>
                <w:sz w:val="20"/>
                <w:szCs w:val="20"/>
              </w:rPr>
            </w:pPr>
          </w:p>
          <w:p w14:paraId="1DC8D834" w14:textId="77777777" w:rsidR="0080329D" w:rsidRPr="00C76AF2" w:rsidRDefault="0080329D" w:rsidP="0069371D">
            <w:pPr>
              <w:spacing w:line="276" w:lineRule="auto"/>
              <w:contextualSpacing/>
              <w:rPr>
                <w:rFonts w:ascii="Century Gothic" w:hAnsi="Century Gothic"/>
                <w:b/>
                <w:sz w:val="20"/>
                <w:szCs w:val="20"/>
              </w:rPr>
            </w:pPr>
          </w:p>
          <w:p w14:paraId="3D1B13F7" w14:textId="77777777" w:rsidR="0080329D" w:rsidRPr="00C76AF2" w:rsidRDefault="0080329D" w:rsidP="0069371D">
            <w:pPr>
              <w:spacing w:line="276" w:lineRule="auto"/>
              <w:contextualSpacing/>
              <w:rPr>
                <w:rFonts w:ascii="Century Gothic" w:hAnsi="Century Gothic"/>
                <w:b/>
                <w:sz w:val="20"/>
                <w:szCs w:val="20"/>
              </w:rPr>
            </w:pPr>
          </w:p>
          <w:p w14:paraId="52D9B2BC" w14:textId="77777777" w:rsidR="0080329D" w:rsidRPr="00C76AF2" w:rsidRDefault="0080329D" w:rsidP="0069371D">
            <w:pPr>
              <w:spacing w:line="276" w:lineRule="auto"/>
              <w:contextualSpacing/>
              <w:rPr>
                <w:rFonts w:ascii="Century Gothic" w:hAnsi="Century Gothic"/>
                <w:b/>
                <w:sz w:val="20"/>
                <w:szCs w:val="20"/>
              </w:rPr>
            </w:pPr>
          </w:p>
          <w:p w14:paraId="04AAC57F" w14:textId="77777777" w:rsidR="0080329D" w:rsidRPr="00C76AF2" w:rsidRDefault="0080329D" w:rsidP="0069371D">
            <w:pPr>
              <w:spacing w:line="276" w:lineRule="auto"/>
              <w:contextualSpacing/>
              <w:rPr>
                <w:rFonts w:ascii="Century Gothic" w:hAnsi="Century Gothic"/>
                <w:b/>
                <w:sz w:val="20"/>
                <w:szCs w:val="20"/>
              </w:rPr>
            </w:pPr>
          </w:p>
          <w:p w14:paraId="26673B88" w14:textId="77777777" w:rsidR="0080329D" w:rsidRPr="00C76AF2" w:rsidRDefault="0080329D" w:rsidP="0069371D">
            <w:pPr>
              <w:spacing w:line="276" w:lineRule="auto"/>
              <w:contextualSpacing/>
              <w:rPr>
                <w:rFonts w:ascii="Century Gothic" w:hAnsi="Century Gothic"/>
                <w:b/>
                <w:sz w:val="20"/>
                <w:szCs w:val="20"/>
              </w:rPr>
            </w:pPr>
          </w:p>
          <w:p w14:paraId="61639231" w14:textId="77777777" w:rsidR="0080329D" w:rsidRPr="00C76AF2" w:rsidRDefault="0080329D" w:rsidP="0069371D">
            <w:pPr>
              <w:spacing w:line="276" w:lineRule="auto"/>
              <w:contextualSpacing/>
              <w:rPr>
                <w:rFonts w:ascii="Century Gothic" w:hAnsi="Century Gothic"/>
                <w:b/>
                <w:sz w:val="20"/>
                <w:szCs w:val="20"/>
              </w:rPr>
            </w:pPr>
          </w:p>
          <w:p w14:paraId="43EC4E12" w14:textId="77777777" w:rsidR="0080329D" w:rsidRPr="00C76AF2" w:rsidRDefault="0080329D" w:rsidP="0069371D">
            <w:pPr>
              <w:spacing w:line="276" w:lineRule="auto"/>
              <w:contextualSpacing/>
              <w:rPr>
                <w:rFonts w:ascii="Century Gothic" w:hAnsi="Century Gothic"/>
                <w:b/>
                <w:sz w:val="20"/>
                <w:szCs w:val="20"/>
              </w:rPr>
            </w:pPr>
          </w:p>
          <w:p w14:paraId="5B7BF46F" w14:textId="77777777" w:rsidR="0080329D" w:rsidRPr="00C76AF2" w:rsidRDefault="0080329D" w:rsidP="0069371D">
            <w:pPr>
              <w:spacing w:line="276" w:lineRule="auto"/>
              <w:contextualSpacing/>
              <w:rPr>
                <w:rFonts w:ascii="Century Gothic" w:hAnsi="Century Gothic"/>
                <w:b/>
                <w:sz w:val="20"/>
                <w:szCs w:val="20"/>
              </w:rPr>
            </w:pPr>
            <w:r w:rsidRPr="00C76AF2">
              <w:rPr>
                <w:rFonts w:ascii="Century Gothic" w:hAnsi="Century Gothic"/>
                <w:b/>
                <w:sz w:val="20"/>
                <w:szCs w:val="20"/>
              </w:rPr>
              <w:t xml:space="preserve">Nombre de la evaluación: </w:t>
            </w:r>
          </w:p>
        </w:tc>
      </w:tr>
      <w:tr w:rsidR="0080329D" w:rsidRPr="00C76AF2" w14:paraId="253EF05D" w14:textId="77777777" w:rsidTr="0069371D">
        <w:tc>
          <w:tcPr>
            <w:tcW w:w="8838" w:type="dxa"/>
          </w:tcPr>
          <w:p w14:paraId="3BE397AF" w14:textId="77777777" w:rsidR="0080329D" w:rsidRPr="00C76AF2" w:rsidRDefault="00081AA1" w:rsidP="0013273A">
            <w:pPr>
              <w:jc w:val="both"/>
              <w:rPr>
                <w:rFonts w:ascii="Century Gothic" w:hAnsi="Century Gothic"/>
                <w:b/>
                <w:sz w:val="20"/>
                <w:szCs w:val="20"/>
              </w:rPr>
            </w:pPr>
            <w:r w:rsidRPr="00081AA1">
              <w:rPr>
                <w:rFonts w:ascii="Century Gothic" w:hAnsi="Century Gothic"/>
                <w:sz w:val="20"/>
                <w:szCs w:val="20"/>
              </w:rPr>
              <w:t>Evaluación de Procesos al Fondo de Aportaciones para la Infraestructura Social Estatal (FISE) a través del programa presupuestario “Construcción, Modernización y Mantenimiento de la Infraestructura para el Desarrollo”, para el ejercicio fiscal 2016</w:t>
            </w:r>
            <w:r w:rsidR="0080329D" w:rsidRPr="00C76AF2">
              <w:rPr>
                <w:rFonts w:ascii="Century Gothic" w:hAnsi="Century Gothic"/>
                <w:sz w:val="20"/>
                <w:szCs w:val="20"/>
              </w:rPr>
              <w:t>.</w:t>
            </w:r>
          </w:p>
        </w:tc>
      </w:tr>
      <w:tr w:rsidR="0080329D" w:rsidRPr="00C76AF2" w14:paraId="307EC142" w14:textId="77777777" w:rsidTr="0069371D">
        <w:tc>
          <w:tcPr>
            <w:tcW w:w="8838" w:type="dxa"/>
          </w:tcPr>
          <w:p w14:paraId="7A97E6D0" w14:textId="77777777" w:rsidR="0080329D" w:rsidRPr="00C76AF2" w:rsidRDefault="0080329D" w:rsidP="0069371D">
            <w:pPr>
              <w:contextualSpacing/>
              <w:jc w:val="both"/>
              <w:rPr>
                <w:rFonts w:ascii="Century Gothic" w:hAnsi="Century Gothic"/>
                <w:sz w:val="12"/>
                <w:szCs w:val="20"/>
              </w:rPr>
            </w:pPr>
          </w:p>
        </w:tc>
      </w:tr>
      <w:tr w:rsidR="0080329D" w:rsidRPr="00C76AF2" w14:paraId="793A58B3" w14:textId="77777777" w:rsidTr="0069371D">
        <w:tc>
          <w:tcPr>
            <w:tcW w:w="8838" w:type="dxa"/>
          </w:tcPr>
          <w:p w14:paraId="09C8D905" w14:textId="77777777" w:rsidR="0080329D" w:rsidRPr="00C76AF2" w:rsidRDefault="0080329D" w:rsidP="0069371D">
            <w:pPr>
              <w:spacing w:line="276" w:lineRule="auto"/>
              <w:contextualSpacing/>
              <w:jc w:val="both"/>
              <w:rPr>
                <w:rFonts w:ascii="Century Gothic" w:hAnsi="Century Gothic"/>
                <w:b/>
                <w:sz w:val="20"/>
                <w:szCs w:val="20"/>
              </w:rPr>
            </w:pPr>
            <w:r w:rsidRPr="00C76AF2">
              <w:rPr>
                <w:rFonts w:ascii="Century Gothic" w:hAnsi="Century Gothic"/>
                <w:b/>
                <w:sz w:val="20"/>
                <w:szCs w:val="20"/>
              </w:rPr>
              <w:t>Fecha de inicio de la evaluación:</w:t>
            </w:r>
            <w:r w:rsidRPr="00C76AF2">
              <w:rPr>
                <w:rFonts w:ascii="Century Gothic" w:hAnsi="Century Gothic"/>
                <w:sz w:val="20"/>
                <w:szCs w:val="20"/>
              </w:rPr>
              <w:t xml:space="preserve"> </w:t>
            </w:r>
          </w:p>
        </w:tc>
      </w:tr>
      <w:tr w:rsidR="0080329D" w:rsidRPr="00C76AF2" w14:paraId="492844E4" w14:textId="77777777" w:rsidTr="0069371D">
        <w:tc>
          <w:tcPr>
            <w:tcW w:w="8838" w:type="dxa"/>
          </w:tcPr>
          <w:p w14:paraId="4E69BA98" w14:textId="77777777" w:rsidR="0080329D" w:rsidRPr="00C76AF2" w:rsidRDefault="00C76AF2" w:rsidP="0069371D">
            <w:pPr>
              <w:spacing w:line="276" w:lineRule="auto"/>
              <w:contextualSpacing/>
              <w:jc w:val="both"/>
              <w:rPr>
                <w:rFonts w:ascii="Century Gothic" w:hAnsi="Century Gothic"/>
                <w:sz w:val="20"/>
                <w:szCs w:val="20"/>
              </w:rPr>
            </w:pPr>
            <w:r w:rsidRPr="00C76AF2">
              <w:rPr>
                <w:rFonts w:ascii="Century Gothic" w:hAnsi="Century Gothic"/>
                <w:sz w:val="20"/>
                <w:szCs w:val="20"/>
              </w:rPr>
              <w:t>4 de Diciembre de 2017</w:t>
            </w:r>
          </w:p>
        </w:tc>
      </w:tr>
      <w:tr w:rsidR="0080329D" w:rsidRPr="00C76AF2" w14:paraId="5CBE28A1" w14:textId="77777777" w:rsidTr="0069371D">
        <w:tc>
          <w:tcPr>
            <w:tcW w:w="8838" w:type="dxa"/>
          </w:tcPr>
          <w:p w14:paraId="28E7B958" w14:textId="77777777" w:rsidR="0080329D" w:rsidRPr="00C76AF2" w:rsidRDefault="0080329D" w:rsidP="0069371D">
            <w:pPr>
              <w:contextualSpacing/>
              <w:jc w:val="both"/>
              <w:rPr>
                <w:rFonts w:ascii="Century Gothic" w:hAnsi="Century Gothic"/>
                <w:sz w:val="12"/>
                <w:szCs w:val="20"/>
              </w:rPr>
            </w:pPr>
          </w:p>
        </w:tc>
      </w:tr>
      <w:tr w:rsidR="0080329D" w:rsidRPr="00C76AF2" w14:paraId="019940C5" w14:textId="77777777" w:rsidTr="0069371D">
        <w:tc>
          <w:tcPr>
            <w:tcW w:w="8838" w:type="dxa"/>
          </w:tcPr>
          <w:p w14:paraId="06298328" w14:textId="77777777" w:rsidR="0080329D" w:rsidRPr="00C76AF2" w:rsidRDefault="0080329D" w:rsidP="0069371D">
            <w:pPr>
              <w:spacing w:line="276" w:lineRule="auto"/>
              <w:contextualSpacing/>
              <w:jc w:val="both"/>
              <w:rPr>
                <w:rFonts w:ascii="Century Gothic" w:hAnsi="Century Gothic"/>
                <w:b/>
                <w:sz w:val="20"/>
                <w:szCs w:val="20"/>
              </w:rPr>
            </w:pPr>
            <w:r w:rsidRPr="00C76AF2">
              <w:rPr>
                <w:rFonts w:ascii="Century Gothic" w:hAnsi="Century Gothic"/>
                <w:b/>
                <w:sz w:val="20"/>
                <w:szCs w:val="20"/>
              </w:rPr>
              <w:t xml:space="preserve">Fecha de término de la evaluación: </w:t>
            </w:r>
          </w:p>
        </w:tc>
      </w:tr>
      <w:tr w:rsidR="0080329D" w:rsidRPr="00C76AF2" w14:paraId="6251D978" w14:textId="77777777" w:rsidTr="0069371D">
        <w:tc>
          <w:tcPr>
            <w:tcW w:w="8838" w:type="dxa"/>
          </w:tcPr>
          <w:p w14:paraId="6F56719F" w14:textId="6D684D31" w:rsidR="0080329D" w:rsidRPr="00C76AF2" w:rsidRDefault="00840C94" w:rsidP="0069371D">
            <w:pPr>
              <w:contextualSpacing/>
              <w:jc w:val="both"/>
              <w:rPr>
                <w:rFonts w:ascii="Century Gothic" w:hAnsi="Century Gothic"/>
                <w:sz w:val="20"/>
                <w:szCs w:val="20"/>
              </w:rPr>
            </w:pPr>
            <w:r>
              <w:rPr>
                <w:rFonts w:ascii="Century Gothic" w:hAnsi="Century Gothic"/>
                <w:sz w:val="20"/>
                <w:szCs w:val="20"/>
              </w:rPr>
              <w:t>30</w:t>
            </w:r>
            <w:r w:rsidR="00C76AF2">
              <w:rPr>
                <w:rFonts w:ascii="Century Gothic" w:hAnsi="Century Gothic"/>
                <w:sz w:val="20"/>
                <w:szCs w:val="20"/>
              </w:rPr>
              <w:t xml:space="preserve"> de abril de 2018</w:t>
            </w:r>
          </w:p>
        </w:tc>
      </w:tr>
      <w:tr w:rsidR="0080329D" w:rsidRPr="00C76AF2" w14:paraId="14B9B8B3" w14:textId="77777777" w:rsidTr="0069371D">
        <w:tc>
          <w:tcPr>
            <w:tcW w:w="8838" w:type="dxa"/>
          </w:tcPr>
          <w:p w14:paraId="7910CDF2" w14:textId="77777777" w:rsidR="0080329D" w:rsidRPr="00C76AF2" w:rsidRDefault="0080329D" w:rsidP="0069371D">
            <w:pPr>
              <w:contextualSpacing/>
              <w:jc w:val="both"/>
              <w:rPr>
                <w:rFonts w:ascii="Century Gothic" w:hAnsi="Century Gothic"/>
                <w:sz w:val="12"/>
                <w:szCs w:val="20"/>
              </w:rPr>
            </w:pPr>
          </w:p>
        </w:tc>
      </w:tr>
      <w:tr w:rsidR="00C76AF2" w:rsidRPr="00C76AF2" w14:paraId="0170C7E2" w14:textId="77777777" w:rsidTr="0069371D">
        <w:tc>
          <w:tcPr>
            <w:tcW w:w="8838" w:type="dxa"/>
          </w:tcPr>
          <w:p w14:paraId="33EF6134" w14:textId="77777777" w:rsidR="00C76AF2" w:rsidRPr="00822BC1" w:rsidRDefault="00C76AF2" w:rsidP="0069371D">
            <w:pPr>
              <w:jc w:val="both"/>
              <w:rPr>
                <w:rFonts w:ascii="Century Gothic" w:hAnsi="Century Gothic"/>
                <w:b/>
                <w:sz w:val="20"/>
                <w:szCs w:val="20"/>
              </w:rPr>
            </w:pPr>
            <w:r w:rsidRPr="00822BC1">
              <w:rPr>
                <w:rFonts w:ascii="Century Gothic" w:hAnsi="Century Gothic"/>
                <w:b/>
                <w:sz w:val="20"/>
                <w:szCs w:val="20"/>
              </w:rPr>
              <w:t xml:space="preserve">Unidad Administrativa responsable de dar seguimiento a la evaluación: </w:t>
            </w:r>
          </w:p>
        </w:tc>
      </w:tr>
      <w:tr w:rsidR="00C76AF2" w:rsidRPr="00C76AF2" w14:paraId="42BD236C" w14:textId="77777777" w:rsidTr="0069371D">
        <w:tc>
          <w:tcPr>
            <w:tcW w:w="8838" w:type="dxa"/>
          </w:tcPr>
          <w:p w14:paraId="5EB0E139" w14:textId="77777777" w:rsidR="00C76AF2" w:rsidRPr="002871EF" w:rsidRDefault="00C76AF2" w:rsidP="00C76AF2">
            <w:pPr>
              <w:jc w:val="both"/>
              <w:rPr>
                <w:rFonts w:ascii="Century Gothic" w:hAnsi="Century Gothic"/>
                <w:sz w:val="20"/>
                <w:szCs w:val="20"/>
              </w:rPr>
            </w:pPr>
            <w:r w:rsidRPr="002871EF">
              <w:rPr>
                <w:rFonts w:ascii="Century Gothic" w:hAnsi="Century Gothic"/>
                <w:sz w:val="20"/>
                <w:szCs w:val="20"/>
              </w:rPr>
              <w:t>Secretaría de Planeación y Finanzas</w:t>
            </w:r>
            <w:r>
              <w:rPr>
                <w:rFonts w:ascii="Century Gothic" w:hAnsi="Century Gothic"/>
                <w:sz w:val="20"/>
                <w:szCs w:val="20"/>
              </w:rPr>
              <w:t xml:space="preserve">, </w:t>
            </w:r>
            <w:r w:rsidRPr="002871EF">
              <w:rPr>
                <w:rFonts w:ascii="Century Gothic" w:hAnsi="Century Gothic"/>
                <w:sz w:val="20"/>
                <w:szCs w:val="20"/>
              </w:rPr>
              <w:t>Dirección General de Planeación y Contro</w:t>
            </w:r>
            <w:r>
              <w:rPr>
                <w:rFonts w:ascii="Century Gothic" w:hAnsi="Century Gothic"/>
                <w:sz w:val="20"/>
                <w:szCs w:val="20"/>
              </w:rPr>
              <w:t>l</w:t>
            </w:r>
          </w:p>
        </w:tc>
      </w:tr>
      <w:tr w:rsidR="00C76AF2" w:rsidRPr="00C76AF2" w14:paraId="68246346" w14:textId="77777777" w:rsidTr="0069371D">
        <w:tc>
          <w:tcPr>
            <w:tcW w:w="8838" w:type="dxa"/>
          </w:tcPr>
          <w:p w14:paraId="6D04B1C2" w14:textId="77777777" w:rsidR="00C76AF2" w:rsidRPr="00C76AF2" w:rsidRDefault="00C76AF2" w:rsidP="0069371D">
            <w:pPr>
              <w:spacing w:line="276" w:lineRule="auto"/>
              <w:contextualSpacing/>
              <w:jc w:val="both"/>
              <w:rPr>
                <w:rFonts w:ascii="Century Gothic" w:hAnsi="Century Gothic"/>
                <w:sz w:val="12"/>
                <w:szCs w:val="20"/>
              </w:rPr>
            </w:pPr>
          </w:p>
        </w:tc>
      </w:tr>
      <w:tr w:rsidR="00C76AF2" w:rsidRPr="00C76AF2" w14:paraId="5AA27D9F" w14:textId="77777777" w:rsidTr="0069371D">
        <w:tc>
          <w:tcPr>
            <w:tcW w:w="8838" w:type="dxa"/>
          </w:tcPr>
          <w:p w14:paraId="570161C0" w14:textId="77777777" w:rsidR="00C76AF2" w:rsidRPr="001B63D3" w:rsidRDefault="00C76AF2" w:rsidP="0069371D">
            <w:pPr>
              <w:jc w:val="both"/>
              <w:rPr>
                <w:rFonts w:ascii="Century Gothic" w:hAnsi="Century Gothic"/>
                <w:b/>
                <w:sz w:val="20"/>
                <w:szCs w:val="20"/>
              </w:rPr>
            </w:pPr>
            <w:r w:rsidRPr="001B63D3">
              <w:rPr>
                <w:rFonts w:ascii="Century Gothic" w:hAnsi="Century Gothic"/>
                <w:b/>
                <w:sz w:val="20"/>
                <w:szCs w:val="20"/>
              </w:rPr>
              <w:t>Titular de la Unidad Administrativa responsable de dar seguimiento a la evaluación:</w:t>
            </w:r>
          </w:p>
          <w:p w14:paraId="6B0FDD1C" w14:textId="77777777" w:rsidR="00C76AF2" w:rsidRPr="00822BC1" w:rsidRDefault="00C76AF2" w:rsidP="0069371D">
            <w:pPr>
              <w:jc w:val="both"/>
              <w:rPr>
                <w:rFonts w:ascii="Century Gothic" w:hAnsi="Century Gothic"/>
                <w:b/>
                <w:sz w:val="20"/>
                <w:szCs w:val="20"/>
              </w:rPr>
            </w:pPr>
            <w:r w:rsidRPr="00FF579E">
              <w:rPr>
                <w:rFonts w:ascii="Century Gothic" w:hAnsi="Century Gothic"/>
                <w:sz w:val="20"/>
                <w:szCs w:val="20"/>
              </w:rPr>
              <w:t>Mtro. Eduardo Rosales Ochoa</w:t>
            </w:r>
          </w:p>
        </w:tc>
      </w:tr>
      <w:tr w:rsidR="00C76AF2" w:rsidRPr="00C76AF2" w14:paraId="4D6093D7" w14:textId="77777777" w:rsidTr="0069371D">
        <w:trPr>
          <w:trHeight w:val="176"/>
        </w:trPr>
        <w:tc>
          <w:tcPr>
            <w:tcW w:w="8838" w:type="dxa"/>
          </w:tcPr>
          <w:p w14:paraId="26BA1FBE" w14:textId="77777777" w:rsidR="00C76AF2" w:rsidRPr="00C76AF2" w:rsidRDefault="00C76AF2" w:rsidP="0069371D">
            <w:pPr>
              <w:spacing w:line="276" w:lineRule="auto"/>
              <w:contextualSpacing/>
              <w:jc w:val="both"/>
              <w:rPr>
                <w:rFonts w:ascii="Century Gothic" w:hAnsi="Century Gothic"/>
                <w:sz w:val="12"/>
                <w:szCs w:val="20"/>
              </w:rPr>
            </w:pPr>
          </w:p>
        </w:tc>
      </w:tr>
      <w:tr w:rsidR="00C76AF2" w:rsidRPr="00C76AF2" w14:paraId="64C43558" w14:textId="77777777" w:rsidTr="0069371D">
        <w:tc>
          <w:tcPr>
            <w:tcW w:w="8838" w:type="dxa"/>
          </w:tcPr>
          <w:p w14:paraId="0D147474" w14:textId="77777777" w:rsidR="00C76AF2" w:rsidRPr="00C76AF2" w:rsidRDefault="00C76AF2" w:rsidP="0069371D">
            <w:pPr>
              <w:spacing w:line="276" w:lineRule="auto"/>
              <w:contextualSpacing/>
              <w:jc w:val="both"/>
              <w:rPr>
                <w:rFonts w:ascii="Century Gothic" w:hAnsi="Century Gothic"/>
                <w:b/>
                <w:sz w:val="20"/>
                <w:szCs w:val="20"/>
              </w:rPr>
            </w:pPr>
            <w:r w:rsidRPr="00C76AF2">
              <w:rPr>
                <w:rFonts w:ascii="Century Gothic" w:hAnsi="Century Gothic"/>
                <w:b/>
                <w:sz w:val="20"/>
                <w:szCs w:val="20"/>
              </w:rPr>
              <w:t>Principales colaboradores:</w:t>
            </w:r>
            <w:r w:rsidRPr="00C76AF2">
              <w:rPr>
                <w:rFonts w:ascii="Century Gothic" w:hAnsi="Century Gothic"/>
                <w:sz w:val="20"/>
                <w:szCs w:val="20"/>
              </w:rPr>
              <w:t xml:space="preserve"> </w:t>
            </w:r>
          </w:p>
        </w:tc>
      </w:tr>
      <w:tr w:rsidR="00C76AF2" w:rsidRPr="00C76AF2" w14:paraId="57A3DC29" w14:textId="77777777" w:rsidTr="0069371D">
        <w:tc>
          <w:tcPr>
            <w:tcW w:w="8838" w:type="dxa"/>
          </w:tcPr>
          <w:p w14:paraId="49791AE1" w14:textId="1EC92D09" w:rsidR="00C76AF2" w:rsidRDefault="00E7371C" w:rsidP="0069371D">
            <w:pPr>
              <w:pStyle w:val="m7602841390528739651msonormal"/>
              <w:shd w:val="clear" w:color="auto" w:fill="FFFFFF"/>
              <w:spacing w:before="0" w:beforeAutospacing="0" w:after="0" w:afterAutospacing="0"/>
              <w:jc w:val="both"/>
              <w:rPr>
                <w:rFonts w:ascii="Century Gothic" w:eastAsiaTheme="minorHAnsi" w:hAnsi="Century Gothic" w:cstheme="minorBidi"/>
                <w:sz w:val="20"/>
                <w:szCs w:val="20"/>
                <w:lang w:eastAsia="en-US"/>
              </w:rPr>
            </w:pPr>
            <w:r>
              <w:rPr>
                <w:rFonts w:ascii="Century Gothic" w:eastAsiaTheme="minorHAnsi" w:hAnsi="Century Gothic" w:cstheme="minorBidi"/>
                <w:sz w:val="20"/>
                <w:szCs w:val="20"/>
                <w:lang w:eastAsia="en-US"/>
              </w:rPr>
              <w:t xml:space="preserve">M.C. </w:t>
            </w:r>
            <w:r w:rsidR="00C76AF2">
              <w:rPr>
                <w:rFonts w:ascii="Century Gothic" w:eastAsiaTheme="minorHAnsi" w:hAnsi="Century Gothic" w:cstheme="minorBidi"/>
                <w:sz w:val="20"/>
                <w:szCs w:val="20"/>
                <w:lang w:eastAsia="en-US"/>
              </w:rPr>
              <w:t xml:space="preserve">Guadalupe </w:t>
            </w:r>
            <w:r w:rsidR="00C76AF2" w:rsidRPr="00FF579E">
              <w:rPr>
                <w:rFonts w:ascii="Century Gothic" w:eastAsiaTheme="minorHAnsi" w:hAnsi="Century Gothic" w:cstheme="minorBidi"/>
                <w:sz w:val="20"/>
                <w:szCs w:val="20"/>
                <w:lang w:eastAsia="en-US"/>
              </w:rPr>
              <w:t>Ariadna Flores Santana</w:t>
            </w:r>
          </w:p>
          <w:p w14:paraId="763908CB" w14:textId="77777777" w:rsidR="00E7371C" w:rsidRDefault="00E7371C" w:rsidP="0069371D">
            <w:pPr>
              <w:pStyle w:val="m7602841390528739651msonormal"/>
              <w:shd w:val="clear" w:color="auto" w:fill="FFFFFF"/>
              <w:spacing w:before="0" w:beforeAutospacing="0" w:after="0" w:afterAutospacing="0"/>
              <w:jc w:val="both"/>
              <w:rPr>
                <w:rFonts w:ascii="Century Gothic" w:eastAsiaTheme="minorHAnsi" w:hAnsi="Century Gothic" w:cstheme="minorBidi"/>
                <w:sz w:val="20"/>
                <w:szCs w:val="20"/>
                <w:lang w:eastAsia="en-US"/>
              </w:rPr>
            </w:pPr>
            <w:r>
              <w:rPr>
                <w:rFonts w:ascii="Century Gothic" w:eastAsiaTheme="minorHAnsi" w:hAnsi="Century Gothic" w:cstheme="minorBidi"/>
                <w:sz w:val="20"/>
                <w:szCs w:val="20"/>
                <w:lang w:eastAsia="en-US"/>
              </w:rPr>
              <w:t>Ing. Armando Córdova Ramírez</w:t>
            </w:r>
          </w:p>
          <w:p w14:paraId="50EE8BF4" w14:textId="77777777" w:rsidR="00E7371C" w:rsidRDefault="00E7371C" w:rsidP="0069371D">
            <w:pPr>
              <w:pStyle w:val="m7602841390528739651msonormal"/>
              <w:shd w:val="clear" w:color="auto" w:fill="FFFFFF"/>
              <w:spacing w:before="0" w:beforeAutospacing="0" w:after="0" w:afterAutospacing="0"/>
              <w:jc w:val="both"/>
              <w:rPr>
                <w:rFonts w:ascii="Century Gothic" w:eastAsiaTheme="minorHAnsi" w:hAnsi="Century Gothic" w:cstheme="minorBidi"/>
                <w:sz w:val="20"/>
                <w:szCs w:val="20"/>
                <w:lang w:eastAsia="en-US"/>
              </w:rPr>
            </w:pPr>
            <w:r>
              <w:rPr>
                <w:rFonts w:ascii="Century Gothic" w:eastAsiaTheme="minorHAnsi" w:hAnsi="Century Gothic" w:cstheme="minorBidi"/>
                <w:sz w:val="20"/>
                <w:szCs w:val="20"/>
                <w:lang w:eastAsia="en-US"/>
              </w:rPr>
              <w:t>C.P. J. Guadalupe Caro León</w:t>
            </w:r>
          </w:p>
          <w:p w14:paraId="498F7004" w14:textId="77777777" w:rsidR="00E7371C" w:rsidRDefault="00E7371C" w:rsidP="0069371D">
            <w:pPr>
              <w:pStyle w:val="m7602841390528739651msonormal"/>
              <w:shd w:val="clear" w:color="auto" w:fill="FFFFFF"/>
              <w:spacing w:before="0" w:beforeAutospacing="0" w:after="0" w:afterAutospacing="0"/>
              <w:jc w:val="both"/>
              <w:rPr>
                <w:rFonts w:ascii="Century Gothic" w:eastAsiaTheme="minorHAnsi" w:hAnsi="Century Gothic" w:cstheme="minorBidi"/>
                <w:sz w:val="20"/>
                <w:szCs w:val="20"/>
                <w:lang w:eastAsia="en-US"/>
              </w:rPr>
            </w:pPr>
            <w:r>
              <w:rPr>
                <w:rFonts w:ascii="Century Gothic" w:eastAsiaTheme="minorHAnsi" w:hAnsi="Century Gothic" w:cstheme="minorBidi"/>
                <w:sz w:val="20"/>
                <w:szCs w:val="20"/>
                <w:lang w:eastAsia="en-US"/>
              </w:rPr>
              <w:t>Lic. César Esteban Mancilla Ramírez</w:t>
            </w:r>
          </w:p>
          <w:p w14:paraId="563F5B71" w14:textId="5B3F3E6C" w:rsidR="00E7371C" w:rsidRPr="00C76AF2" w:rsidRDefault="00E7371C" w:rsidP="0069371D">
            <w:pPr>
              <w:pStyle w:val="m7602841390528739651msonormal"/>
              <w:shd w:val="clear" w:color="auto" w:fill="FFFFFF"/>
              <w:spacing w:before="0" w:beforeAutospacing="0" w:after="0" w:afterAutospacing="0"/>
              <w:jc w:val="both"/>
              <w:rPr>
                <w:rFonts w:ascii="Century Gothic" w:hAnsi="Century Gothic"/>
                <w:sz w:val="20"/>
                <w:szCs w:val="20"/>
              </w:rPr>
            </w:pPr>
            <w:r>
              <w:rPr>
                <w:rFonts w:ascii="Century Gothic" w:eastAsiaTheme="minorHAnsi" w:hAnsi="Century Gothic" w:cstheme="minorBidi"/>
                <w:sz w:val="20"/>
                <w:szCs w:val="20"/>
                <w:lang w:eastAsia="en-US"/>
              </w:rPr>
              <w:t>Lic. Lorena Alejandra Hernández Hernández</w:t>
            </w:r>
          </w:p>
        </w:tc>
      </w:tr>
      <w:tr w:rsidR="00C76AF2" w:rsidRPr="00C76AF2" w14:paraId="30A5F6A9" w14:textId="77777777" w:rsidTr="0069371D">
        <w:tc>
          <w:tcPr>
            <w:tcW w:w="8838" w:type="dxa"/>
          </w:tcPr>
          <w:p w14:paraId="4441F021" w14:textId="77777777" w:rsidR="00C76AF2" w:rsidRPr="00C76AF2" w:rsidRDefault="00C76AF2" w:rsidP="0069371D">
            <w:pPr>
              <w:pStyle w:val="m7602841390528739651msonormal"/>
              <w:shd w:val="clear" w:color="auto" w:fill="FFFFFF"/>
              <w:spacing w:before="0" w:beforeAutospacing="0" w:after="0" w:afterAutospacing="0"/>
              <w:jc w:val="both"/>
              <w:rPr>
                <w:rFonts w:ascii="Century Gothic" w:hAnsi="Century Gothic" w:cs="Arial"/>
                <w:sz w:val="12"/>
                <w:szCs w:val="20"/>
              </w:rPr>
            </w:pPr>
          </w:p>
        </w:tc>
      </w:tr>
      <w:tr w:rsidR="00C76AF2" w:rsidRPr="00C76AF2" w14:paraId="61443FDF" w14:textId="77777777" w:rsidTr="0069371D">
        <w:trPr>
          <w:trHeight w:val="80"/>
        </w:trPr>
        <w:tc>
          <w:tcPr>
            <w:tcW w:w="8838" w:type="dxa"/>
          </w:tcPr>
          <w:p w14:paraId="69F46E9C" w14:textId="77777777" w:rsidR="00C76AF2" w:rsidRPr="00C76AF2" w:rsidRDefault="00C76AF2" w:rsidP="0069371D">
            <w:pPr>
              <w:spacing w:line="276" w:lineRule="auto"/>
              <w:contextualSpacing/>
              <w:jc w:val="both"/>
              <w:rPr>
                <w:rFonts w:ascii="Century Gothic" w:hAnsi="Century Gothic"/>
                <w:b/>
                <w:sz w:val="20"/>
                <w:szCs w:val="20"/>
              </w:rPr>
            </w:pPr>
            <w:r w:rsidRPr="00C76AF2">
              <w:rPr>
                <w:rFonts w:ascii="Century Gothic" w:hAnsi="Century Gothic"/>
                <w:b/>
                <w:sz w:val="20"/>
                <w:szCs w:val="20"/>
              </w:rPr>
              <w:t>Instancia Evaluadora:</w:t>
            </w:r>
          </w:p>
        </w:tc>
      </w:tr>
      <w:tr w:rsidR="00C76AF2" w:rsidRPr="00C76AF2" w14:paraId="1B4F2651" w14:textId="77777777" w:rsidTr="0069371D">
        <w:tc>
          <w:tcPr>
            <w:tcW w:w="8838" w:type="dxa"/>
          </w:tcPr>
          <w:p w14:paraId="125328C1" w14:textId="77777777" w:rsidR="00C76AF2" w:rsidRPr="00C76AF2" w:rsidRDefault="00C76AF2" w:rsidP="0069371D">
            <w:pPr>
              <w:spacing w:line="276" w:lineRule="auto"/>
              <w:contextualSpacing/>
              <w:jc w:val="both"/>
              <w:rPr>
                <w:rFonts w:ascii="Century Gothic" w:hAnsi="Century Gothic"/>
                <w:sz w:val="20"/>
                <w:szCs w:val="20"/>
              </w:rPr>
            </w:pPr>
            <w:r w:rsidRPr="00C76AF2">
              <w:rPr>
                <w:rFonts w:ascii="Century Gothic" w:hAnsi="Century Gothic"/>
                <w:sz w:val="20"/>
                <w:szCs w:val="20"/>
              </w:rPr>
              <w:t>Tecnología Social para el Desarrollo SA de CV</w:t>
            </w:r>
          </w:p>
        </w:tc>
      </w:tr>
      <w:tr w:rsidR="00C76AF2" w:rsidRPr="00C76AF2" w14:paraId="6131154A" w14:textId="77777777" w:rsidTr="0069371D">
        <w:tc>
          <w:tcPr>
            <w:tcW w:w="8838" w:type="dxa"/>
          </w:tcPr>
          <w:p w14:paraId="467DBFBA" w14:textId="77777777" w:rsidR="00C76AF2" w:rsidRPr="00C76AF2" w:rsidRDefault="00C76AF2" w:rsidP="0069371D">
            <w:pPr>
              <w:contextualSpacing/>
              <w:jc w:val="both"/>
              <w:rPr>
                <w:rFonts w:ascii="Century Gothic" w:hAnsi="Century Gothic"/>
                <w:sz w:val="12"/>
                <w:szCs w:val="20"/>
              </w:rPr>
            </w:pPr>
          </w:p>
        </w:tc>
      </w:tr>
      <w:tr w:rsidR="00C76AF2" w:rsidRPr="00C76AF2" w14:paraId="3A9314B4" w14:textId="77777777" w:rsidTr="0069371D">
        <w:tc>
          <w:tcPr>
            <w:tcW w:w="8838" w:type="dxa"/>
          </w:tcPr>
          <w:p w14:paraId="330AA61A" w14:textId="77777777" w:rsidR="00C76AF2" w:rsidRPr="00C76AF2" w:rsidRDefault="00C76AF2" w:rsidP="0069371D">
            <w:pPr>
              <w:spacing w:line="276" w:lineRule="auto"/>
              <w:contextualSpacing/>
              <w:jc w:val="both"/>
              <w:rPr>
                <w:rFonts w:ascii="Century Gothic" w:hAnsi="Century Gothic"/>
                <w:b/>
                <w:sz w:val="20"/>
                <w:szCs w:val="20"/>
              </w:rPr>
            </w:pPr>
            <w:r w:rsidRPr="00C76AF2">
              <w:rPr>
                <w:rFonts w:ascii="Century Gothic" w:hAnsi="Century Gothic"/>
                <w:b/>
                <w:sz w:val="20"/>
                <w:szCs w:val="20"/>
              </w:rPr>
              <w:t xml:space="preserve">Coordinador de la evaluación: </w:t>
            </w:r>
          </w:p>
        </w:tc>
      </w:tr>
      <w:tr w:rsidR="00C76AF2" w:rsidRPr="00C76AF2" w14:paraId="5FCAD35D" w14:textId="77777777" w:rsidTr="0069371D">
        <w:tc>
          <w:tcPr>
            <w:tcW w:w="8838" w:type="dxa"/>
          </w:tcPr>
          <w:p w14:paraId="378E0E64" w14:textId="77777777" w:rsidR="00C76AF2" w:rsidRPr="00C76AF2" w:rsidRDefault="00C76AF2" w:rsidP="0069371D">
            <w:pPr>
              <w:contextualSpacing/>
              <w:jc w:val="both"/>
              <w:rPr>
                <w:rFonts w:ascii="Century Gothic" w:hAnsi="Century Gothic"/>
                <w:sz w:val="20"/>
                <w:szCs w:val="20"/>
              </w:rPr>
            </w:pPr>
            <w:r w:rsidRPr="00C76AF2">
              <w:rPr>
                <w:rFonts w:ascii="Century Gothic" w:hAnsi="Century Gothic" w:cs="Arial"/>
                <w:sz w:val="20"/>
                <w:szCs w:val="20"/>
              </w:rPr>
              <w:t>Víctor Manuel Fajardo Correa</w:t>
            </w:r>
          </w:p>
        </w:tc>
      </w:tr>
      <w:tr w:rsidR="00C76AF2" w:rsidRPr="00C76AF2" w14:paraId="528DCFD3" w14:textId="77777777" w:rsidTr="0069371D">
        <w:tc>
          <w:tcPr>
            <w:tcW w:w="8838" w:type="dxa"/>
          </w:tcPr>
          <w:p w14:paraId="031B8A1B" w14:textId="77777777" w:rsidR="00C76AF2" w:rsidRPr="00C76AF2" w:rsidRDefault="00C76AF2" w:rsidP="0069371D">
            <w:pPr>
              <w:contextualSpacing/>
              <w:jc w:val="both"/>
              <w:rPr>
                <w:rFonts w:ascii="Century Gothic" w:hAnsi="Century Gothic" w:cs="Arial"/>
                <w:sz w:val="12"/>
                <w:szCs w:val="20"/>
              </w:rPr>
            </w:pPr>
          </w:p>
        </w:tc>
      </w:tr>
      <w:tr w:rsidR="00C76AF2" w:rsidRPr="00C76AF2" w14:paraId="0AEE0AAC" w14:textId="77777777" w:rsidTr="0069371D">
        <w:tc>
          <w:tcPr>
            <w:tcW w:w="8838" w:type="dxa"/>
          </w:tcPr>
          <w:p w14:paraId="256ABD54" w14:textId="77777777" w:rsidR="00C76AF2" w:rsidRPr="00C76AF2" w:rsidRDefault="00C76AF2" w:rsidP="0069371D">
            <w:pPr>
              <w:spacing w:line="276" w:lineRule="auto"/>
              <w:contextualSpacing/>
              <w:jc w:val="both"/>
              <w:rPr>
                <w:rFonts w:ascii="Century Gothic" w:hAnsi="Century Gothic"/>
                <w:b/>
                <w:sz w:val="20"/>
                <w:szCs w:val="20"/>
              </w:rPr>
            </w:pPr>
            <w:r w:rsidRPr="00C76AF2">
              <w:rPr>
                <w:rFonts w:ascii="Century Gothic" w:hAnsi="Century Gothic"/>
                <w:b/>
                <w:sz w:val="20"/>
                <w:szCs w:val="20"/>
              </w:rPr>
              <w:t>Principales colaboradores:</w:t>
            </w:r>
          </w:p>
        </w:tc>
      </w:tr>
      <w:tr w:rsidR="00C76AF2" w:rsidRPr="00C76AF2" w14:paraId="26A5BAAB" w14:textId="77777777" w:rsidTr="0069371D">
        <w:trPr>
          <w:trHeight w:val="70"/>
        </w:trPr>
        <w:tc>
          <w:tcPr>
            <w:tcW w:w="8838" w:type="dxa"/>
          </w:tcPr>
          <w:p w14:paraId="691C2313" w14:textId="77777777" w:rsidR="00C76AF2" w:rsidRPr="00C76AF2" w:rsidRDefault="00C76AF2" w:rsidP="0069371D">
            <w:pPr>
              <w:contextualSpacing/>
              <w:rPr>
                <w:rFonts w:ascii="Century Gothic" w:hAnsi="Century Gothic"/>
                <w:sz w:val="20"/>
                <w:szCs w:val="20"/>
              </w:rPr>
            </w:pPr>
            <w:r w:rsidRPr="00C76AF2">
              <w:rPr>
                <w:rFonts w:ascii="Century Gothic" w:hAnsi="Century Gothic"/>
                <w:sz w:val="20"/>
                <w:szCs w:val="20"/>
              </w:rPr>
              <w:t>Nancy Paola Hernández</w:t>
            </w:r>
          </w:p>
          <w:p w14:paraId="34366AA3" w14:textId="03F826EC" w:rsidR="00C76AF2" w:rsidRPr="00C76AF2" w:rsidRDefault="009A3A99" w:rsidP="00BA5762">
            <w:pPr>
              <w:contextualSpacing/>
              <w:rPr>
                <w:rFonts w:ascii="Century Gothic" w:hAnsi="Century Gothic"/>
                <w:b/>
                <w:sz w:val="20"/>
                <w:szCs w:val="20"/>
              </w:rPr>
            </w:pPr>
            <w:r>
              <w:rPr>
                <w:rFonts w:ascii="Century Gothic" w:hAnsi="Century Gothic"/>
                <w:sz w:val="20"/>
                <w:szCs w:val="20"/>
              </w:rPr>
              <w:t>German Sandoval Cruz</w:t>
            </w:r>
            <w:bookmarkStart w:id="0" w:name="_GoBack"/>
            <w:bookmarkEnd w:id="0"/>
          </w:p>
        </w:tc>
      </w:tr>
      <w:tr w:rsidR="00C76AF2" w:rsidRPr="00C76AF2" w14:paraId="261153DC" w14:textId="77777777" w:rsidTr="0069371D">
        <w:trPr>
          <w:trHeight w:val="70"/>
        </w:trPr>
        <w:tc>
          <w:tcPr>
            <w:tcW w:w="8838" w:type="dxa"/>
          </w:tcPr>
          <w:p w14:paraId="3EF70897" w14:textId="77777777" w:rsidR="00C76AF2" w:rsidRPr="00C76AF2" w:rsidRDefault="00C76AF2" w:rsidP="0069371D">
            <w:pPr>
              <w:contextualSpacing/>
              <w:rPr>
                <w:rFonts w:ascii="Century Gothic" w:hAnsi="Century Gothic"/>
                <w:sz w:val="10"/>
                <w:szCs w:val="20"/>
              </w:rPr>
            </w:pPr>
          </w:p>
        </w:tc>
      </w:tr>
    </w:tbl>
    <w:p w14:paraId="01CAF1F2" w14:textId="77777777" w:rsidR="0080329D" w:rsidRDefault="0080329D">
      <w:pPr>
        <w:rPr>
          <w:rFonts w:ascii="Century Gothic" w:hAnsi="Century Gothic"/>
          <w:b/>
        </w:rPr>
      </w:pPr>
      <w:r>
        <w:rPr>
          <w:rFonts w:ascii="Century Gothic" w:hAnsi="Century Gothic"/>
          <w:b/>
        </w:rPr>
        <w:br w:type="page"/>
      </w:r>
    </w:p>
    <w:sdt>
      <w:sdtPr>
        <w:rPr>
          <w:rFonts w:asciiTheme="minorHAnsi" w:eastAsiaTheme="minorHAnsi" w:hAnsiTheme="minorHAnsi" w:cstheme="minorBidi"/>
          <w:b w:val="0"/>
          <w:bCs w:val="0"/>
          <w:color w:val="auto"/>
          <w:sz w:val="24"/>
          <w:szCs w:val="24"/>
          <w:lang w:val="es-ES" w:eastAsia="en-US"/>
        </w:rPr>
        <w:id w:val="-407388143"/>
        <w:docPartObj>
          <w:docPartGallery w:val="Table of Contents"/>
          <w:docPartUnique/>
        </w:docPartObj>
      </w:sdtPr>
      <w:sdtEndPr>
        <w:rPr>
          <w:rFonts w:ascii="Century Gothic" w:hAnsi="Century Gothic"/>
          <w:sz w:val="22"/>
          <w:szCs w:val="22"/>
        </w:rPr>
      </w:sdtEndPr>
      <w:sdtContent>
        <w:p w14:paraId="61B08E47" w14:textId="77777777" w:rsidR="0080329D" w:rsidRDefault="0080329D">
          <w:pPr>
            <w:pStyle w:val="TtulodeTDC"/>
          </w:pPr>
          <w:r>
            <w:rPr>
              <w:lang w:val="es-ES"/>
            </w:rPr>
            <w:t>Contenido</w:t>
          </w:r>
        </w:p>
        <w:p w14:paraId="4D4F30EE" w14:textId="77777777" w:rsidR="00AD5448" w:rsidRPr="00AD5448" w:rsidRDefault="0080329D" w:rsidP="00AD5448">
          <w:pPr>
            <w:pStyle w:val="TDC1"/>
            <w:tabs>
              <w:tab w:val="right" w:leader="dot" w:pos="9060"/>
            </w:tabs>
            <w:rPr>
              <w:rFonts w:ascii="Century Gothic" w:eastAsiaTheme="minorEastAsia" w:hAnsi="Century Gothic"/>
              <w:noProof/>
              <w:sz w:val="22"/>
              <w:szCs w:val="22"/>
              <w:lang w:val="es-MX" w:eastAsia="es-MX"/>
            </w:rPr>
          </w:pPr>
          <w:r w:rsidRPr="00AD5448">
            <w:rPr>
              <w:rFonts w:ascii="Century Gothic" w:hAnsi="Century Gothic"/>
              <w:sz w:val="22"/>
              <w:szCs w:val="22"/>
            </w:rPr>
            <w:fldChar w:fldCharType="begin"/>
          </w:r>
          <w:r w:rsidRPr="00AD5448">
            <w:rPr>
              <w:rFonts w:ascii="Century Gothic" w:hAnsi="Century Gothic"/>
              <w:sz w:val="22"/>
              <w:szCs w:val="22"/>
            </w:rPr>
            <w:instrText xml:space="preserve"> TOC \o "1-3" \h \z \u </w:instrText>
          </w:r>
          <w:r w:rsidRPr="00AD5448">
            <w:rPr>
              <w:rFonts w:ascii="Century Gothic" w:hAnsi="Century Gothic"/>
              <w:sz w:val="22"/>
              <w:szCs w:val="22"/>
            </w:rPr>
            <w:fldChar w:fldCharType="separate"/>
          </w:r>
          <w:hyperlink w:anchor="_Toc511236515" w:history="1">
            <w:r w:rsidR="00AD5448" w:rsidRPr="00AD5448">
              <w:rPr>
                <w:rStyle w:val="Hipervnculo"/>
                <w:rFonts w:ascii="Century Gothic" w:hAnsi="Century Gothic"/>
                <w:noProof/>
                <w:sz w:val="22"/>
                <w:szCs w:val="22"/>
              </w:rPr>
              <w:t>Introducción</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_Toc511236515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6</w:t>
            </w:r>
            <w:r w:rsidR="00AD5448" w:rsidRPr="00AD5448">
              <w:rPr>
                <w:rFonts w:ascii="Century Gothic" w:hAnsi="Century Gothic"/>
                <w:noProof/>
                <w:webHidden/>
                <w:sz w:val="22"/>
                <w:szCs w:val="22"/>
              </w:rPr>
              <w:fldChar w:fldCharType="end"/>
            </w:r>
          </w:hyperlink>
        </w:p>
        <w:p w14:paraId="721503F5" w14:textId="77777777" w:rsidR="00AD5448" w:rsidRPr="00AD5448" w:rsidRDefault="00BA5762" w:rsidP="00AD5448">
          <w:pPr>
            <w:pStyle w:val="TDC1"/>
            <w:tabs>
              <w:tab w:val="left" w:pos="480"/>
              <w:tab w:val="right" w:leader="dot" w:pos="9060"/>
            </w:tabs>
            <w:rPr>
              <w:rFonts w:ascii="Century Gothic" w:eastAsiaTheme="minorEastAsia" w:hAnsi="Century Gothic"/>
              <w:noProof/>
              <w:sz w:val="22"/>
              <w:szCs w:val="22"/>
              <w:lang w:val="es-MX" w:eastAsia="es-MX"/>
            </w:rPr>
          </w:pPr>
          <w:hyperlink w:anchor="_Toc511236516" w:history="1">
            <w:r w:rsidR="00AD5448" w:rsidRPr="00AD5448">
              <w:rPr>
                <w:rStyle w:val="Hipervnculo"/>
                <w:rFonts w:ascii="Century Gothic" w:hAnsi="Century Gothic"/>
                <w:noProof/>
                <w:sz w:val="22"/>
                <w:szCs w:val="22"/>
              </w:rPr>
              <w:t>1.</w:t>
            </w:r>
            <w:r w:rsidR="00AD5448" w:rsidRPr="00AD5448">
              <w:rPr>
                <w:rFonts w:ascii="Century Gothic" w:eastAsiaTheme="minorEastAsia" w:hAnsi="Century Gothic"/>
                <w:noProof/>
                <w:sz w:val="22"/>
                <w:szCs w:val="22"/>
                <w:lang w:val="es-MX" w:eastAsia="es-MX"/>
              </w:rPr>
              <w:tab/>
            </w:r>
            <w:r w:rsidR="00AD5448" w:rsidRPr="00AD5448">
              <w:rPr>
                <w:rStyle w:val="Hipervnculo"/>
                <w:rFonts w:ascii="Century Gothic" w:hAnsi="Century Gothic"/>
                <w:noProof/>
                <w:sz w:val="22"/>
                <w:szCs w:val="22"/>
              </w:rPr>
              <w:t>Metodología</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_Toc511236516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11</w:t>
            </w:r>
            <w:r w:rsidR="00AD5448" w:rsidRPr="00AD5448">
              <w:rPr>
                <w:rFonts w:ascii="Century Gothic" w:hAnsi="Century Gothic"/>
                <w:noProof/>
                <w:webHidden/>
                <w:sz w:val="22"/>
                <w:szCs w:val="22"/>
              </w:rPr>
              <w:fldChar w:fldCharType="end"/>
            </w:r>
          </w:hyperlink>
        </w:p>
        <w:p w14:paraId="2B45C49E" w14:textId="77777777" w:rsidR="00AD5448" w:rsidRPr="00AD5448" w:rsidRDefault="00BA5762" w:rsidP="00AD5448">
          <w:pPr>
            <w:pStyle w:val="TDC1"/>
            <w:tabs>
              <w:tab w:val="left" w:pos="480"/>
              <w:tab w:val="right" w:leader="dot" w:pos="9060"/>
            </w:tabs>
            <w:rPr>
              <w:rFonts w:ascii="Century Gothic" w:eastAsiaTheme="minorEastAsia" w:hAnsi="Century Gothic"/>
              <w:noProof/>
              <w:sz w:val="22"/>
              <w:szCs w:val="22"/>
              <w:lang w:val="es-MX" w:eastAsia="es-MX"/>
            </w:rPr>
          </w:pPr>
          <w:hyperlink w:anchor="_Toc511236517" w:history="1">
            <w:r w:rsidR="00AD5448" w:rsidRPr="00AD5448">
              <w:rPr>
                <w:rStyle w:val="Hipervnculo"/>
                <w:rFonts w:ascii="Century Gothic" w:hAnsi="Century Gothic"/>
                <w:noProof/>
                <w:sz w:val="22"/>
                <w:szCs w:val="22"/>
              </w:rPr>
              <w:t>2.</w:t>
            </w:r>
            <w:r w:rsidR="00AD5448" w:rsidRPr="00AD5448">
              <w:rPr>
                <w:rFonts w:ascii="Century Gothic" w:eastAsiaTheme="minorEastAsia" w:hAnsi="Century Gothic"/>
                <w:noProof/>
                <w:sz w:val="22"/>
                <w:szCs w:val="22"/>
                <w:lang w:val="es-MX" w:eastAsia="es-MX"/>
              </w:rPr>
              <w:tab/>
            </w:r>
            <w:r w:rsidR="00AD5448" w:rsidRPr="00AD5448">
              <w:rPr>
                <w:rStyle w:val="Hipervnculo"/>
                <w:rFonts w:ascii="Century Gothic" w:hAnsi="Century Gothic"/>
                <w:noProof/>
                <w:sz w:val="22"/>
                <w:szCs w:val="22"/>
              </w:rPr>
              <w:t>Reseña histórica del FAIS y su importancia como medio para el combate a la pobreza</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_Toc511236517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15</w:t>
            </w:r>
            <w:r w:rsidR="00AD5448" w:rsidRPr="00AD5448">
              <w:rPr>
                <w:rFonts w:ascii="Century Gothic" w:hAnsi="Century Gothic"/>
                <w:noProof/>
                <w:webHidden/>
                <w:sz w:val="22"/>
                <w:szCs w:val="22"/>
              </w:rPr>
              <w:fldChar w:fldCharType="end"/>
            </w:r>
          </w:hyperlink>
        </w:p>
        <w:p w14:paraId="2E94A98E" w14:textId="77777777" w:rsidR="00AD5448" w:rsidRPr="00AD5448" w:rsidRDefault="00BA5762" w:rsidP="00AD5448">
          <w:pPr>
            <w:pStyle w:val="TDC2"/>
            <w:tabs>
              <w:tab w:val="right" w:leader="dot" w:pos="9060"/>
            </w:tabs>
            <w:rPr>
              <w:rFonts w:ascii="Century Gothic" w:eastAsiaTheme="minorEastAsia" w:hAnsi="Century Gothic"/>
              <w:noProof/>
              <w:sz w:val="22"/>
              <w:szCs w:val="22"/>
              <w:lang w:val="es-MX" w:eastAsia="es-MX"/>
            </w:rPr>
          </w:pPr>
          <w:hyperlink w:anchor="_Toc511236518" w:history="1">
            <w:r w:rsidR="00AD5448" w:rsidRPr="00AD5448">
              <w:rPr>
                <w:rStyle w:val="Hipervnculo"/>
                <w:rFonts w:ascii="Century Gothic" w:hAnsi="Century Gothic"/>
                <w:noProof/>
                <w:sz w:val="22"/>
                <w:szCs w:val="22"/>
              </w:rPr>
              <w:t>2.1. La creación FISE en el contexto de la orientación del proceso presupuestario hacia el desarrollo social</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_Toc511236518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15</w:t>
            </w:r>
            <w:r w:rsidR="00AD5448" w:rsidRPr="00AD5448">
              <w:rPr>
                <w:rFonts w:ascii="Century Gothic" w:hAnsi="Century Gothic"/>
                <w:noProof/>
                <w:webHidden/>
                <w:sz w:val="22"/>
                <w:szCs w:val="22"/>
              </w:rPr>
              <w:fldChar w:fldCharType="end"/>
            </w:r>
          </w:hyperlink>
        </w:p>
        <w:p w14:paraId="1839835B" w14:textId="77777777" w:rsidR="00AD5448" w:rsidRPr="00AD5448" w:rsidRDefault="00BA5762" w:rsidP="00AD5448">
          <w:pPr>
            <w:pStyle w:val="TDC2"/>
            <w:tabs>
              <w:tab w:val="right" w:leader="dot" w:pos="9060"/>
            </w:tabs>
            <w:rPr>
              <w:rFonts w:ascii="Century Gothic" w:eastAsiaTheme="minorEastAsia" w:hAnsi="Century Gothic"/>
              <w:noProof/>
              <w:sz w:val="22"/>
              <w:szCs w:val="22"/>
              <w:lang w:val="es-MX" w:eastAsia="es-MX"/>
            </w:rPr>
          </w:pPr>
          <w:hyperlink w:anchor="_Toc511236519" w:history="1">
            <w:r w:rsidR="00AD5448" w:rsidRPr="00AD5448">
              <w:rPr>
                <w:rStyle w:val="Hipervnculo"/>
                <w:rFonts w:ascii="Century Gothic" w:hAnsi="Century Gothic"/>
                <w:noProof/>
                <w:sz w:val="22"/>
                <w:szCs w:val="22"/>
              </w:rPr>
              <w:t>2.2. Creación de los Lineamientos generales para la operación del Fondo de Aportaciones para la Infraestructura Social</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_Toc511236519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20</w:t>
            </w:r>
            <w:r w:rsidR="00AD5448" w:rsidRPr="00AD5448">
              <w:rPr>
                <w:rFonts w:ascii="Century Gothic" w:hAnsi="Century Gothic"/>
                <w:noProof/>
                <w:webHidden/>
                <w:sz w:val="22"/>
                <w:szCs w:val="22"/>
              </w:rPr>
              <w:fldChar w:fldCharType="end"/>
            </w:r>
          </w:hyperlink>
        </w:p>
        <w:p w14:paraId="7170FA92" w14:textId="77777777" w:rsidR="00AD5448" w:rsidRPr="00AD5448" w:rsidRDefault="00BA5762" w:rsidP="00AD5448">
          <w:pPr>
            <w:pStyle w:val="TDC2"/>
            <w:tabs>
              <w:tab w:val="right" w:leader="dot" w:pos="9060"/>
            </w:tabs>
            <w:rPr>
              <w:rFonts w:ascii="Century Gothic" w:eastAsiaTheme="minorEastAsia" w:hAnsi="Century Gothic"/>
              <w:noProof/>
              <w:sz w:val="22"/>
              <w:szCs w:val="22"/>
              <w:lang w:val="es-MX" w:eastAsia="es-MX"/>
            </w:rPr>
          </w:pPr>
          <w:hyperlink w:anchor="_Toc511236520" w:history="1">
            <w:r w:rsidR="00AD5448" w:rsidRPr="00AD5448">
              <w:rPr>
                <w:rStyle w:val="Hipervnculo"/>
                <w:rFonts w:ascii="Century Gothic" w:hAnsi="Century Gothic"/>
                <w:noProof/>
                <w:sz w:val="22"/>
                <w:szCs w:val="22"/>
              </w:rPr>
              <w:t>2.3. Evolución de los Lineamientos del FAIS (2014-2016)</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_Toc511236520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22</w:t>
            </w:r>
            <w:r w:rsidR="00AD5448" w:rsidRPr="00AD5448">
              <w:rPr>
                <w:rFonts w:ascii="Century Gothic" w:hAnsi="Century Gothic"/>
                <w:noProof/>
                <w:webHidden/>
                <w:sz w:val="22"/>
                <w:szCs w:val="22"/>
              </w:rPr>
              <w:fldChar w:fldCharType="end"/>
            </w:r>
          </w:hyperlink>
        </w:p>
        <w:p w14:paraId="16499BF1" w14:textId="77777777" w:rsidR="00AD5448" w:rsidRPr="00AD5448" w:rsidRDefault="00BA5762" w:rsidP="00AD5448">
          <w:pPr>
            <w:pStyle w:val="TDC2"/>
            <w:tabs>
              <w:tab w:val="right" w:leader="dot" w:pos="9060"/>
            </w:tabs>
            <w:rPr>
              <w:rFonts w:ascii="Century Gothic" w:eastAsiaTheme="minorEastAsia" w:hAnsi="Century Gothic"/>
              <w:noProof/>
              <w:sz w:val="22"/>
              <w:szCs w:val="22"/>
              <w:lang w:val="es-MX" w:eastAsia="es-MX"/>
            </w:rPr>
          </w:pPr>
          <w:hyperlink w:anchor="_Toc511236521" w:history="1">
            <w:r w:rsidR="00AD5448" w:rsidRPr="00AD5448">
              <w:rPr>
                <w:rStyle w:val="Hipervnculo"/>
                <w:rFonts w:ascii="Century Gothic" w:hAnsi="Century Gothic"/>
                <w:noProof/>
                <w:sz w:val="22"/>
                <w:szCs w:val="22"/>
              </w:rPr>
              <w:t>2.4. Cambios en los Lineamientos del FAIS 2017</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_Toc511236521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27</w:t>
            </w:r>
            <w:r w:rsidR="00AD5448" w:rsidRPr="00AD5448">
              <w:rPr>
                <w:rFonts w:ascii="Century Gothic" w:hAnsi="Century Gothic"/>
                <w:noProof/>
                <w:webHidden/>
                <w:sz w:val="22"/>
                <w:szCs w:val="22"/>
              </w:rPr>
              <w:fldChar w:fldCharType="end"/>
            </w:r>
          </w:hyperlink>
        </w:p>
        <w:p w14:paraId="20F02B6B" w14:textId="77777777" w:rsidR="00AD5448" w:rsidRPr="00AD5448" w:rsidRDefault="00BA5762" w:rsidP="00AD5448">
          <w:pPr>
            <w:pStyle w:val="TDC1"/>
            <w:tabs>
              <w:tab w:val="left" w:pos="480"/>
              <w:tab w:val="right" w:leader="dot" w:pos="9060"/>
            </w:tabs>
            <w:rPr>
              <w:rFonts w:ascii="Century Gothic" w:eastAsiaTheme="minorEastAsia" w:hAnsi="Century Gothic"/>
              <w:noProof/>
              <w:sz w:val="22"/>
              <w:szCs w:val="22"/>
              <w:lang w:val="es-MX" w:eastAsia="es-MX"/>
            </w:rPr>
          </w:pPr>
          <w:hyperlink w:anchor="_Toc511236522" w:history="1">
            <w:r w:rsidR="00AD5448" w:rsidRPr="00AD5448">
              <w:rPr>
                <w:rStyle w:val="Hipervnculo"/>
                <w:rFonts w:ascii="Century Gothic" w:hAnsi="Century Gothic"/>
                <w:noProof/>
                <w:sz w:val="22"/>
                <w:szCs w:val="22"/>
              </w:rPr>
              <w:t>3.</w:t>
            </w:r>
            <w:r w:rsidR="00AD5448" w:rsidRPr="00AD5448">
              <w:rPr>
                <w:rFonts w:ascii="Century Gothic" w:eastAsiaTheme="minorEastAsia" w:hAnsi="Century Gothic"/>
                <w:noProof/>
                <w:sz w:val="22"/>
                <w:szCs w:val="22"/>
                <w:lang w:val="es-MX" w:eastAsia="es-MX"/>
              </w:rPr>
              <w:tab/>
            </w:r>
            <w:r w:rsidR="00AD5448" w:rsidRPr="00AD5448">
              <w:rPr>
                <w:rStyle w:val="Hipervnculo"/>
                <w:rFonts w:ascii="Century Gothic" w:hAnsi="Century Gothic"/>
                <w:noProof/>
                <w:sz w:val="22"/>
                <w:szCs w:val="22"/>
              </w:rPr>
              <w:t>Los programas presupuestarios como medio de ejecución de los recursos de los Fondos</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_Toc511236522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31</w:t>
            </w:r>
            <w:r w:rsidR="00AD5448" w:rsidRPr="00AD5448">
              <w:rPr>
                <w:rFonts w:ascii="Century Gothic" w:hAnsi="Century Gothic"/>
                <w:noProof/>
                <w:webHidden/>
                <w:sz w:val="22"/>
                <w:szCs w:val="22"/>
              </w:rPr>
              <w:fldChar w:fldCharType="end"/>
            </w:r>
          </w:hyperlink>
        </w:p>
        <w:p w14:paraId="38BE6A8F" w14:textId="77777777" w:rsidR="00AD5448" w:rsidRPr="00AD5448" w:rsidRDefault="00BA5762" w:rsidP="00AD5448">
          <w:pPr>
            <w:pStyle w:val="TDC2"/>
            <w:tabs>
              <w:tab w:val="right" w:leader="dot" w:pos="9060"/>
            </w:tabs>
            <w:rPr>
              <w:rFonts w:ascii="Century Gothic" w:eastAsiaTheme="minorEastAsia" w:hAnsi="Century Gothic"/>
              <w:noProof/>
              <w:sz w:val="22"/>
              <w:szCs w:val="22"/>
              <w:lang w:val="es-MX" w:eastAsia="es-MX"/>
            </w:rPr>
          </w:pPr>
          <w:hyperlink w:anchor="_Toc511236523" w:history="1">
            <w:r w:rsidR="00AD5448" w:rsidRPr="00AD5448">
              <w:rPr>
                <w:rStyle w:val="Hipervnculo"/>
                <w:rFonts w:ascii="Century Gothic" w:hAnsi="Century Gothic"/>
                <w:noProof/>
                <w:sz w:val="22"/>
                <w:szCs w:val="22"/>
              </w:rPr>
              <w:t>3.1. Operación del FISE a través del Programa Presupuestario “Construcción, Modernización y Mantenimiento de la Infraestructura para el Desarrollo” en Colima.</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_Toc511236523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35</w:t>
            </w:r>
            <w:r w:rsidR="00AD5448" w:rsidRPr="00AD5448">
              <w:rPr>
                <w:rFonts w:ascii="Century Gothic" w:hAnsi="Century Gothic"/>
                <w:noProof/>
                <w:webHidden/>
                <w:sz w:val="22"/>
                <w:szCs w:val="22"/>
              </w:rPr>
              <w:fldChar w:fldCharType="end"/>
            </w:r>
          </w:hyperlink>
        </w:p>
        <w:p w14:paraId="7C0ABCBF" w14:textId="77777777" w:rsidR="00AD5448" w:rsidRPr="00AD5448" w:rsidRDefault="00BA5762" w:rsidP="00AD5448">
          <w:pPr>
            <w:pStyle w:val="TDC1"/>
            <w:tabs>
              <w:tab w:val="left" w:pos="480"/>
              <w:tab w:val="right" w:leader="dot" w:pos="9060"/>
            </w:tabs>
            <w:rPr>
              <w:rFonts w:ascii="Century Gothic" w:eastAsiaTheme="minorEastAsia" w:hAnsi="Century Gothic"/>
              <w:noProof/>
              <w:sz w:val="22"/>
              <w:szCs w:val="22"/>
              <w:lang w:val="es-MX" w:eastAsia="es-MX"/>
            </w:rPr>
          </w:pPr>
          <w:hyperlink w:anchor="_Toc511236524" w:history="1">
            <w:r w:rsidR="00AD5448" w:rsidRPr="00AD5448">
              <w:rPr>
                <w:rStyle w:val="Hipervnculo"/>
                <w:rFonts w:ascii="Century Gothic" w:hAnsi="Century Gothic"/>
                <w:noProof/>
                <w:sz w:val="22"/>
                <w:szCs w:val="22"/>
              </w:rPr>
              <w:t>4.</w:t>
            </w:r>
            <w:r w:rsidR="00AD5448" w:rsidRPr="00AD5448">
              <w:rPr>
                <w:rFonts w:ascii="Century Gothic" w:eastAsiaTheme="minorEastAsia" w:hAnsi="Century Gothic"/>
                <w:noProof/>
                <w:sz w:val="22"/>
                <w:szCs w:val="22"/>
                <w:lang w:val="es-MX" w:eastAsia="es-MX"/>
              </w:rPr>
              <w:tab/>
            </w:r>
            <w:r w:rsidR="00AD5448" w:rsidRPr="00AD5448">
              <w:rPr>
                <w:rStyle w:val="Hipervnculo"/>
                <w:rFonts w:ascii="Century Gothic" w:hAnsi="Century Gothic"/>
                <w:noProof/>
                <w:sz w:val="22"/>
                <w:szCs w:val="22"/>
              </w:rPr>
              <w:t>Análisis del Macro-proceso</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_Toc511236524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39</w:t>
            </w:r>
            <w:r w:rsidR="00AD5448" w:rsidRPr="00AD5448">
              <w:rPr>
                <w:rFonts w:ascii="Century Gothic" w:hAnsi="Century Gothic"/>
                <w:noProof/>
                <w:webHidden/>
                <w:sz w:val="22"/>
                <w:szCs w:val="22"/>
              </w:rPr>
              <w:fldChar w:fldCharType="end"/>
            </w:r>
          </w:hyperlink>
        </w:p>
        <w:p w14:paraId="42F7F28F" w14:textId="77777777" w:rsidR="00AD5448" w:rsidRPr="00AD5448" w:rsidRDefault="00BA5762" w:rsidP="00AD5448">
          <w:pPr>
            <w:pStyle w:val="TDC2"/>
            <w:tabs>
              <w:tab w:val="right" w:leader="dot" w:pos="9060"/>
            </w:tabs>
            <w:rPr>
              <w:rFonts w:ascii="Century Gothic" w:eastAsiaTheme="minorEastAsia" w:hAnsi="Century Gothic"/>
              <w:noProof/>
              <w:sz w:val="22"/>
              <w:szCs w:val="22"/>
              <w:lang w:val="es-MX" w:eastAsia="es-MX"/>
            </w:rPr>
          </w:pPr>
          <w:hyperlink w:anchor="_Toc511236525" w:history="1">
            <w:r w:rsidR="00AD5448" w:rsidRPr="00AD5448">
              <w:rPr>
                <w:rStyle w:val="Hipervnculo"/>
                <w:rFonts w:ascii="Century Gothic" w:hAnsi="Century Gothic"/>
                <w:noProof/>
                <w:sz w:val="22"/>
                <w:szCs w:val="22"/>
              </w:rPr>
              <w:t>4.1 Proceso: Asignación del Recurso</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_Toc511236525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42</w:t>
            </w:r>
            <w:r w:rsidR="00AD5448" w:rsidRPr="00AD5448">
              <w:rPr>
                <w:rFonts w:ascii="Century Gothic" w:hAnsi="Century Gothic"/>
                <w:noProof/>
                <w:webHidden/>
                <w:sz w:val="22"/>
                <w:szCs w:val="22"/>
              </w:rPr>
              <w:fldChar w:fldCharType="end"/>
            </w:r>
          </w:hyperlink>
        </w:p>
        <w:p w14:paraId="3D212580" w14:textId="77777777" w:rsidR="00AD5448" w:rsidRPr="00AD5448" w:rsidRDefault="00BA5762" w:rsidP="00AD5448">
          <w:pPr>
            <w:pStyle w:val="TDC2"/>
            <w:tabs>
              <w:tab w:val="right" w:leader="dot" w:pos="9060"/>
            </w:tabs>
            <w:rPr>
              <w:rFonts w:ascii="Century Gothic" w:eastAsiaTheme="minorEastAsia" w:hAnsi="Century Gothic"/>
              <w:noProof/>
              <w:sz w:val="22"/>
              <w:szCs w:val="22"/>
              <w:lang w:val="es-MX" w:eastAsia="es-MX"/>
            </w:rPr>
          </w:pPr>
          <w:hyperlink w:anchor="_Toc511236526" w:history="1">
            <w:r w:rsidR="00AD5448" w:rsidRPr="00AD5448">
              <w:rPr>
                <w:rStyle w:val="Hipervnculo"/>
                <w:rFonts w:ascii="Century Gothic" w:hAnsi="Century Gothic"/>
                <w:noProof/>
                <w:sz w:val="22"/>
                <w:szCs w:val="22"/>
              </w:rPr>
              <w:t>4.2 Proceso: Planeación</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_Toc511236526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43</w:t>
            </w:r>
            <w:r w:rsidR="00AD5448" w:rsidRPr="00AD5448">
              <w:rPr>
                <w:rFonts w:ascii="Century Gothic" w:hAnsi="Century Gothic"/>
                <w:noProof/>
                <w:webHidden/>
                <w:sz w:val="22"/>
                <w:szCs w:val="22"/>
              </w:rPr>
              <w:fldChar w:fldCharType="end"/>
            </w:r>
          </w:hyperlink>
        </w:p>
        <w:p w14:paraId="3BA87944" w14:textId="77777777" w:rsidR="00AD5448" w:rsidRPr="00AD5448" w:rsidRDefault="00BA5762" w:rsidP="00AD5448">
          <w:pPr>
            <w:pStyle w:val="TDC3"/>
            <w:tabs>
              <w:tab w:val="left" w:pos="1320"/>
              <w:tab w:val="right" w:leader="dot" w:pos="9060"/>
            </w:tabs>
            <w:rPr>
              <w:rFonts w:ascii="Century Gothic" w:eastAsiaTheme="minorEastAsia" w:hAnsi="Century Gothic"/>
              <w:noProof/>
              <w:sz w:val="22"/>
              <w:szCs w:val="22"/>
              <w:lang w:val="es-MX" w:eastAsia="es-MX"/>
            </w:rPr>
          </w:pPr>
          <w:hyperlink w:anchor="_Toc511236527" w:history="1">
            <w:r w:rsidR="00AD5448" w:rsidRPr="00AD5448">
              <w:rPr>
                <w:rStyle w:val="Hipervnculo"/>
                <w:rFonts w:ascii="Century Gothic" w:hAnsi="Century Gothic"/>
                <w:noProof/>
                <w:sz w:val="22"/>
                <w:szCs w:val="22"/>
              </w:rPr>
              <w:t>4.2.1</w:t>
            </w:r>
            <w:r w:rsidR="00AD5448" w:rsidRPr="00AD5448">
              <w:rPr>
                <w:rFonts w:ascii="Century Gothic" w:eastAsiaTheme="minorEastAsia" w:hAnsi="Century Gothic"/>
                <w:noProof/>
                <w:sz w:val="22"/>
                <w:szCs w:val="22"/>
                <w:lang w:val="es-MX" w:eastAsia="es-MX"/>
              </w:rPr>
              <w:tab/>
            </w:r>
            <w:r w:rsidR="00AD5448" w:rsidRPr="00AD5448">
              <w:rPr>
                <w:rStyle w:val="Hipervnculo"/>
                <w:rFonts w:ascii="Century Gothic" w:hAnsi="Century Gothic"/>
                <w:noProof/>
                <w:sz w:val="22"/>
                <w:szCs w:val="22"/>
              </w:rPr>
              <w:t>Plan de Calidad para proyectos ejecutivos</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_Toc511236527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46</w:t>
            </w:r>
            <w:r w:rsidR="00AD5448" w:rsidRPr="00AD5448">
              <w:rPr>
                <w:rFonts w:ascii="Century Gothic" w:hAnsi="Century Gothic"/>
                <w:noProof/>
                <w:webHidden/>
                <w:sz w:val="22"/>
                <w:szCs w:val="22"/>
              </w:rPr>
              <w:fldChar w:fldCharType="end"/>
            </w:r>
          </w:hyperlink>
        </w:p>
        <w:p w14:paraId="4940F068" w14:textId="77777777" w:rsidR="00AD5448" w:rsidRPr="00AD5448" w:rsidRDefault="00BA5762" w:rsidP="00AD5448">
          <w:pPr>
            <w:pStyle w:val="TDC2"/>
            <w:tabs>
              <w:tab w:val="right" w:leader="dot" w:pos="9060"/>
            </w:tabs>
            <w:rPr>
              <w:rFonts w:ascii="Century Gothic" w:eastAsiaTheme="minorEastAsia" w:hAnsi="Century Gothic"/>
              <w:noProof/>
              <w:sz w:val="22"/>
              <w:szCs w:val="22"/>
              <w:lang w:val="es-MX" w:eastAsia="es-MX"/>
            </w:rPr>
          </w:pPr>
          <w:hyperlink w:anchor="_Toc511236528" w:history="1">
            <w:r w:rsidR="00AD5448" w:rsidRPr="00AD5448">
              <w:rPr>
                <w:rStyle w:val="Hipervnculo"/>
                <w:rFonts w:ascii="Century Gothic" w:hAnsi="Century Gothic"/>
                <w:noProof/>
                <w:sz w:val="22"/>
                <w:szCs w:val="22"/>
              </w:rPr>
              <w:t>4.3 Proceso: Ejercicio</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_Toc511236528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52</w:t>
            </w:r>
            <w:r w:rsidR="00AD5448" w:rsidRPr="00AD5448">
              <w:rPr>
                <w:rFonts w:ascii="Century Gothic" w:hAnsi="Century Gothic"/>
                <w:noProof/>
                <w:webHidden/>
                <w:sz w:val="22"/>
                <w:szCs w:val="22"/>
              </w:rPr>
              <w:fldChar w:fldCharType="end"/>
            </w:r>
          </w:hyperlink>
        </w:p>
        <w:p w14:paraId="5B53A34A" w14:textId="77777777" w:rsidR="00AD5448" w:rsidRPr="00AD5448" w:rsidRDefault="00BA5762" w:rsidP="00AD5448">
          <w:pPr>
            <w:pStyle w:val="TDC3"/>
            <w:tabs>
              <w:tab w:val="left" w:pos="1320"/>
              <w:tab w:val="right" w:leader="dot" w:pos="9060"/>
            </w:tabs>
            <w:rPr>
              <w:rFonts w:ascii="Century Gothic" w:eastAsiaTheme="minorEastAsia" w:hAnsi="Century Gothic"/>
              <w:noProof/>
              <w:sz w:val="22"/>
              <w:szCs w:val="22"/>
              <w:lang w:val="es-MX" w:eastAsia="es-MX"/>
            </w:rPr>
          </w:pPr>
          <w:hyperlink w:anchor="_Toc511236529" w:history="1">
            <w:r w:rsidR="00AD5448" w:rsidRPr="00AD5448">
              <w:rPr>
                <w:rStyle w:val="Hipervnculo"/>
                <w:rFonts w:ascii="Century Gothic" w:hAnsi="Century Gothic"/>
                <w:noProof/>
                <w:sz w:val="22"/>
                <w:szCs w:val="22"/>
              </w:rPr>
              <w:t>4.3.1</w:t>
            </w:r>
            <w:r w:rsidR="00AD5448" w:rsidRPr="00AD5448">
              <w:rPr>
                <w:rFonts w:ascii="Century Gothic" w:eastAsiaTheme="minorEastAsia" w:hAnsi="Century Gothic"/>
                <w:noProof/>
                <w:sz w:val="22"/>
                <w:szCs w:val="22"/>
                <w:lang w:val="es-MX" w:eastAsia="es-MX"/>
              </w:rPr>
              <w:tab/>
            </w:r>
            <w:r w:rsidR="00AD5448" w:rsidRPr="00AD5448">
              <w:rPr>
                <w:rStyle w:val="Hipervnculo"/>
                <w:rFonts w:ascii="Century Gothic" w:hAnsi="Century Gothic"/>
                <w:noProof/>
                <w:sz w:val="22"/>
                <w:szCs w:val="22"/>
              </w:rPr>
              <w:t>Plan de la Calidad para la contratación</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_Toc511236529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52</w:t>
            </w:r>
            <w:r w:rsidR="00AD5448" w:rsidRPr="00AD5448">
              <w:rPr>
                <w:rFonts w:ascii="Century Gothic" w:hAnsi="Century Gothic"/>
                <w:noProof/>
                <w:webHidden/>
                <w:sz w:val="22"/>
                <w:szCs w:val="22"/>
              </w:rPr>
              <w:fldChar w:fldCharType="end"/>
            </w:r>
          </w:hyperlink>
        </w:p>
        <w:p w14:paraId="32AC4219" w14:textId="77777777" w:rsidR="00AD5448" w:rsidRPr="00AD5448" w:rsidRDefault="00BA5762" w:rsidP="00AD5448">
          <w:pPr>
            <w:pStyle w:val="TDC3"/>
            <w:tabs>
              <w:tab w:val="left" w:pos="1320"/>
              <w:tab w:val="right" w:leader="dot" w:pos="9060"/>
            </w:tabs>
            <w:rPr>
              <w:rFonts w:ascii="Century Gothic" w:eastAsiaTheme="minorEastAsia" w:hAnsi="Century Gothic"/>
              <w:noProof/>
              <w:sz w:val="22"/>
              <w:szCs w:val="22"/>
              <w:lang w:val="es-MX" w:eastAsia="es-MX"/>
            </w:rPr>
          </w:pPr>
          <w:hyperlink w:anchor="_Toc511236530" w:history="1">
            <w:r w:rsidR="00AD5448" w:rsidRPr="00AD5448">
              <w:rPr>
                <w:rStyle w:val="Hipervnculo"/>
                <w:rFonts w:ascii="Century Gothic" w:hAnsi="Century Gothic"/>
                <w:noProof/>
                <w:sz w:val="22"/>
                <w:szCs w:val="22"/>
              </w:rPr>
              <w:t>4.3.2</w:t>
            </w:r>
            <w:r w:rsidR="00AD5448" w:rsidRPr="00AD5448">
              <w:rPr>
                <w:rFonts w:ascii="Century Gothic" w:eastAsiaTheme="minorEastAsia" w:hAnsi="Century Gothic"/>
                <w:noProof/>
                <w:sz w:val="22"/>
                <w:szCs w:val="22"/>
                <w:lang w:val="es-MX" w:eastAsia="es-MX"/>
              </w:rPr>
              <w:tab/>
            </w:r>
            <w:r w:rsidR="00AD5448" w:rsidRPr="00AD5448">
              <w:rPr>
                <w:rStyle w:val="Hipervnculo"/>
                <w:rFonts w:ascii="Century Gothic" w:hAnsi="Century Gothic"/>
                <w:noProof/>
                <w:sz w:val="22"/>
                <w:szCs w:val="22"/>
              </w:rPr>
              <w:t>Procedimiento de Ejecución de obra contratada</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_Toc511236530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56</w:t>
            </w:r>
            <w:r w:rsidR="00AD5448" w:rsidRPr="00AD5448">
              <w:rPr>
                <w:rFonts w:ascii="Century Gothic" w:hAnsi="Century Gothic"/>
                <w:noProof/>
                <w:webHidden/>
                <w:sz w:val="22"/>
                <w:szCs w:val="22"/>
              </w:rPr>
              <w:fldChar w:fldCharType="end"/>
            </w:r>
          </w:hyperlink>
        </w:p>
        <w:p w14:paraId="1570885C" w14:textId="77777777" w:rsidR="00AD5448" w:rsidRPr="00AD5448" w:rsidRDefault="00BA5762" w:rsidP="00AD5448">
          <w:pPr>
            <w:pStyle w:val="TDC2"/>
            <w:tabs>
              <w:tab w:val="right" w:leader="dot" w:pos="9060"/>
            </w:tabs>
            <w:rPr>
              <w:rFonts w:ascii="Century Gothic" w:eastAsiaTheme="minorEastAsia" w:hAnsi="Century Gothic"/>
              <w:noProof/>
              <w:sz w:val="22"/>
              <w:szCs w:val="22"/>
              <w:lang w:val="es-MX" w:eastAsia="es-MX"/>
            </w:rPr>
          </w:pPr>
          <w:hyperlink w:anchor="_Toc511236531" w:history="1">
            <w:r w:rsidR="00AD5448" w:rsidRPr="00AD5448">
              <w:rPr>
                <w:rStyle w:val="Hipervnculo"/>
                <w:rFonts w:ascii="Century Gothic" w:hAnsi="Century Gothic"/>
                <w:noProof/>
                <w:sz w:val="22"/>
                <w:szCs w:val="22"/>
              </w:rPr>
              <w:t>4.4 Proceso: Seguimiento y control</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_Toc511236531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62</w:t>
            </w:r>
            <w:r w:rsidR="00AD5448" w:rsidRPr="00AD5448">
              <w:rPr>
                <w:rFonts w:ascii="Century Gothic" w:hAnsi="Century Gothic"/>
                <w:noProof/>
                <w:webHidden/>
                <w:sz w:val="22"/>
                <w:szCs w:val="22"/>
              </w:rPr>
              <w:fldChar w:fldCharType="end"/>
            </w:r>
          </w:hyperlink>
        </w:p>
        <w:p w14:paraId="192BEBA5" w14:textId="77777777" w:rsidR="00AD5448" w:rsidRPr="00AD5448" w:rsidRDefault="00BA5762" w:rsidP="00AD5448">
          <w:pPr>
            <w:pStyle w:val="TDC3"/>
            <w:tabs>
              <w:tab w:val="left" w:pos="1320"/>
              <w:tab w:val="right" w:leader="dot" w:pos="9060"/>
            </w:tabs>
            <w:rPr>
              <w:rFonts w:ascii="Century Gothic" w:eastAsiaTheme="minorEastAsia" w:hAnsi="Century Gothic"/>
              <w:noProof/>
              <w:sz w:val="22"/>
              <w:szCs w:val="22"/>
              <w:lang w:val="es-MX" w:eastAsia="es-MX"/>
            </w:rPr>
          </w:pPr>
          <w:hyperlink w:anchor="_Toc511236532" w:history="1">
            <w:r w:rsidR="00AD5448" w:rsidRPr="00AD5448">
              <w:rPr>
                <w:rStyle w:val="Hipervnculo"/>
                <w:rFonts w:ascii="Century Gothic" w:hAnsi="Century Gothic"/>
                <w:noProof/>
                <w:sz w:val="22"/>
                <w:szCs w:val="22"/>
              </w:rPr>
              <w:t>4.4.1</w:t>
            </w:r>
            <w:r w:rsidR="00AD5448" w:rsidRPr="00AD5448">
              <w:rPr>
                <w:rFonts w:ascii="Century Gothic" w:eastAsiaTheme="minorEastAsia" w:hAnsi="Century Gothic"/>
                <w:noProof/>
                <w:sz w:val="22"/>
                <w:szCs w:val="22"/>
                <w:lang w:val="es-MX" w:eastAsia="es-MX"/>
              </w:rPr>
              <w:tab/>
            </w:r>
            <w:r w:rsidR="00AD5448" w:rsidRPr="00AD5448">
              <w:rPr>
                <w:rStyle w:val="Hipervnculo"/>
                <w:rFonts w:ascii="Century Gothic" w:hAnsi="Century Gothic"/>
                <w:noProof/>
                <w:sz w:val="22"/>
                <w:szCs w:val="22"/>
              </w:rPr>
              <w:t>Plan de la calidad para la ejecución de la obra</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_Toc511236532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62</w:t>
            </w:r>
            <w:r w:rsidR="00AD5448" w:rsidRPr="00AD5448">
              <w:rPr>
                <w:rFonts w:ascii="Century Gothic" w:hAnsi="Century Gothic"/>
                <w:noProof/>
                <w:webHidden/>
                <w:sz w:val="22"/>
                <w:szCs w:val="22"/>
              </w:rPr>
              <w:fldChar w:fldCharType="end"/>
            </w:r>
          </w:hyperlink>
        </w:p>
        <w:p w14:paraId="44FBD196" w14:textId="77777777" w:rsidR="00AD5448" w:rsidRPr="00AD5448" w:rsidRDefault="00BA5762" w:rsidP="00AD5448">
          <w:pPr>
            <w:pStyle w:val="TDC2"/>
            <w:tabs>
              <w:tab w:val="right" w:leader="dot" w:pos="9060"/>
            </w:tabs>
            <w:rPr>
              <w:rFonts w:ascii="Century Gothic" w:eastAsiaTheme="minorEastAsia" w:hAnsi="Century Gothic"/>
              <w:noProof/>
              <w:sz w:val="22"/>
              <w:szCs w:val="22"/>
              <w:lang w:val="es-MX" w:eastAsia="es-MX"/>
            </w:rPr>
          </w:pPr>
          <w:hyperlink w:anchor="_Toc511236533" w:history="1">
            <w:r w:rsidR="00AD5448" w:rsidRPr="00AD5448">
              <w:rPr>
                <w:rStyle w:val="Hipervnculo"/>
                <w:rFonts w:ascii="Century Gothic" w:hAnsi="Century Gothic"/>
                <w:noProof/>
                <w:sz w:val="22"/>
                <w:szCs w:val="22"/>
              </w:rPr>
              <w:t>4.5 Proceso: Evaluación y Rendición de Cuentas</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_Toc511236533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66</w:t>
            </w:r>
            <w:r w:rsidR="00AD5448" w:rsidRPr="00AD5448">
              <w:rPr>
                <w:rFonts w:ascii="Century Gothic" w:hAnsi="Century Gothic"/>
                <w:noProof/>
                <w:webHidden/>
                <w:sz w:val="22"/>
                <w:szCs w:val="22"/>
              </w:rPr>
              <w:fldChar w:fldCharType="end"/>
            </w:r>
          </w:hyperlink>
        </w:p>
        <w:p w14:paraId="0BA44D9F" w14:textId="77777777" w:rsidR="00AD5448" w:rsidRPr="00AD5448" w:rsidRDefault="00BA5762" w:rsidP="00AD5448">
          <w:pPr>
            <w:pStyle w:val="TDC3"/>
            <w:tabs>
              <w:tab w:val="right" w:leader="dot" w:pos="9060"/>
            </w:tabs>
            <w:rPr>
              <w:rFonts w:ascii="Century Gothic" w:eastAsiaTheme="minorEastAsia" w:hAnsi="Century Gothic"/>
              <w:noProof/>
              <w:sz w:val="22"/>
              <w:szCs w:val="22"/>
              <w:lang w:val="es-MX" w:eastAsia="es-MX"/>
            </w:rPr>
          </w:pPr>
          <w:hyperlink w:anchor="_Toc511236534" w:history="1">
            <w:r w:rsidR="00AD5448" w:rsidRPr="00AD5448">
              <w:rPr>
                <w:rStyle w:val="Hipervnculo"/>
                <w:rFonts w:ascii="Century Gothic" w:hAnsi="Century Gothic"/>
                <w:noProof/>
                <w:sz w:val="22"/>
                <w:szCs w:val="22"/>
              </w:rPr>
              <w:t>4.5.1 Rendición de cuentas</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_Toc511236534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66</w:t>
            </w:r>
            <w:r w:rsidR="00AD5448" w:rsidRPr="00AD5448">
              <w:rPr>
                <w:rFonts w:ascii="Century Gothic" w:hAnsi="Century Gothic"/>
                <w:noProof/>
                <w:webHidden/>
                <w:sz w:val="22"/>
                <w:szCs w:val="22"/>
              </w:rPr>
              <w:fldChar w:fldCharType="end"/>
            </w:r>
          </w:hyperlink>
        </w:p>
        <w:p w14:paraId="39429658" w14:textId="77777777" w:rsidR="00AD5448" w:rsidRPr="00AD5448" w:rsidRDefault="00BA5762" w:rsidP="00AD5448">
          <w:pPr>
            <w:pStyle w:val="TDC3"/>
            <w:tabs>
              <w:tab w:val="right" w:leader="dot" w:pos="9060"/>
            </w:tabs>
            <w:rPr>
              <w:rFonts w:ascii="Century Gothic" w:eastAsiaTheme="minorEastAsia" w:hAnsi="Century Gothic"/>
              <w:noProof/>
              <w:sz w:val="22"/>
              <w:szCs w:val="22"/>
              <w:lang w:val="es-MX" w:eastAsia="es-MX"/>
            </w:rPr>
          </w:pPr>
          <w:hyperlink w:anchor="_Toc511236535" w:history="1">
            <w:r w:rsidR="00AD5448" w:rsidRPr="00AD5448">
              <w:rPr>
                <w:rStyle w:val="Hipervnculo"/>
                <w:rFonts w:ascii="Century Gothic" w:hAnsi="Century Gothic"/>
                <w:noProof/>
                <w:sz w:val="22"/>
                <w:szCs w:val="22"/>
              </w:rPr>
              <w:t>4.5.2 Evaluación</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_Toc511236535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67</w:t>
            </w:r>
            <w:r w:rsidR="00AD5448" w:rsidRPr="00AD5448">
              <w:rPr>
                <w:rFonts w:ascii="Century Gothic" w:hAnsi="Century Gothic"/>
                <w:noProof/>
                <w:webHidden/>
                <w:sz w:val="22"/>
                <w:szCs w:val="22"/>
              </w:rPr>
              <w:fldChar w:fldCharType="end"/>
            </w:r>
          </w:hyperlink>
        </w:p>
        <w:p w14:paraId="4A8E6FAE" w14:textId="77777777" w:rsidR="00AD5448" w:rsidRPr="00AD5448" w:rsidRDefault="00BA5762" w:rsidP="00AD5448">
          <w:pPr>
            <w:pStyle w:val="TDC1"/>
            <w:tabs>
              <w:tab w:val="left" w:pos="480"/>
              <w:tab w:val="right" w:leader="dot" w:pos="9060"/>
            </w:tabs>
            <w:rPr>
              <w:rFonts w:ascii="Century Gothic" w:eastAsiaTheme="minorEastAsia" w:hAnsi="Century Gothic"/>
              <w:noProof/>
              <w:sz w:val="22"/>
              <w:szCs w:val="22"/>
              <w:lang w:val="es-MX" w:eastAsia="es-MX"/>
            </w:rPr>
          </w:pPr>
          <w:hyperlink w:anchor="_Toc511236536" w:history="1">
            <w:r w:rsidR="00AD5448" w:rsidRPr="00AD5448">
              <w:rPr>
                <w:rStyle w:val="Hipervnculo"/>
                <w:rFonts w:ascii="Century Gothic" w:hAnsi="Century Gothic"/>
                <w:noProof/>
                <w:sz w:val="22"/>
                <w:szCs w:val="22"/>
              </w:rPr>
              <w:t>5.</w:t>
            </w:r>
            <w:r w:rsidR="00AD5448" w:rsidRPr="00AD5448">
              <w:rPr>
                <w:rFonts w:ascii="Century Gothic" w:eastAsiaTheme="minorEastAsia" w:hAnsi="Century Gothic"/>
                <w:noProof/>
                <w:sz w:val="22"/>
                <w:szCs w:val="22"/>
                <w:lang w:val="es-MX" w:eastAsia="es-MX"/>
              </w:rPr>
              <w:tab/>
            </w:r>
            <w:r w:rsidR="00AD5448" w:rsidRPr="00AD5448">
              <w:rPr>
                <w:rStyle w:val="Hipervnculo"/>
                <w:rFonts w:ascii="Century Gothic" w:hAnsi="Century Gothic"/>
                <w:noProof/>
                <w:sz w:val="22"/>
                <w:szCs w:val="22"/>
              </w:rPr>
              <w:t>Verificación del proceso en campo de obras</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_Toc511236536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71</w:t>
            </w:r>
            <w:r w:rsidR="00AD5448" w:rsidRPr="00AD5448">
              <w:rPr>
                <w:rFonts w:ascii="Century Gothic" w:hAnsi="Century Gothic"/>
                <w:noProof/>
                <w:webHidden/>
                <w:sz w:val="22"/>
                <w:szCs w:val="22"/>
              </w:rPr>
              <w:fldChar w:fldCharType="end"/>
            </w:r>
          </w:hyperlink>
        </w:p>
        <w:p w14:paraId="555F4B83" w14:textId="77777777" w:rsidR="00AD5448" w:rsidRPr="00AD5448" w:rsidRDefault="00BA5762" w:rsidP="00AD5448">
          <w:pPr>
            <w:pStyle w:val="TDC1"/>
            <w:tabs>
              <w:tab w:val="left" w:pos="480"/>
              <w:tab w:val="right" w:leader="dot" w:pos="9060"/>
            </w:tabs>
            <w:rPr>
              <w:rFonts w:ascii="Century Gothic" w:eastAsiaTheme="minorEastAsia" w:hAnsi="Century Gothic"/>
              <w:noProof/>
              <w:sz w:val="22"/>
              <w:szCs w:val="22"/>
              <w:lang w:val="es-MX" w:eastAsia="es-MX"/>
            </w:rPr>
          </w:pPr>
          <w:hyperlink w:anchor="_Toc511236537" w:history="1">
            <w:r w:rsidR="00AD5448" w:rsidRPr="00AD5448">
              <w:rPr>
                <w:rStyle w:val="Hipervnculo"/>
                <w:rFonts w:ascii="Century Gothic" w:hAnsi="Century Gothic"/>
                <w:noProof/>
                <w:sz w:val="22"/>
                <w:szCs w:val="22"/>
              </w:rPr>
              <w:t>6.</w:t>
            </w:r>
            <w:r w:rsidR="00AD5448" w:rsidRPr="00AD5448">
              <w:rPr>
                <w:rFonts w:ascii="Century Gothic" w:eastAsiaTheme="minorEastAsia" w:hAnsi="Century Gothic"/>
                <w:noProof/>
                <w:sz w:val="22"/>
                <w:szCs w:val="22"/>
                <w:lang w:val="es-MX" w:eastAsia="es-MX"/>
              </w:rPr>
              <w:tab/>
            </w:r>
            <w:r w:rsidR="00AD5448" w:rsidRPr="00AD5448">
              <w:rPr>
                <w:rStyle w:val="Hipervnculo"/>
                <w:rFonts w:ascii="Century Gothic" w:hAnsi="Century Gothic"/>
                <w:noProof/>
                <w:sz w:val="22"/>
                <w:szCs w:val="22"/>
              </w:rPr>
              <w:t>Conclusiones</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_Toc511236537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78</w:t>
            </w:r>
            <w:r w:rsidR="00AD5448" w:rsidRPr="00AD5448">
              <w:rPr>
                <w:rFonts w:ascii="Century Gothic" w:hAnsi="Century Gothic"/>
                <w:noProof/>
                <w:webHidden/>
                <w:sz w:val="22"/>
                <w:szCs w:val="22"/>
              </w:rPr>
              <w:fldChar w:fldCharType="end"/>
            </w:r>
          </w:hyperlink>
        </w:p>
        <w:p w14:paraId="43E0D09C" w14:textId="77777777" w:rsidR="00AD5448" w:rsidRPr="00AD5448" w:rsidRDefault="00BA5762" w:rsidP="00AD5448">
          <w:pPr>
            <w:pStyle w:val="TDC1"/>
            <w:tabs>
              <w:tab w:val="left" w:pos="480"/>
              <w:tab w:val="right" w:leader="dot" w:pos="9060"/>
            </w:tabs>
            <w:rPr>
              <w:rFonts w:ascii="Century Gothic" w:eastAsiaTheme="minorEastAsia" w:hAnsi="Century Gothic"/>
              <w:noProof/>
              <w:sz w:val="22"/>
              <w:szCs w:val="22"/>
              <w:lang w:val="es-MX" w:eastAsia="es-MX"/>
            </w:rPr>
          </w:pPr>
          <w:hyperlink w:anchor="_Toc511236538" w:history="1">
            <w:r w:rsidR="00AD5448" w:rsidRPr="00AD5448">
              <w:rPr>
                <w:rStyle w:val="Hipervnculo"/>
                <w:rFonts w:ascii="Century Gothic" w:hAnsi="Century Gothic"/>
                <w:noProof/>
                <w:sz w:val="22"/>
                <w:szCs w:val="22"/>
              </w:rPr>
              <w:t>7.</w:t>
            </w:r>
            <w:r w:rsidR="00AD5448" w:rsidRPr="00AD5448">
              <w:rPr>
                <w:rFonts w:ascii="Century Gothic" w:eastAsiaTheme="minorEastAsia" w:hAnsi="Century Gothic"/>
                <w:noProof/>
                <w:sz w:val="22"/>
                <w:szCs w:val="22"/>
                <w:lang w:val="es-MX" w:eastAsia="es-MX"/>
              </w:rPr>
              <w:tab/>
            </w:r>
            <w:r w:rsidR="00AD5448" w:rsidRPr="00AD5448">
              <w:rPr>
                <w:rStyle w:val="Hipervnculo"/>
                <w:rFonts w:ascii="Century Gothic" w:hAnsi="Century Gothic"/>
                <w:noProof/>
                <w:sz w:val="22"/>
                <w:szCs w:val="22"/>
              </w:rPr>
              <w:t>Análisis FODA y Recomendaciones</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_Toc511236538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83</w:t>
            </w:r>
            <w:r w:rsidR="00AD5448" w:rsidRPr="00AD5448">
              <w:rPr>
                <w:rFonts w:ascii="Century Gothic" w:hAnsi="Century Gothic"/>
                <w:noProof/>
                <w:webHidden/>
                <w:sz w:val="22"/>
                <w:szCs w:val="22"/>
              </w:rPr>
              <w:fldChar w:fldCharType="end"/>
            </w:r>
          </w:hyperlink>
        </w:p>
        <w:p w14:paraId="22AFB95B" w14:textId="77777777" w:rsidR="00AD5448" w:rsidRPr="00AD5448" w:rsidRDefault="00BA5762" w:rsidP="00AD5448">
          <w:pPr>
            <w:pStyle w:val="TDC2"/>
            <w:tabs>
              <w:tab w:val="right" w:leader="dot" w:pos="9060"/>
            </w:tabs>
            <w:rPr>
              <w:rFonts w:ascii="Century Gothic" w:eastAsiaTheme="minorEastAsia" w:hAnsi="Century Gothic"/>
              <w:noProof/>
              <w:sz w:val="22"/>
              <w:szCs w:val="22"/>
              <w:lang w:val="es-MX" w:eastAsia="es-MX"/>
            </w:rPr>
          </w:pPr>
          <w:hyperlink w:anchor="_Toc511236539" w:history="1">
            <w:r w:rsidR="00AD5448" w:rsidRPr="00AD5448">
              <w:rPr>
                <w:rStyle w:val="Hipervnculo"/>
                <w:rFonts w:ascii="Century Gothic" w:hAnsi="Century Gothic"/>
                <w:noProof/>
                <w:sz w:val="22"/>
                <w:szCs w:val="22"/>
              </w:rPr>
              <w:t>Análisis Interno</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_Toc511236539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83</w:t>
            </w:r>
            <w:r w:rsidR="00AD5448" w:rsidRPr="00AD5448">
              <w:rPr>
                <w:rFonts w:ascii="Century Gothic" w:hAnsi="Century Gothic"/>
                <w:noProof/>
                <w:webHidden/>
                <w:sz w:val="22"/>
                <w:szCs w:val="22"/>
              </w:rPr>
              <w:fldChar w:fldCharType="end"/>
            </w:r>
          </w:hyperlink>
        </w:p>
        <w:p w14:paraId="4A6692E1" w14:textId="77777777" w:rsidR="00AD5448" w:rsidRPr="00AD5448" w:rsidRDefault="00BA5762" w:rsidP="00AD5448">
          <w:pPr>
            <w:pStyle w:val="TDC2"/>
            <w:tabs>
              <w:tab w:val="right" w:leader="dot" w:pos="9060"/>
            </w:tabs>
            <w:rPr>
              <w:rFonts w:ascii="Century Gothic" w:eastAsiaTheme="minorEastAsia" w:hAnsi="Century Gothic"/>
              <w:noProof/>
              <w:sz w:val="22"/>
              <w:szCs w:val="22"/>
              <w:lang w:val="es-MX" w:eastAsia="es-MX"/>
            </w:rPr>
          </w:pPr>
          <w:hyperlink w:anchor="_Toc511236540" w:history="1">
            <w:r w:rsidR="00AD5448" w:rsidRPr="00AD5448">
              <w:rPr>
                <w:rStyle w:val="Hipervnculo"/>
                <w:rFonts w:ascii="Century Gothic" w:hAnsi="Century Gothic"/>
                <w:noProof/>
                <w:sz w:val="22"/>
                <w:szCs w:val="22"/>
              </w:rPr>
              <w:t>Análisis Externo</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_Toc511236540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85</w:t>
            </w:r>
            <w:r w:rsidR="00AD5448" w:rsidRPr="00AD5448">
              <w:rPr>
                <w:rFonts w:ascii="Century Gothic" w:hAnsi="Century Gothic"/>
                <w:noProof/>
                <w:webHidden/>
                <w:sz w:val="22"/>
                <w:szCs w:val="22"/>
              </w:rPr>
              <w:fldChar w:fldCharType="end"/>
            </w:r>
          </w:hyperlink>
        </w:p>
        <w:p w14:paraId="5C1D8BC4" w14:textId="77777777" w:rsidR="0080329D" w:rsidRPr="00AD5448" w:rsidRDefault="00BA5762" w:rsidP="00AD5448">
          <w:pPr>
            <w:pStyle w:val="TDC1"/>
            <w:tabs>
              <w:tab w:val="right" w:leader="dot" w:pos="9060"/>
            </w:tabs>
            <w:rPr>
              <w:rFonts w:ascii="Century Gothic" w:hAnsi="Century Gothic"/>
              <w:sz w:val="22"/>
              <w:szCs w:val="22"/>
            </w:rPr>
          </w:pPr>
          <w:hyperlink w:anchor="_Toc511236541" w:history="1">
            <w:r w:rsidR="00AD5448" w:rsidRPr="00AD5448">
              <w:rPr>
                <w:rStyle w:val="Hipervnculo"/>
                <w:rFonts w:ascii="Century Gothic" w:hAnsi="Century Gothic"/>
                <w:noProof/>
                <w:sz w:val="22"/>
                <w:szCs w:val="22"/>
              </w:rPr>
              <w:t>Fuentes de Consulta</w:t>
            </w:r>
            <w:r w:rsidR="00AD5448" w:rsidRPr="00AD5448">
              <w:rPr>
                <w:rFonts w:ascii="Century Gothic" w:hAnsi="Century Gothic"/>
                <w:noProof/>
                <w:webHidden/>
                <w:sz w:val="22"/>
                <w:szCs w:val="22"/>
              </w:rPr>
              <w:tab/>
            </w:r>
            <w:r w:rsidR="00AD5448" w:rsidRPr="00AD5448">
              <w:rPr>
                <w:rFonts w:ascii="Century Gothic" w:hAnsi="Century Gothic"/>
                <w:noProof/>
                <w:webHidden/>
                <w:sz w:val="22"/>
                <w:szCs w:val="22"/>
              </w:rPr>
              <w:fldChar w:fldCharType="begin"/>
            </w:r>
            <w:r w:rsidR="00AD5448" w:rsidRPr="00AD5448">
              <w:rPr>
                <w:rFonts w:ascii="Century Gothic" w:hAnsi="Century Gothic"/>
                <w:noProof/>
                <w:webHidden/>
                <w:sz w:val="22"/>
                <w:szCs w:val="22"/>
              </w:rPr>
              <w:instrText xml:space="preserve"> PAGEREF _Toc511236541 \h </w:instrText>
            </w:r>
            <w:r w:rsidR="00AD5448" w:rsidRPr="00AD5448">
              <w:rPr>
                <w:rFonts w:ascii="Century Gothic" w:hAnsi="Century Gothic"/>
                <w:noProof/>
                <w:webHidden/>
                <w:sz w:val="22"/>
                <w:szCs w:val="22"/>
              </w:rPr>
            </w:r>
            <w:r w:rsidR="00AD5448" w:rsidRPr="00AD5448">
              <w:rPr>
                <w:rFonts w:ascii="Century Gothic" w:hAnsi="Century Gothic"/>
                <w:noProof/>
                <w:webHidden/>
                <w:sz w:val="22"/>
                <w:szCs w:val="22"/>
              </w:rPr>
              <w:fldChar w:fldCharType="separate"/>
            </w:r>
            <w:r w:rsidR="00DA5EC9">
              <w:rPr>
                <w:rFonts w:ascii="Century Gothic" w:hAnsi="Century Gothic"/>
                <w:noProof/>
                <w:webHidden/>
                <w:sz w:val="22"/>
                <w:szCs w:val="22"/>
              </w:rPr>
              <w:t>86</w:t>
            </w:r>
            <w:r w:rsidR="00AD5448" w:rsidRPr="00AD5448">
              <w:rPr>
                <w:rFonts w:ascii="Century Gothic" w:hAnsi="Century Gothic"/>
                <w:noProof/>
                <w:webHidden/>
                <w:sz w:val="22"/>
                <w:szCs w:val="22"/>
              </w:rPr>
              <w:fldChar w:fldCharType="end"/>
            </w:r>
          </w:hyperlink>
          <w:r w:rsidR="0080329D" w:rsidRPr="00AD5448">
            <w:rPr>
              <w:rFonts w:ascii="Century Gothic" w:hAnsi="Century Gothic"/>
              <w:b/>
              <w:bCs/>
              <w:sz w:val="22"/>
              <w:szCs w:val="22"/>
              <w:lang w:val="es-ES"/>
            </w:rPr>
            <w:fldChar w:fldCharType="end"/>
          </w:r>
        </w:p>
      </w:sdtContent>
    </w:sdt>
    <w:p w14:paraId="7487C9B9" w14:textId="77777777" w:rsidR="001176E0" w:rsidRDefault="001176E0">
      <w:r>
        <w:br w:type="page"/>
      </w:r>
    </w:p>
    <w:tbl>
      <w:tblPr>
        <w:tblStyle w:val="Tablaconcuadrcula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1"/>
        <w:gridCol w:w="1059"/>
      </w:tblGrid>
      <w:tr w:rsidR="001176E0" w:rsidRPr="00462B9F" w14:paraId="3762CADC" w14:textId="77777777" w:rsidTr="007F1AC3">
        <w:trPr>
          <w:trHeight w:val="271"/>
          <w:jc w:val="center"/>
        </w:trPr>
        <w:tc>
          <w:tcPr>
            <w:tcW w:w="5000" w:type="pct"/>
            <w:gridSpan w:val="2"/>
          </w:tcPr>
          <w:p w14:paraId="1852B126" w14:textId="77777777" w:rsidR="001176E0" w:rsidRPr="00DC53A8" w:rsidRDefault="001176E0" w:rsidP="001176E0">
            <w:pPr>
              <w:spacing w:after="60"/>
              <w:jc w:val="center"/>
              <w:rPr>
                <w:rFonts w:ascii="Century Gothic" w:eastAsiaTheme="minorEastAsia" w:hAnsi="Century Gothic"/>
                <w:b/>
                <w:color w:val="0E4E7A"/>
                <w:sz w:val="20"/>
                <w:szCs w:val="20"/>
              </w:rPr>
            </w:pPr>
            <w:r w:rsidRPr="00DC53A8">
              <w:rPr>
                <w:rFonts w:ascii="Century Gothic" w:eastAsiaTheme="minorEastAsia" w:hAnsi="Century Gothic"/>
                <w:b/>
                <w:color w:val="0E4E7A"/>
                <w:sz w:val="28"/>
                <w:szCs w:val="20"/>
              </w:rPr>
              <w:lastRenderedPageBreak/>
              <w:t>Índice de cuadros</w:t>
            </w:r>
          </w:p>
        </w:tc>
      </w:tr>
      <w:tr w:rsidR="00CD0B2E" w:rsidRPr="00462B9F" w14:paraId="1181B984" w14:textId="77777777" w:rsidTr="007F1AC3">
        <w:trPr>
          <w:trHeight w:val="260"/>
          <w:jc w:val="center"/>
        </w:trPr>
        <w:tc>
          <w:tcPr>
            <w:tcW w:w="4416" w:type="pct"/>
            <w:vAlign w:val="center"/>
          </w:tcPr>
          <w:p w14:paraId="640D1B68" w14:textId="77777777" w:rsidR="00CD0B2E" w:rsidRPr="007D71E1" w:rsidRDefault="00CD0B2E" w:rsidP="001176E0">
            <w:pPr>
              <w:spacing w:after="60"/>
              <w:rPr>
                <w:rFonts w:ascii="Century Gothic" w:eastAsiaTheme="minorEastAsia" w:hAnsi="Century Gothic"/>
              </w:rPr>
            </w:pPr>
            <w:r w:rsidRPr="007D71E1">
              <w:rPr>
                <w:rFonts w:ascii="Century Gothic" w:eastAsiaTheme="minorEastAsia" w:hAnsi="Century Gothic"/>
              </w:rPr>
              <w:t>Cuadro 2.1 Fondos que integran las aportaciones federales a entidades federativas y municipios del Ramo 33</w:t>
            </w:r>
          </w:p>
        </w:tc>
        <w:tc>
          <w:tcPr>
            <w:tcW w:w="584" w:type="pct"/>
            <w:vAlign w:val="center"/>
          </w:tcPr>
          <w:p w14:paraId="65E15B8A"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19</w:t>
            </w:r>
          </w:p>
        </w:tc>
      </w:tr>
      <w:tr w:rsidR="00CD0B2E" w:rsidRPr="00462B9F" w14:paraId="774F23F0" w14:textId="77777777" w:rsidTr="007F1AC3">
        <w:trPr>
          <w:trHeight w:val="246"/>
          <w:jc w:val="center"/>
        </w:trPr>
        <w:tc>
          <w:tcPr>
            <w:tcW w:w="4416" w:type="pct"/>
          </w:tcPr>
          <w:p w14:paraId="38B6C483" w14:textId="77777777" w:rsidR="00CD0B2E" w:rsidRPr="007D71E1" w:rsidRDefault="00CD0B2E" w:rsidP="001176E0">
            <w:pPr>
              <w:spacing w:after="60"/>
              <w:rPr>
                <w:rFonts w:ascii="Century Gothic" w:hAnsi="Century Gothic"/>
              </w:rPr>
            </w:pPr>
            <w:r w:rsidRPr="007D71E1">
              <w:rPr>
                <w:rFonts w:ascii="Century Gothic" w:hAnsi="Century Gothic"/>
              </w:rPr>
              <w:t>Cuadro 2.2. Principales cambios en los Lineamientos del FAIS 2014 – 2016</w:t>
            </w:r>
          </w:p>
        </w:tc>
        <w:tc>
          <w:tcPr>
            <w:tcW w:w="584" w:type="pct"/>
            <w:vAlign w:val="center"/>
          </w:tcPr>
          <w:p w14:paraId="569D9AF9"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23</w:t>
            </w:r>
          </w:p>
        </w:tc>
      </w:tr>
      <w:tr w:rsidR="00CD0B2E" w:rsidRPr="00462B9F" w14:paraId="2BE01DC5" w14:textId="77777777" w:rsidTr="007F1AC3">
        <w:trPr>
          <w:trHeight w:val="246"/>
          <w:jc w:val="center"/>
        </w:trPr>
        <w:tc>
          <w:tcPr>
            <w:tcW w:w="4416" w:type="pct"/>
          </w:tcPr>
          <w:p w14:paraId="32229417" w14:textId="77777777" w:rsidR="00CD0B2E" w:rsidRPr="007D71E1" w:rsidRDefault="00CD0B2E" w:rsidP="001176E0">
            <w:pPr>
              <w:spacing w:after="60"/>
              <w:rPr>
                <w:rFonts w:ascii="Century Gothic" w:hAnsi="Century Gothic"/>
              </w:rPr>
            </w:pPr>
            <w:r w:rsidRPr="007D71E1">
              <w:rPr>
                <w:rFonts w:ascii="Century Gothic" w:hAnsi="Century Gothic"/>
              </w:rPr>
              <w:t>Cuadro 3.1. Presupuesto 2016 SEIDUR</w:t>
            </w:r>
          </w:p>
        </w:tc>
        <w:tc>
          <w:tcPr>
            <w:tcW w:w="584" w:type="pct"/>
            <w:vAlign w:val="center"/>
          </w:tcPr>
          <w:p w14:paraId="73981164"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36</w:t>
            </w:r>
          </w:p>
        </w:tc>
      </w:tr>
      <w:tr w:rsidR="00CD0B2E" w:rsidRPr="00462B9F" w14:paraId="43D7EF34" w14:textId="77777777" w:rsidTr="007F1AC3">
        <w:trPr>
          <w:trHeight w:val="246"/>
          <w:jc w:val="center"/>
        </w:trPr>
        <w:tc>
          <w:tcPr>
            <w:tcW w:w="4416" w:type="pct"/>
            <w:vAlign w:val="center"/>
          </w:tcPr>
          <w:p w14:paraId="4FE2CC88" w14:textId="77777777" w:rsidR="00CD0B2E" w:rsidRPr="007D71E1" w:rsidRDefault="00CD0B2E" w:rsidP="001176E0">
            <w:pPr>
              <w:spacing w:after="60"/>
              <w:rPr>
                <w:rFonts w:ascii="Century Gothic" w:eastAsiaTheme="minorEastAsia" w:hAnsi="Century Gothic"/>
              </w:rPr>
            </w:pPr>
            <w:r w:rsidRPr="007D71E1">
              <w:rPr>
                <w:rFonts w:ascii="Century Gothic" w:eastAsiaTheme="minorEastAsia" w:hAnsi="Century Gothic"/>
              </w:rPr>
              <w:t>Cuadro 3.2. Relación de obras - FISE 2016 SEIDUR</w:t>
            </w:r>
          </w:p>
        </w:tc>
        <w:tc>
          <w:tcPr>
            <w:tcW w:w="584" w:type="pct"/>
            <w:vAlign w:val="center"/>
          </w:tcPr>
          <w:p w14:paraId="4ACD5F90"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37</w:t>
            </w:r>
          </w:p>
        </w:tc>
      </w:tr>
      <w:tr w:rsidR="00CD0B2E" w:rsidRPr="00462B9F" w14:paraId="1F304418" w14:textId="77777777" w:rsidTr="007F1AC3">
        <w:trPr>
          <w:trHeight w:val="246"/>
          <w:jc w:val="center"/>
        </w:trPr>
        <w:tc>
          <w:tcPr>
            <w:tcW w:w="4416" w:type="pct"/>
            <w:vAlign w:val="center"/>
          </w:tcPr>
          <w:p w14:paraId="4E007A34" w14:textId="77777777" w:rsidR="00CD0B2E" w:rsidRPr="007D71E1" w:rsidRDefault="00CD0B2E" w:rsidP="001176E0">
            <w:pPr>
              <w:spacing w:after="60"/>
              <w:rPr>
                <w:rFonts w:ascii="Century Gothic" w:eastAsiaTheme="minorEastAsia" w:hAnsi="Century Gothic"/>
              </w:rPr>
            </w:pPr>
            <w:r w:rsidRPr="007D71E1">
              <w:rPr>
                <w:rFonts w:ascii="Century Gothic" w:eastAsiaTheme="minorEastAsia" w:hAnsi="Century Gothic"/>
              </w:rPr>
              <w:t>Cuadro 3.3. Inversión FISE - SEIDUR por municipio, 2016</w:t>
            </w:r>
          </w:p>
        </w:tc>
        <w:tc>
          <w:tcPr>
            <w:tcW w:w="584" w:type="pct"/>
            <w:vAlign w:val="center"/>
          </w:tcPr>
          <w:p w14:paraId="035CEE57"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38</w:t>
            </w:r>
          </w:p>
        </w:tc>
      </w:tr>
      <w:tr w:rsidR="00CD0B2E" w:rsidRPr="00462B9F" w14:paraId="1D00C10A" w14:textId="77777777" w:rsidTr="007F1AC3">
        <w:trPr>
          <w:trHeight w:val="246"/>
          <w:jc w:val="center"/>
        </w:trPr>
        <w:tc>
          <w:tcPr>
            <w:tcW w:w="4416" w:type="pct"/>
            <w:vAlign w:val="center"/>
          </w:tcPr>
          <w:p w14:paraId="19B100F2" w14:textId="77777777" w:rsidR="00CD0B2E" w:rsidRPr="007D71E1" w:rsidRDefault="00CD0B2E" w:rsidP="001176E0">
            <w:pPr>
              <w:spacing w:after="60"/>
              <w:rPr>
                <w:rFonts w:ascii="Century Gothic" w:eastAsiaTheme="minorEastAsia" w:hAnsi="Century Gothic"/>
              </w:rPr>
            </w:pPr>
            <w:r w:rsidRPr="007D71E1">
              <w:rPr>
                <w:rFonts w:ascii="Century Gothic" w:eastAsiaTheme="minorEastAsia" w:hAnsi="Century Gothic"/>
              </w:rPr>
              <w:t>Cuadro 4.1. Procesos certificados y sus objetivos</w:t>
            </w:r>
          </w:p>
        </w:tc>
        <w:tc>
          <w:tcPr>
            <w:tcW w:w="584" w:type="pct"/>
            <w:vAlign w:val="center"/>
          </w:tcPr>
          <w:p w14:paraId="367E0E8B"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40</w:t>
            </w:r>
          </w:p>
        </w:tc>
      </w:tr>
      <w:tr w:rsidR="00CD0B2E" w:rsidRPr="00462B9F" w14:paraId="4A58785C" w14:textId="77777777" w:rsidTr="007F1AC3">
        <w:trPr>
          <w:trHeight w:val="246"/>
          <w:jc w:val="center"/>
        </w:trPr>
        <w:tc>
          <w:tcPr>
            <w:tcW w:w="4416" w:type="pct"/>
            <w:vAlign w:val="center"/>
          </w:tcPr>
          <w:p w14:paraId="40FA6E9B" w14:textId="77777777" w:rsidR="00CD0B2E" w:rsidRPr="007D71E1" w:rsidRDefault="00CD0B2E" w:rsidP="001176E0">
            <w:pPr>
              <w:spacing w:after="60"/>
              <w:rPr>
                <w:rFonts w:ascii="Century Gothic" w:eastAsiaTheme="minorEastAsia" w:hAnsi="Century Gothic"/>
              </w:rPr>
            </w:pPr>
            <w:r w:rsidRPr="007D71E1">
              <w:rPr>
                <w:rFonts w:ascii="Century Gothic" w:eastAsiaTheme="minorEastAsia" w:hAnsi="Century Gothic"/>
              </w:rPr>
              <w:t>Cuadro 4.2. Desagregado de Actividades para la Asignación del Recurso</w:t>
            </w:r>
          </w:p>
        </w:tc>
        <w:tc>
          <w:tcPr>
            <w:tcW w:w="584" w:type="pct"/>
            <w:vAlign w:val="center"/>
          </w:tcPr>
          <w:p w14:paraId="6271FF35"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42</w:t>
            </w:r>
          </w:p>
        </w:tc>
      </w:tr>
      <w:tr w:rsidR="00CD0B2E" w:rsidRPr="00462B9F" w14:paraId="01890DDA" w14:textId="77777777" w:rsidTr="007F1AC3">
        <w:trPr>
          <w:trHeight w:val="246"/>
          <w:jc w:val="center"/>
        </w:trPr>
        <w:tc>
          <w:tcPr>
            <w:tcW w:w="4416" w:type="pct"/>
            <w:vAlign w:val="center"/>
          </w:tcPr>
          <w:p w14:paraId="3F0E2EAC" w14:textId="77777777" w:rsidR="00CD0B2E" w:rsidRPr="007D71E1" w:rsidRDefault="00CD0B2E" w:rsidP="001176E0">
            <w:pPr>
              <w:spacing w:after="60"/>
              <w:rPr>
                <w:rFonts w:ascii="Century Gothic" w:eastAsiaTheme="minorEastAsia" w:hAnsi="Century Gothic"/>
              </w:rPr>
            </w:pPr>
            <w:r w:rsidRPr="007D71E1">
              <w:rPr>
                <w:rFonts w:ascii="Century Gothic" w:eastAsiaTheme="minorEastAsia" w:hAnsi="Century Gothic"/>
              </w:rPr>
              <w:t>Cuadro 4.3. Desagregado de Actividades para la Planeación</w:t>
            </w:r>
          </w:p>
        </w:tc>
        <w:tc>
          <w:tcPr>
            <w:tcW w:w="584" w:type="pct"/>
            <w:vAlign w:val="center"/>
          </w:tcPr>
          <w:p w14:paraId="1E2160BE"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44</w:t>
            </w:r>
          </w:p>
        </w:tc>
      </w:tr>
      <w:tr w:rsidR="00CD0B2E" w:rsidRPr="00462B9F" w14:paraId="787C293F" w14:textId="77777777" w:rsidTr="007F1AC3">
        <w:trPr>
          <w:trHeight w:val="246"/>
          <w:jc w:val="center"/>
        </w:trPr>
        <w:tc>
          <w:tcPr>
            <w:tcW w:w="4416" w:type="pct"/>
            <w:vAlign w:val="center"/>
          </w:tcPr>
          <w:p w14:paraId="01E519D9" w14:textId="77777777" w:rsidR="00CD0B2E" w:rsidRPr="007D71E1" w:rsidRDefault="00CD0B2E" w:rsidP="001176E0">
            <w:pPr>
              <w:spacing w:after="60"/>
              <w:rPr>
                <w:rFonts w:ascii="Century Gothic" w:eastAsiaTheme="minorEastAsia" w:hAnsi="Century Gothic"/>
              </w:rPr>
            </w:pPr>
            <w:r w:rsidRPr="007D71E1">
              <w:rPr>
                <w:rFonts w:ascii="Century Gothic" w:eastAsiaTheme="minorEastAsia" w:hAnsi="Century Gothic"/>
              </w:rPr>
              <w:t>Cuadro 5.1. Obras desarrolladas por la SEIDUR con recursos del FISE, 2016.</w:t>
            </w:r>
          </w:p>
        </w:tc>
        <w:tc>
          <w:tcPr>
            <w:tcW w:w="584" w:type="pct"/>
            <w:vAlign w:val="center"/>
          </w:tcPr>
          <w:p w14:paraId="4D1D4F68"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71</w:t>
            </w:r>
          </w:p>
        </w:tc>
      </w:tr>
      <w:tr w:rsidR="00CD0B2E" w:rsidRPr="00462B9F" w14:paraId="054CD2E8" w14:textId="77777777" w:rsidTr="007F1AC3">
        <w:trPr>
          <w:trHeight w:val="246"/>
          <w:jc w:val="center"/>
        </w:trPr>
        <w:tc>
          <w:tcPr>
            <w:tcW w:w="4416" w:type="pct"/>
            <w:vAlign w:val="center"/>
          </w:tcPr>
          <w:p w14:paraId="4E474D06" w14:textId="77777777" w:rsidR="00CD0B2E" w:rsidRPr="007D71E1" w:rsidRDefault="00CD0B2E" w:rsidP="001176E0">
            <w:pPr>
              <w:spacing w:after="60"/>
              <w:rPr>
                <w:rFonts w:ascii="Century Gothic" w:eastAsiaTheme="minorEastAsia" w:hAnsi="Century Gothic"/>
              </w:rPr>
            </w:pPr>
            <w:r w:rsidRPr="007D71E1">
              <w:rPr>
                <w:rFonts w:ascii="Century Gothic" w:eastAsiaTheme="minorEastAsia" w:hAnsi="Century Gothic"/>
              </w:rPr>
              <w:t>Cuadro 5.2. Verificación proceso obras seleccionadas</w:t>
            </w:r>
          </w:p>
        </w:tc>
        <w:tc>
          <w:tcPr>
            <w:tcW w:w="584" w:type="pct"/>
            <w:vAlign w:val="center"/>
          </w:tcPr>
          <w:p w14:paraId="2062B1D4"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77</w:t>
            </w:r>
          </w:p>
        </w:tc>
      </w:tr>
    </w:tbl>
    <w:p w14:paraId="6F43CD4B" w14:textId="77777777" w:rsidR="001176E0" w:rsidRDefault="001176E0" w:rsidP="001176E0">
      <w:pPr>
        <w:rPr>
          <w:rFonts w:ascii="Arial" w:hAnsi="Arial" w:cs="Arial"/>
        </w:rPr>
      </w:pPr>
    </w:p>
    <w:tbl>
      <w:tblPr>
        <w:tblStyle w:val="Tablaconcuadrcula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8"/>
        <w:gridCol w:w="1052"/>
      </w:tblGrid>
      <w:tr w:rsidR="001176E0" w:rsidRPr="00B32D56" w14:paraId="682D9B5B" w14:textId="77777777" w:rsidTr="007F1AC3">
        <w:trPr>
          <w:tblHeader/>
          <w:jc w:val="center"/>
        </w:trPr>
        <w:tc>
          <w:tcPr>
            <w:tcW w:w="5000" w:type="pct"/>
            <w:gridSpan w:val="2"/>
          </w:tcPr>
          <w:p w14:paraId="1727AD3C" w14:textId="77777777" w:rsidR="001176E0" w:rsidRPr="00B32D56" w:rsidRDefault="001176E0" w:rsidP="001176E0">
            <w:pPr>
              <w:spacing w:after="60"/>
              <w:jc w:val="center"/>
              <w:rPr>
                <w:rFonts w:eastAsiaTheme="minorEastAsia"/>
                <w:b/>
                <w:sz w:val="20"/>
                <w:szCs w:val="20"/>
              </w:rPr>
            </w:pPr>
            <w:r w:rsidRPr="00DC53A8">
              <w:rPr>
                <w:rFonts w:ascii="Century Gothic" w:eastAsiaTheme="minorEastAsia" w:hAnsi="Century Gothic"/>
                <w:b/>
                <w:color w:val="0E4E7A"/>
                <w:sz w:val="28"/>
                <w:szCs w:val="20"/>
              </w:rPr>
              <w:t xml:space="preserve">Índice de </w:t>
            </w:r>
            <w:r>
              <w:rPr>
                <w:rFonts w:ascii="Century Gothic" w:eastAsiaTheme="minorEastAsia" w:hAnsi="Century Gothic"/>
                <w:b/>
                <w:color w:val="0E4E7A"/>
                <w:sz w:val="28"/>
                <w:szCs w:val="20"/>
              </w:rPr>
              <w:t>figuras</w:t>
            </w:r>
          </w:p>
        </w:tc>
      </w:tr>
      <w:tr w:rsidR="00CD0B2E" w:rsidRPr="00B32D56" w14:paraId="22C10D33" w14:textId="77777777" w:rsidTr="007F1AC3">
        <w:trPr>
          <w:jc w:val="center"/>
        </w:trPr>
        <w:tc>
          <w:tcPr>
            <w:tcW w:w="4420" w:type="pct"/>
            <w:vAlign w:val="center"/>
          </w:tcPr>
          <w:p w14:paraId="38ADD39E" w14:textId="77777777" w:rsidR="00CD0B2E" w:rsidRPr="007D71E1" w:rsidRDefault="00CD0B2E" w:rsidP="001176E0">
            <w:pPr>
              <w:spacing w:after="60"/>
              <w:rPr>
                <w:rFonts w:ascii="Century Gothic" w:eastAsiaTheme="minorEastAsia" w:hAnsi="Century Gothic"/>
                <w:lang w:val="es-ES_tradnl"/>
              </w:rPr>
            </w:pPr>
            <w:r w:rsidRPr="007D71E1">
              <w:rPr>
                <w:rFonts w:ascii="Century Gothic" w:eastAsiaTheme="minorEastAsia" w:hAnsi="Century Gothic"/>
                <w:lang w:val="es-MX"/>
              </w:rPr>
              <w:t>Figura 1.1. Modelo General del Macro-proceso</w:t>
            </w:r>
          </w:p>
        </w:tc>
        <w:tc>
          <w:tcPr>
            <w:tcW w:w="580" w:type="pct"/>
            <w:vAlign w:val="center"/>
          </w:tcPr>
          <w:p w14:paraId="7F9C1AE7"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13</w:t>
            </w:r>
          </w:p>
        </w:tc>
      </w:tr>
      <w:tr w:rsidR="00CD0B2E" w:rsidRPr="00B32D56" w14:paraId="15778C4D" w14:textId="77777777" w:rsidTr="007F1AC3">
        <w:trPr>
          <w:jc w:val="center"/>
        </w:trPr>
        <w:tc>
          <w:tcPr>
            <w:tcW w:w="4420" w:type="pct"/>
            <w:vAlign w:val="center"/>
          </w:tcPr>
          <w:p w14:paraId="63242BFA"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2.1 Evolución de los Fondos para el Combate a la pobreza y el desarrollo social y de su marco jurídico y conceptual</w:t>
            </w:r>
          </w:p>
        </w:tc>
        <w:tc>
          <w:tcPr>
            <w:tcW w:w="580" w:type="pct"/>
            <w:vAlign w:val="center"/>
          </w:tcPr>
          <w:p w14:paraId="7DB7F679"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18</w:t>
            </w:r>
          </w:p>
        </w:tc>
      </w:tr>
      <w:tr w:rsidR="00CD0B2E" w:rsidRPr="00B32D56" w14:paraId="2FFEEF24" w14:textId="77777777" w:rsidTr="007F1AC3">
        <w:trPr>
          <w:jc w:val="center"/>
        </w:trPr>
        <w:tc>
          <w:tcPr>
            <w:tcW w:w="4420" w:type="pct"/>
            <w:vAlign w:val="center"/>
          </w:tcPr>
          <w:p w14:paraId="264E21B1"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 xml:space="preserve">Figura 3.1. Origen del recurso y su ejecución a través del Programa Presupuestario. </w:t>
            </w:r>
          </w:p>
        </w:tc>
        <w:tc>
          <w:tcPr>
            <w:tcW w:w="580" w:type="pct"/>
            <w:vAlign w:val="center"/>
          </w:tcPr>
          <w:p w14:paraId="1E6F543A"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35</w:t>
            </w:r>
          </w:p>
        </w:tc>
      </w:tr>
      <w:tr w:rsidR="00CD0B2E" w:rsidRPr="00B32D56" w14:paraId="4974B82D" w14:textId="77777777" w:rsidTr="007F1AC3">
        <w:trPr>
          <w:jc w:val="center"/>
        </w:trPr>
        <w:tc>
          <w:tcPr>
            <w:tcW w:w="4420" w:type="pct"/>
            <w:vAlign w:val="center"/>
          </w:tcPr>
          <w:p w14:paraId="62290926"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4.1. Flujograma: Asignación del Recurso</w:t>
            </w:r>
          </w:p>
        </w:tc>
        <w:tc>
          <w:tcPr>
            <w:tcW w:w="580" w:type="pct"/>
            <w:vAlign w:val="center"/>
          </w:tcPr>
          <w:p w14:paraId="5B50E52C"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42</w:t>
            </w:r>
          </w:p>
        </w:tc>
      </w:tr>
      <w:tr w:rsidR="00CD0B2E" w:rsidRPr="00B32D56" w14:paraId="28878B83" w14:textId="77777777" w:rsidTr="007F1AC3">
        <w:trPr>
          <w:jc w:val="center"/>
        </w:trPr>
        <w:tc>
          <w:tcPr>
            <w:tcW w:w="4420" w:type="pct"/>
            <w:vAlign w:val="center"/>
          </w:tcPr>
          <w:p w14:paraId="1DCA8578"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4.2. Flujograma Proceso: Planeación</w:t>
            </w:r>
          </w:p>
        </w:tc>
        <w:tc>
          <w:tcPr>
            <w:tcW w:w="580" w:type="pct"/>
            <w:vAlign w:val="center"/>
          </w:tcPr>
          <w:p w14:paraId="7D6F0E61"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45</w:t>
            </w:r>
          </w:p>
        </w:tc>
      </w:tr>
      <w:tr w:rsidR="00CD0B2E" w:rsidRPr="00B32D56" w14:paraId="27007901" w14:textId="77777777" w:rsidTr="007F1AC3">
        <w:trPr>
          <w:jc w:val="center"/>
        </w:trPr>
        <w:tc>
          <w:tcPr>
            <w:tcW w:w="4420" w:type="pct"/>
            <w:vAlign w:val="center"/>
          </w:tcPr>
          <w:p w14:paraId="72FFE632"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4.3. Diagrama: Plan de Calidad para proyectos ejecutivos</w:t>
            </w:r>
          </w:p>
          <w:p w14:paraId="5E2F028D"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 xml:space="preserve">Etapa Estudios Topográficos </w:t>
            </w:r>
            <w:r>
              <w:rPr>
                <w:rFonts w:ascii="Century Gothic" w:eastAsiaTheme="minorEastAsia" w:hAnsi="Century Gothic"/>
                <w:lang w:val="es-MX"/>
              </w:rPr>
              <w:t>–</w:t>
            </w:r>
            <w:r w:rsidRPr="007D71E1">
              <w:rPr>
                <w:rFonts w:ascii="Century Gothic" w:eastAsiaTheme="minorEastAsia" w:hAnsi="Century Gothic"/>
                <w:lang w:val="es-MX"/>
              </w:rPr>
              <w:t xml:space="preserve"> suelos</w:t>
            </w:r>
          </w:p>
        </w:tc>
        <w:tc>
          <w:tcPr>
            <w:tcW w:w="580" w:type="pct"/>
            <w:vAlign w:val="center"/>
          </w:tcPr>
          <w:p w14:paraId="4C81B4C3"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48</w:t>
            </w:r>
          </w:p>
        </w:tc>
      </w:tr>
      <w:tr w:rsidR="00CD0B2E" w:rsidRPr="00B32D56" w14:paraId="71AF4930" w14:textId="77777777" w:rsidTr="007F1AC3">
        <w:trPr>
          <w:jc w:val="center"/>
        </w:trPr>
        <w:tc>
          <w:tcPr>
            <w:tcW w:w="4420" w:type="pct"/>
            <w:vAlign w:val="center"/>
          </w:tcPr>
          <w:p w14:paraId="582EDEDF"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4.3. Diagrama: Plan de Calidad para proyectos ejecutivos</w:t>
            </w:r>
          </w:p>
          <w:p w14:paraId="1929041B"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Etapa Estudios Anteproyecto – Proyecto Ejecutivo</w:t>
            </w:r>
          </w:p>
        </w:tc>
        <w:tc>
          <w:tcPr>
            <w:tcW w:w="580" w:type="pct"/>
            <w:vAlign w:val="center"/>
          </w:tcPr>
          <w:p w14:paraId="558F3349"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49</w:t>
            </w:r>
          </w:p>
        </w:tc>
      </w:tr>
      <w:tr w:rsidR="00CD0B2E" w:rsidRPr="00B32D56" w14:paraId="0F7F555A" w14:textId="77777777" w:rsidTr="007F1AC3">
        <w:trPr>
          <w:jc w:val="center"/>
        </w:trPr>
        <w:tc>
          <w:tcPr>
            <w:tcW w:w="4420" w:type="pct"/>
            <w:vAlign w:val="center"/>
          </w:tcPr>
          <w:p w14:paraId="6C97B630"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4.3. Diagrama: Plan de Calidad para proyectos ejecutivos</w:t>
            </w:r>
          </w:p>
          <w:p w14:paraId="1335441B"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Etapa Expediente Unitario de Obra</w:t>
            </w:r>
          </w:p>
        </w:tc>
        <w:tc>
          <w:tcPr>
            <w:tcW w:w="580" w:type="pct"/>
            <w:vAlign w:val="center"/>
          </w:tcPr>
          <w:p w14:paraId="7D826C3D"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50</w:t>
            </w:r>
          </w:p>
        </w:tc>
      </w:tr>
      <w:tr w:rsidR="00CD0B2E" w:rsidRPr="00B32D56" w14:paraId="0AC7B79D" w14:textId="77777777" w:rsidTr="007F1AC3">
        <w:trPr>
          <w:jc w:val="center"/>
        </w:trPr>
        <w:tc>
          <w:tcPr>
            <w:tcW w:w="4420" w:type="pct"/>
            <w:vAlign w:val="center"/>
          </w:tcPr>
          <w:p w14:paraId="22FA1478" w14:textId="77777777" w:rsidR="00CD0B2E" w:rsidRPr="007D71E1" w:rsidRDefault="00CD0B2E" w:rsidP="001176E0">
            <w:pPr>
              <w:spacing w:after="60"/>
              <w:rPr>
                <w:rFonts w:ascii="Century Gothic" w:eastAsiaTheme="minorEastAsia" w:hAnsi="Century Gothic"/>
                <w:lang w:val="es-ES_tradnl"/>
              </w:rPr>
            </w:pPr>
            <w:r w:rsidRPr="007D71E1">
              <w:rPr>
                <w:rFonts w:ascii="Century Gothic" w:eastAsiaTheme="minorEastAsia" w:hAnsi="Century Gothic"/>
              </w:rPr>
              <w:t>Figura 4.4. Modelo para el Desarrollo de Viabilidad de estudios topográficos o de mecánica de suelos.</w:t>
            </w:r>
          </w:p>
        </w:tc>
        <w:tc>
          <w:tcPr>
            <w:tcW w:w="580" w:type="pct"/>
            <w:vAlign w:val="center"/>
          </w:tcPr>
          <w:p w14:paraId="6EF010F7"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51</w:t>
            </w:r>
          </w:p>
        </w:tc>
      </w:tr>
      <w:tr w:rsidR="00CD0B2E" w:rsidRPr="00B32D56" w14:paraId="6AEBCC8A" w14:textId="77777777" w:rsidTr="007F1AC3">
        <w:trPr>
          <w:jc w:val="center"/>
        </w:trPr>
        <w:tc>
          <w:tcPr>
            <w:tcW w:w="4420" w:type="pct"/>
            <w:vAlign w:val="center"/>
          </w:tcPr>
          <w:p w14:paraId="2ADBBA75"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4.5. Diagrama del Plan de la Calidad para la Contratación</w:t>
            </w:r>
          </w:p>
          <w:p w14:paraId="4A8CEBBA"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Etapa Modalidad de Contratación</w:t>
            </w:r>
          </w:p>
        </w:tc>
        <w:tc>
          <w:tcPr>
            <w:tcW w:w="580" w:type="pct"/>
            <w:vAlign w:val="center"/>
          </w:tcPr>
          <w:p w14:paraId="1B3C1484"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54</w:t>
            </w:r>
          </w:p>
        </w:tc>
      </w:tr>
      <w:tr w:rsidR="00CD0B2E" w:rsidRPr="00B32D56" w14:paraId="2FCD5CD7" w14:textId="77777777" w:rsidTr="007F1AC3">
        <w:trPr>
          <w:jc w:val="center"/>
        </w:trPr>
        <w:tc>
          <w:tcPr>
            <w:tcW w:w="4420" w:type="pct"/>
            <w:vAlign w:val="center"/>
          </w:tcPr>
          <w:p w14:paraId="7312B9FF"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4.5. Diagrama del Plan de la Calidad para la Contratación</w:t>
            </w:r>
          </w:p>
          <w:p w14:paraId="3076732F"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Etapa Contratación</w:t>
            </w:r>
          </w:p>
        </w:tc>
        <w:tc>
          <w:tcPr>
            <w:tcW w:w="580" w:type="pct"/>
            <w:vAlign w:val="center"/>
          </w:tcPr>
          <w:p w14:paraId="4B2D9C2E"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55</w:t>
            </w:r>
          </w:p>
        </w:tc>
      </w:tr>
      <w:tr w:rsidR="00CD0B2E" w:rsidRPr="00B32D56" w14:paraId="53182366" w14:textId="77777777" w:rsidTr="007F1AC3">
        <w:trPr>
          <w:jc w:val="center"/>
        </w:trPr>
        <w:tc>
          <w:tcPr>
            <w:tcW w:w="4420" w:type="pct"/>
            <w:vAlign w:val="center"/>
          </w:tcPr>
          <w:p w14:paraId="746F6C8F"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4.6. Desarrollo del subproceso de contratación según modalidad de contratación</w:t>
            </w:r>
          </w:p>
        </w:tc>
        <w:tc>
          <w:tcPr>
            <w:tcW w:w="580" w:type="pct"/>
            <w:vAlign w:val="center"/>
          </w:tcPr>
          <w:p w14:paraId="71A49C96"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56</w:t>
            </w:r>
          </w:p>
        </w:tc>
      </w:tr>
      <w:tr w:rsidR="00CD0B2E" w:rsidRPr="00B32D56" w14:paraId="6D84CFFC" w14:textId="77777777" w:rsidTr="007F1AC3">
        <w:trPr>
          <w:jc w:val="center"/>
        </w:trPr>
        <w:tc>
          <w:tcPr>
            <w:tcW w:w="4420" w:type="pct"/>
            <w:vAlign w:val="center"/>
          </w:tcPr>
          <w:p w14:paraId="6012D219"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4.7. Diagrama: Procedimiento de ejecución de obra contratada</w:t>
            </w:r>
          </w:p>
          <w:p w14:paraId="4D130550"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Etapa Ejecución de Obra</w:t>
            </w:r>
          </w:p>
        </w:tc>
        <w:tc>
          <w:tcPr>
            <w:tcW w:w="580" w:type="pct"/>
            <w:vAlign w:val="center"/>
          </w:tcPr>
          <w:p w14:paraId="6DBFAE0B"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59</w:t>
            </w:r>
          </w:p>
        </w:tc>
      </w:tr>
      <w:tr w:rsidR="00CD0B2E" w:rsidRPr="00B32D56" w14:paraId="1C21E23B" w14:textId="77777777" w:rsidTr="007F1AC3">
        <w:trPr>
          <w:jc w:val="center"/>
        </w:trPr>
        <w:tc>
          <w:tcPr>
            <w:tcW w:w="4420" w:type="pct"/>
            <w:vAlign w:val="center"/>
          </w:tcPr>
          <w:p w14:paraId="1B2BD748"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4.7. Diagrama: Procedimiento de ejecución de obra contratada</w:t>
            </w:r>
          </w:p>
          <w:p w14:paraId="7BEEABCF"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Etapa Estimaciones</w:t>
            </w:r>
          </w:p>
        </w:tc>
        <w:tc>
          <w:tcPr>
            <w:tcW w:w="580" w:type="pct"/>
            <w:vAlign w:val="center"/>
          </w:tcPr>
          <w:p w14:paraId="0E422F6B"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60</w:t>
            </w:r>
          </w:p>
        </w:tc>
      </w:tr>
      <w:tr w:rsidR="00CD0B2E" w:rsidRPr="00B32D56" w14:paraId="284F6659" w14:textId="77777777" w:rsidTr="007F1AC3">
        <w:trPr>
          <w:jc w:val="center"/>
        </w:trPr>
        <w:tc>
          <w:tcPr>
            <w:tcW w:w="4420" w:type="pct"/>
            <w:vAlign w:val="center"/>
          </w:tcPr>
          <w:p w14:paraId="5AF0BA6A"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4.7. Diagrama: Procedimiento de ejecución de obra contratada</w:t>
            </w:r>
          </w:p>
          <w:p w14:paraId="602C4B33"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lastRenderedPageBreak/>
              <w:t>Etapa Cierre de Obra</w:t>
            </w:r>
          </w:p>
        </w:tc>
        <w:tc>
          <w:tcPr>
            <w:tcW w:w="580" w:type="pct"/>
            <w:vAlign w:val="center"/>
          </w:tcPr>
          <w:p w14:paraId="1E4DC370"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lastRenderedPageBreak/>
              <w:t>61</w:t>
            </w:r>
          </w:p>
        </w:tc>
      </w:tr>
      <w:tr w:rsidR="00CD0B2E" w:rsidRPr="00B32D56" w14:paraId="7EA47872" w14:textId="77777777" w:rsidTr="007F1AC3">
        <w:trPr>
          <w:jc w:val="center"/>
        </w:trPr>
        <w:tc>
          <w:tcPr>
            <w:tcW w:w="4420" w:type="pct"/>
            <w:vAlign w:val="center"/>
          </w:tcPr>
          <w:p w14:paraId="091622D3"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lastRenderedPageBreak/>
              <w:t>Figura 4.8. Diagrama: Plan de la Calidad para la ejecución de la obra</w:t>
            </w:r>
          </w:p>
          <w:p w14:paraId="3142BEDD"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Etapa Residente de Obra</w:t>
            </w:r>
          </w:p>
        </w:tc>
        <w:tc>
          <w:tcPr>
            <w:tcW w:w="580" w:type="pct"/>
            <w:vAlign w:val="center"/>
          </w:tcPr>
          <w:p w14:paraId="68A0DF54"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63</w:t>
            </w:r>
          </w:p>
        </w:tc>
      </w:tr>
      <w:tr w:rsidR="00CD0B2E" w:rsidRPr="00B32D56" w14:paraId="6F2621DC" w14:textId="77777777" w:rsidTr="007F1AC3">
        <w:trPr>
          <w:jc w:val="center"/>
        </w:trPr>
        <w:tc>
          <w:tcPr>
            <w:tcW w:w="4420" w:type="pct"/>
            <w:vAlign w:val="center"/>
          </w:tcPr>
          <w:p w14:paraId="06ADB2F1"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4.8. Diagrama: Plan de la Calidad para la ejecución de la obra</w:t>
            </w:r>
          </w:p>
          <w:p w14:paraId="50B66F0A"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Etapa Supervisión – terminación de Obra</w:t>
            </w:r>
          </w:p>
        </w:tc>
        <w:tc>
          <w:tcPr>
            <w:tcW w:w="580" w:type="pct"/>
            <w:vAlign w:val="center"/>
          </w:tcPr>
          <w:p w14:paraId="01CEA1E9"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64</w:t>
            </w:r>
          </w:p>
        </w:tc>
      </w:tr>
      <w:tr w:rsidR="00CD0B2E" w:rsidRPr="00B32D56" w14:paraId="41F2859F" w14:textId="77777777" w:rsidTr="007F1AC3">
        <w:trPr>
          <w:jc w:val="center"/>
        </w:trPr>
        <w:tc>
          <w:tcPr>
            <w:tcW w:w="4420" w:type="pct"/>
            <w:vAlign w:val="center"/>
          </w:tcPr>
          <w:p w14:paraId="24EDFA4C" w14:textId="77777777" w:rsidR="00CD0B2E" w:rsidRPr="007D71E1" w:rsidRDefault="00CD0B2E" w:rsidP="001176E0">
            <w:pPr>
              <w:spacing w:after="60"/>
              <w:rPr>
                <w:rFonts w:ascii="Century Gothic" w:eastAsiaTheme="minorEastAsia" w:hAnsi="Century Gothic"/>
                <w:lang w:val="es-ES_tradnl"/>
              </w:rPr>
            </w:pPr>
            <w:r w:rsidRPr="007D71E1">
              <w:rPr>
                <w:rFonts w:ascii="Century Gothic" w:eastAsiaTheme="minorEastAsia" w:hAnsi="Century Gothic"/>
              </w:rPr>
              <w:t>Figura 4.9. Desarrollo del proceso de supervisión de la obra</w:t>
            </w:r>
          </w:p>
        </w:tc>
        <w:tc>
          <w:tcPr>
            <w:tcW w:w="580" w:type="pct"/>
            <w:vAlign w:val="center"/>
          </w:tcPr>
          <w:p w14:paraId="58A80C73"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65</w:t>
            </w:r>
          </w:p>
        </w:tc>
      </w:tr>
      <w:tr w:rsidR="00CD0B2E" w:rsidRPr="00B32D56" w14:paraId="067E89D4" w14:textId="77777777" w:rsidTr="007F1AC3">
        <w:trPr>
          <w:jc w:val="center"/>
        </w:trPr>
        <w:tc>
          <w:tcPr>
            <w:tcW w:w="4420" w:type="pct"/>
            <w:vAlign w:val="center"/>
          </w:tcPr>
          <w:p w14:paraId="0FFD098B"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4.10. Desarrollo el proceso de Rendición de cuentas</w:t>
            </w:r>
          </w:p>
        </w:tc>
        <w:tc>
          <w:tcPr>
            <w:tcW w:w="580" w:type="pct"/>
            <w:vAlign w:val="center"/>
          </w:tcPr>
          <w:p w14:paraId="7963D8BB"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67</w:t>
            </w:r>
          </w:p>
        </w:tc>
      </w:tr>
      <w:tr w:rsidR="00CD0B2E" w:rsidRPr="00B32D56" w14:paraId="54D153CE" w14:textId="77777777" w:rsidTr="007F1AC3">
        <w:trPr>
          <w:jc w:val="center"/>
        </w:trPr>
        <w:tc>
          <w:tcPr>
            <w:tcW w:w="4420" w:type="pct"/>
            <w:vAlign w:val="center"/>
          </w:tcPr>
          <w:p w14:paraId="3F7A424A"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4.11. Pasos para el desarrollo del proceso de evaluación</w:t>
            </w:r>
          </w:p>
        </w:tc>
        <w:tc>
          <w:tcPr>
            <w:tcW w:w="580" w:type="pct"/>
            <w:vAlign w:val="center"/>
          </w:tcPr>
          <w:p w14:paraId="504DD42B"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68</w:t>
            </w:r>
          </w:p>
        </w:tc>
      </w:tr>
      <w:tr w:rsidR="00CD0B2E" w:rsidRPr="00B32D56" w14:paraId="49E424BD" w14:textId="77777777" w:rsidTr="007F1AC3">
        <w:trPr>
          <w:jc w:val="center"/>
        </w:trPr>
        <w:tc>
          <w:tcPr>
            <w:tcW w:w="4420" w:type="pct"/>
            <w:vAlign w:val="center"/>
          </w:tcPr>
          <w:p w14:paraId="7D88EC09"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4.12. Macroproceso general para el desarrollo de Infraestructura</w:t>
            </w:r>
          </w:p>
        </w:tc>
        <w:tc>
          <w:tcPr>
            <w:tcW w:w="580" w:type="pct"/>
            <w:vAlign w:val="center"/>
          </w:tcPr>
          <w:p w14:paraId="08D40C2F"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69</w:t>
            </w:r>
          </w:p>
        </w:tc>
      </w:tr>
      <w:tr w:rsidR="00CD0B2E" w:rsidRPr="00B32D56" w14:paraId="3B2183EE" w14:textId="77777777" w:rsidTr="007F1AC3">
        <w:trPr>
          <w:jc w:val="center"/>
        </w:trPr>
        <w:tc>
          <w:tcPr>
            <w:tcW w:w="4420" w:type="pct"/>
            <w:vAlign w:val="center"/>
          </w:tcPr>
          <w:p w14:paraId="5062534E"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5.1. Proceso Asignación del Recurso Obras – FISE SEIDUR 2016.</w:t>
            </w:r>
          </w:p>
        </w:tc>
        <w:tc>
          <w:tcPr>
            <w:tcW w:w="580" w:type="pct"/>
            <w:vAlign w:val="center"/>
          </w:tcPr>
          <w:p w14:paraId="6722BFB5"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73</w:t>
            </w:r>
          </w:p>
        </w:tc>
      </w:tr>
      <w:tr w:rsidR="00CD0B2E" w:rsidRPr="00B32D56" w14:paraId="42F34505" w14:textId="77777777" w:rsidTr="007F1AC3">
        <w:trPr>
          <w:jc w:val="center"/>
        </w:trPr>
        <w:tc>
          <w:tcPr>
            <w:tcW w:w="4420" w:type="pct"/>
            <w:vAlign w:val="center"/>
          </w:tcPr>
          <w:p w14:paraId="0FCF20FF"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5.2. Proceso Planeación: Plan de Calidad para proyectos ejecutivos– FISE SEIDUR 2016.</w:t>
            </w:r>
          </w:p>
        </w:tc>
        <w:tc>
          <w:tcPr>
            <w:tcW w:w="580" w:type="pct"/>
            <w:vAlign w:val="center"/>
          </w:tcPr>
          <w:p w14:paraId="1831A0D2"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74</w:t>
            </w:r>
          </w:p>
        </w:tc>
      </w:tr>
      <w:tr w:rsidR="00CD0B2E" w:rsidRPr="00B32D56" w14:paraId="31D6A42E" w14:textId="77777777" w:rsidTr="007F1AC3">
        <w:trPr>
          <w:jc w:val="center"/>
        </w:trPr>
        <w:tc>
          <w:tcPr>
            <w:tcW w:w="4420" w:type="pct"/>
            <w:vAlign w:val="center"/>
          </w:tcPr>
          <w:p w14:paraId="09ABBB85"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5.3. Proceso ejercicio: Plan de calidad de la contratación - FISE SEIDUR 2016.</w:t>
            </w:r>
          </w:p>
        </w:tc>
        <w:tc>
          <w:tcPr>
            <w:tcW w:w="580" w:type="pct"/>
            <w:vAlign w:val="center"/>
          </w:tcPr>
          <w:p w14:paraId="1C45839B"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75</w:t>
            </w:r>
          </w:p>
        </w:tc>
      </w:tr>
      <w:tr w:rsidR="00CD0B2E" w:rsidRPr="00B32D56" w14:paraId="2AAD207D" w14:textId="77777777" w:rsidTr="007F1AC3">
        <w:trPr>
          <w:jc w:val="center"/>
        </w:trPr>
        <w:tc>
          <w:tcPr>
            <w:tcW w:w="4420" w:type="pct"/>
            <w:vAlign w:val="center"/>
          </w:tcPr>
          <w:p w14:paraId="12654E82" w14:textId="77777777" w:rsidR="00CD0B2E" w:rsidRPr="007D71E1" w:rsidRDefault="00CD0B2E" w:rsidP="001176E0">
            <w:pPr>
              <w:spacing w:after="60"/>
              <w:rPr>
                <w:rFonts w:ascii="Century Gothic" w:eastAsiaTheme="minorEastAsia" w:hAnsi="Century Gothic"/>
                <w:lang w:val="es-MX"/>
              </w:rPr>
            </w:pPr>
            <w:r w:rsidRPr="007D71E1">
              <w:rPr>
                <w:rFonts w:ascii="Century Gothic" w:eastAsiaTheme="minorEastAsia" w:hAnsi="Century Gothic"/>
                <w:lang w:val="es-MX"/>
              </w:rPr>
              <w:t>Figura 5.4. Proceso ejercicio: Procedimiento de Ejecución de obra contratada - FISE SEIDUR 2016</w:t>
            </w:r>
          </w:p>
        </w:tc>
        <w:tc>
          <w:tcPr>
            <w:tcW w:w="580" w:type="pct"/>
            <w:vAlign w:val="center"/>
          </w:tcPr>
          <w:p w14:paraId="538183E1" w14:textId="77777777" w:rsidR="00CD0B2E" w:rsidRPr="007D71E1" w:rsidRDefault="00CD0B2E" w:rsidP="00A43E7C">
            <w:pPr>
              <w:spacing w:after="60"/>
              <w:jc w:val="center"/>
              <w:rPr>
                <w:rFonts w:ascii="Century Gothic" w:eastAsiaTheme="minorEastAsia" w:hAnsi="Century Gothic"/>
              </w:rPr>
            </w:pPr>
            <w:r>
              <w:rPr>
                <w:rFonts w:ascii="Century Gothic" w:eastAsiaTheme="minorEastAsia" w:hAnsi="Century Gothic"/>
              </w:rPr>
              <w:t>76</w:t>
            </w:r>
          </w:p>
        </w:tc>
      </w:tr>
    </w:tbl>
    <w:p w14:paraId="4EC41567" w14:textId="77777777" w:rsidR="001176E0" w:rsidRDefault="001176E0" w:rsidP="001176E0"/>
    <w:tbl>
      <w:tblPr>
        <w:tblStyle w:val="Tablaconcuadrcula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8"/>
        <w:gridCol w:w="1052"/>
      </w:tblGrid>
      <w:tr w:rsidR="001176E0" w:rsidRPr="00B32D56" w14:paraId="710CD097" w14:textId="77777777" w:rsidTr="007F1AC3">
        <w:trPr>
          <w:jc w:val="center"/>
        </w:trPr>
        <w:tc>
          <w:tcPr>
            <w:tcW w:w="5000" w:type="pct"/>
            <w:gridSpan w:val="2"/>
          </w:tcPr>
          <w:p w14:paraId="537600E2" w14:textId="77777777" w:rsidR="001176E0" w:rsidRPr="00B32D56" w:rsidRDefault="001176E0" w:rsidP="001176E0">
            <w:pPr>
              <w:spacing w:after="60"/>
              <w:jc w:val="center"/>
              <w:rPr>
                <w:rFonts w:eastAsiaTheme="minorEastAsia"/>
                <w:b/>
                <w:sz w:val="20"/>
                <w:szCs w:val="20"/>
              </w:rPr>
            </w:pPr>
            <w:r w:rsidRPr="00DC53A8">
              <w:rPr>
                <w:rFonts w:ascii="Century Gothic" w:eastAsiaTheme="minorEastAsia" w:hAnsi="Century Gothic"/>
                <w:b/>
                <w:color w:val="0E4E7A"/>
                <w:sz w:val="28"/>
                <w:szCs w:val="20"/>
              </w:rPr>
              <w:t xml:space="preserve">Índice de </w:t>
            </w:r>
            <w:r>
              <w:rPr>
                <w:rFonts w:ascii="Century Gothic" w:eastAsiaTheme="minorEastAsia" w:hAnsi="Century Gothic"/>
                <w:b/>
                <w:color w:val="0E4E7A"/>
                <w:sz w:val="28"/>
                <w:szCs w:val="20"/>
              </w:rPr>
              <w:t>Mapas y Fotografías</w:t>
            </w:r>
          </w:p>
        </w:tc>
      </w:tr>
      <w:tr w:rsidR="00CD0B2E" w:rsidRPr="00B32D56" w14:paraId="1FDA0DE4" w14:textId="77777777" w:rsidTr="007F1AC3">
        <w:trPr>
          <w:jc w:val="center"/>
        </w:trPr>
        <w:tc>
          <w:tcPr>
            <w:tcW w:w="4420" w:type="pct"/>
            <w:vAlign w:val="center"/>
          </w:tcPr>
          <w:p w14:paraId="13AB1FAD" w14:textId="77777777" w:rsidR="00CD0B2E" w:rsidRPr="007D71E1" w:rsidRDefault="00CD0B2E" w:rsidP="001176E0">
            <w:pPr>
              <w:spacing w:after="60"/>
              <w:rPr>
                <w:rFonts w:ascii="Century Gothic" w:eastAsiaTheme="minorEastAsia" w:hAnsi="Century Gothic"/>
                <w:szCs w:val="20"/>
                <w:lang w:val="es-ES_tradnl"/>
              </w:rPr>
            </w:pPr>
            <w:r w:rsidRPr="007D71E1">
              <w:rPr>
                <w:rFonts w:ascii="Century Gothic" w:eastAsiaTheme="minorEastAsia" w:hAnsi="Century Gothic"/>
                <w:szCs w:val="20"/>
              </w:rPr>
              <w:t>Mapa 2.1. Ubicación localidad Carlos Vázquez.</w:t>
            </w:r>
          </w:p>
        </w:tc>
        <w:tc>
          <w:tcPr>
            <w:tcW w:w="580" w:type="pct"/>
            <w:vAlign w:val="center"/>
          </w:tcPr>
          <w:p w14:paraId="26EAFC34" w14:textId="77777777" w:rsidR="00CD0B2E" w:rsidRPr="007D71E1" w:rsidRDefault="00CD0B2E" w:rsidP="00A43E7C">
            <w:pPr>
              <w:spacing w:after="60"/>
              <w:jc w:val="center"/>
              <w:rPr>
                <w:rFonts w:ascii="Century Gothic" w:eastAsiaTheme="minorEastAsia" w:hAnsi="Century Gothic"/>
                <w:szCs w:val="20"/>
              </w:rPr>
            </w:pPr>
            <w:r>
              <w:rPr>
                <w:rFonts w:ascii="Century Gothic" w:eastAsiaTheme="minorEastAsia" w:hAnsi="Century Gothic"/>
                <w:szCs w:val="20"/>
              </w:rPr>
              <w:t>29</w:t>
            </w:r>
          </w:p>
        </w:tc>
      </w:tr>
      <w:tr w:rsidR="00CD0B2E" w:rsidRPr="00B32D56" w14:paraId="5C0598F7" w14:textId="77777777" w:rsidTr="007F1AC3">
        <w:trPr>
          <w:jc w:val="center"/>
        </w:trPr>
        <w:tc>
          <w:tcPr>
            <w:tcW w:w="4420" w:type="pct"/>
            <w:vAlign w:val="center"/>
          </w:tcPr>
          <w:p w14:paraId="0B53A3BF" w14:textId="77777777" w:rsidR="00CD0B2E" w:rsidRPr="007D71E1" w:rsidRDefault="00CD0B2E" w:rsidP="001176E0">
            <w:pPr>
              <w:spacing w:after="60"/>
              <w:rPr>
                <w:rFonts w:ascii="Century Gothic" w:eastAsiaTheme="minorEastAsia" w:hAnsi="Century Gothic"/>
                <w:szCs w:val="20"/>
                <w:lang w:val="es-MX"/>
              </w:rPr>
            </w:pPr>
            <w:r w:rsidRPr="007D71E1">
              <w:rPr>
                <w:rFonts w:ascii="Century Gothic" w:eastAsiaTheme="minorEastAsia" w:hAnsi="Century Gothic"/>
                <w:szCs w:val="20"/>
                <w:lang w:val="es-MX"/>
              </w:rPr>
              <w:t>Fotografía2.1 Localidad Carlos Vázquez, Colima</w:t>
            </w:r>
          </w:p>
        </w:tc>
        <w:tc>
          <w:tcPr>
            <w:tcW w:w="580" w:type="pct"/>
            <w:vAlign w:val="center"/>
          </w:tcPr>
          <w:p w14:paraId="22BD878B" w14:textId="77777777" w:rsidR="00CD0B2E" w:rsidRPr="007D71E1" w:rsidRDefault="00CD0B2E" w:rsidP="00A43E7C">
            <w:pPr>
              <w:spacing w:after="60"/>
              <w:jc w:val="center"/>
              <w:rPr>
                <w:rFonts w:ascii="Century Gothic" w:eastAsiaTheme="minorEastAsia" w:hAnsi="Century Gothic"/>
                <w:szCs w:val="20"/>
              </w:rPr>
            </w:pPr>
            <w:r>
              <w:rPr>
                <w:rFonts w:ascii="Century Gothic" w:eastAsiaTheme="minorEastAsia" w:hAnsi="Century Gothic"/>
                <w:szCs w:val="20"/>
              </w:rPr>
              <w:t>30</w:t>
            </w:r>
          </w:p>
        </w:tc>
      </w:tr>
      <w:tr w:rsidR="00CD0B2E" w:rsidRPr="00B32D56" w14:paraId="542FB2AF" w14:textId="77777777" w:rsidTr="007F1AC3">
        <w:trPr>
          <w:jc w:val="center"/>
        </w:trPr>
        <w:tc>
          <w:tcPr>
            <w:tcW w:w="4420" w:type="pct"/>
            <w:vAlign w:val="center"/>
          </w:tcPr>
          <w:p w14:paraId="5DCA21C8" w14:textId="77777777" w:rsidR="00CD0B2E" w:rsidRPr="007D71E1" w:rsidRDefault="00CD0B2E" w:rsidP="001176E0">
            <w:pPr>
              <w:spacing w:after="60"/>
              <w:rPr>
                <w:rFonts w:ascii="Century Gothic" w:eastAsiaTheme="minorEastAsia" w:hAnsi="Century Gothic"/>
                <w:szCs w:val="20"/>
                <w:lang w:val="es-MX"/>
              </w:rPr>
            </w:pPr>
            <w:r w:rsidRPr="007D71E1">
              <w:rPr>
                <w:rFonts w:ascii="Century Gothic" w:eastAsiaTheme="minorEastAsia" w:hAnsi="Century Gothic"/>
                <w:szCs w:val="20"/>
                <w:lang w:val="es-MX"/>
              </w:rPr>
              <w:t>Fotografías 4.1. Taller con funcionarios</w:t>
            </w:r>
          </w:p>
        </w:tc>
        <w:tc>
          <w:tcPr>
            <w:tcW w:w="580" w:type="pct"/>
            <w:vAlign w:val="center"/>
          </w:tcPr>
          <w:p w14:paraId="2E7EDEA2" w14:textId="77777777" w:rsidR="00CD0B2E" w:rsidRPr="007D71E1" w:rsidRDefault="00CD0B2E" w:rsidP="00A43E7C">
            <w:pPr>
              <w:spacing w:after="60"/>
              <w:jc w:val="center"/>
              <w:rPr>
                <w:rFonts w:ascii="Century Gothic" w:eastAsiaTheme="minorEastAsia" w:hAnsi="Century Gothic"/>
                <w:szCs w:val="20"/>
              </w:rPr>
            </w:pPr>
            <w:r>
              <w:rPr>
                <w:rFonts w:ascii="Century Gothic" w:eastAsiaTheme="minorEastAsia" w:hAnsi="Century Gothic"/>
                <w:szCs w:val="20"/>
              </w:rPr>
              <w:t>41</w:t>
            </w:r>
          </w:p>
        </w:tc>
      </w:tr>
      <w:tr w:rsidR="00CD0B2E" w:rsidRPr="00B32D56" w14:paraId="6DA1BEEB" w14:textId="77777777" w:rsidTr="007F1AC3">
        <w:trPr>
          <w:jc w:val="center"/>
        </w:trPr>
        <w:tc>
          <w:tcPr>
            <w:tcW w:w="4420" w:type="pct"/>
            <w:vAlign w:val="center"/>
          </w:tcPr>
          <w:p w14:paraId="44E6C881" w14:textId="77777777" w:rsidR="00CD0B2E" w:rsidRPr="007D71E1" w:rsidRDefault="00CD0B2E" w:rsidP="001176E0">
            <w:pPr>
              <w:spacing w:after="60"/>
              <w:rPr>
                <w:rFonts w:ascii="Century Gothic" w:eastAsiaTheme="minorEastAsia" w:hAnsi="Century Gothic"/>
                <w:szCs w:val="20"/>
                <w:lang w:val="es-MX"/>
              </w:rPr>
            </w:pPr>
            <w:r w:rsidRPr="007D71E1">
              <w:rPr>
                <w:rFonts w:ascii="Century Gothic" w:eastAsiaTheme="minorEastAsia" w:hAnsi="Century Gothic"/>
                <w:szCs w:val="20"/>
                <w:lang w:val="es-MX"/>
              </w:rPr>
              <w:t>Fotografías 5.1. Obras visitadas</w:t>
            </w:r>
          </w:p>
        </w:tc>
        <w:tc>
          <w:tcPr>
            <w:tcW w:w="580" w:type="pct"/>
            <w:vAlign w:val="center"/>
          </w:tcPr>
          <w:p w14:paraId="64A6CA0A" w14:textId="77777777" w:rsidR="00CD0B2E" w:rsidRPr="007D71E1" w:rsidRDefault="00CD0B2E" w:rsidP="00A43E7C">
            <w:pPr>
              <w:spacing w:after="60"/>
              <w:jc w:val="center"/>
              <w:rPr>
                <w:rFonts w:ascii="Century Gothic" w:eastAsiaTheme="minorEastAsia" w:hAnsi="Century Gothic"/>
                <w:szCs w:val="20"/>
              </w:rPr>
            </w:pPr>
            <w:r>
              <w:rPr>
                <w:rFonts w:ascii="Century Gothic" w:eastAsiaTheme="minorEastAsia" w:hAnsi="Century Gothic"/>
                <w:szCs w:val="20"/>
              </w:rPr>
              <w:t>72</w:t>
            </w:r>
          </w:p>
        </w:tc>
      </w:tr>
    </w:tbl>
    <w:p w14:paraId="71261CAD" w14:textId="77777777" w:rsidR="001176E0" w:rsidRDefault="001176E0" w:rsidP="00C76AF2">
      <w:pPr>
        <w:pStyle w:val="Sinespaciado"/>
      </w:pPr>
    </w:p>
    <w:p w14:paraId="5E271AD9" w14:textId="77777777" w:rsidR="00C76AF2" w:rsidRDefault="00C76AF2">
      <w:pPr>
        <w:rPr>
          <w:rFonts w:ascii="Century Gothic" w:eastAsiaTheme="majorEastAsia" w:hAnsi="Century Gothic" w:cstheme="majorBidi"/>
          <w:b/>
          <w:bCs/>
          <w:color w:val="0E4E7A"/>
          <w:sz w:val="28"/>
          <w:szCs w:val="28"/>
        </w:rPr>
      </w:pPr>
      <w:r>
        <w:rPr>
          <w:rFonts w:ascii="Century Gothic" w:hAnsi="Century Gothic"/>
          <w:color w:val="0E4E7A"/>
        </w:rPr>
        <w:br w:type="page"/>
      </w:r>
    </w:p>
    <w:p w14:paraId="1D3DD65E" w14:textId="77777777" w:rsidR="00550203" w:rsidRPr="000B6EC3" w:rsidRDefault="00B07691" w:rsidP="000B6EC3">
      <w:pPr>
        <w:pStyle w:val="Ttulo1"/>
        <w:spacing w:before="0" w:after="240"/>
        <w:rPr>
          <w:rFonts w:ascii="Century Gothic" w:hAnsi="Century Gothic"/>
          <w:color w:val="0E4E7A"/>
        </w:rPr>
      </w:pPr>
      <w:bookmarkStart w:id="1" w:name="_Toc511236515"/>
      <w:r w:rsidRPr="000B6EC3">
        <w:rPr>
          <w:rFonts w:ascii="Century Gothic" w:hAnsi="Century Gothic"/>
          <w:color w:val="0E4E7A"/>
        </w:rPr>
        <w:lastRenderedPageBreak/>
        <w:t>Introducción</w:t>
      </w:r>
      <w:bookmarkEnd w:id="1"/>
    </w:p>
    <w:p w14:paraId="68559E53" w14:textId="77777777" w:rsidR="00495B9E" w:rsidRDefault="00980C53" w:rsidP="00495B9E">
      <w:pPr>
        <w:spacing w:after="240" w:line="276" w:lineRule="auto"/>
        <w:jc w:val="both"/>
        <w:rPr>
          <w:rFonts w:ascii="Century Gothic" w:hAnsi="Century Gothic"/>
          <w:szCs w:val="28"/>
        </w:rPr>
      </w:pPr>
      <w:r w:rsidRPr="00980C53">
        <w:rPr>
          <w:rFonts w:ascii="Century Gothic" w:hAnsi="Century Gothic"/>
          <w:szCs w:val="28"/>
        </w:rPr>
        <w:t xml:space="preserve">El </w:t>
      </w:r>
      <w:r w:rsidR="00495B9E" w:rsidRPr="00980C53">
        <w:rPr>
          <w:rFonts w:ascii="Century Gothic" w:hAnsi="Century Gothic"/>
          <w:szCs w:val="28"/>
        </w:rPr>
        <w:t>sistema actual de Evaluación de Desempeño en México tiene como antecedente un marco legal que se ha ido transformando a lo largo de varias décadas de acuerdo con difer</w:t>
      </w:r>
      <w:r w:rsidR="00495B9E">
        <w:rPr>
          <w:rFonts w:ascii="Century Gothic" w:hAnsi="Century Gothic"/>
          <w:szCs w:val="28"/>
        </w:rPr>
        <w:t>entes esquemas presupuestarios; p</w:t>
      </w:r>
      <w:r w:rsidR="00495B9E" w:rsidRPr="00980C53">
        <w:rPr>
          <w:rFonts w:ascii="Century Gothic" w:hAnsi="Century Gothic"/>
          <w:szCs w:val="28"/>
        </w:rPr>
        <w:t>ara operacionalizar este enfoque, existe un marco normativo que se desprende de la Constitución Política de los Estados Unidos Mexicanos; la cual, e</w:t>
      </w:r>
      <w:r w:rsidR="00495B9E">
        <w:rPr>
          <w:rFonts w:ascii="Century Gothic" w:hAnsi="Century Gothic"/>
          <w:szCs w:val="28"/>
        </w:rPr>
        <w:t xml:space="preserve">n su artículo 134, expone que: </w:t>
      </w:r>
    </w:p>
    <w:p w14:paraId="37A7CF9D" w14:textId="77777777" w:rsidR="00495B9E" w:rsidRPr="00980C53" w:rsidRDefault="00495B9E" w:rsidP="00495B9E">
      <w:pPr>
        <w:spacing w:after="240" w:line="276" w:lineRule="auto"/>
        <w:ind w:left="284" w:right="333"/>
        <w:jc w:val="both"/>
        <w:rPr>
          <w:rFonts w:ascii="Century Gothic" w:hAnsi="Century Gothic"/>
          <w:szCs w:val="28"/>
        </w:rPr>
      </w:pPr>
      <w:r w:rsidRPr="00980C53">
        <w:rPr>
          <w:rFonts w:ascii="Century Gothic" w:hAnsi="Century Gothic"/>
          <w:szCs w:val="28"/>
        </w:rPr>
        <w:t xml:space="preserve">Los recursos económicos de que dispongan la Federación, las entidades federativas, los Municipios y las demarcaciones territoriales de la Ciudad de México, se administrarán con </w:t>
      </w:r>
      <w:r w:rsidRPr="00C76AF2">
        <w:rPr>
          <w:rFonts w:ascii="Century Gothic" w:hAnsi="Century Gothic"/>
          <w:b/>
          <w:szCs w:val="28"/>
        </w:rPr>
        <w:t>eficiencia, eficacia, economía, transparencia y honradez</w:t>
      </w:r>
      <w:r w:rsidRPr="00980C53">
        <w:rPr>
          <w:rFonts w:ascii="Century Gothic" w:hAnsi="Century Gothic"/>
          <w:szCs w:val="28"/>
        </w:rPr>
        <w:t>; para cumplir con los objetivos</w:t>
      </w:r>
      <w:r>
        <w:rPr>
          <w:rFonts w:ascii="Century Gothic" w:hAnsi="Century Gothic"/>
          <w:szCs w:val="28"/>
        </w:rPr>
        <w:t xml:space="preserve"> a los que están predestinados, </w:t>
      </w:r>
      <w:r w:rsidRPr="00980C53">
        <w:rPr>
          <w:rFonts w:ascii="Century Gothic" w:hAnsi="Century Gothic"/>
          <w:szCs w:val="28"/>
        </w:rPr>
        <w:t>(DOF 29-01-2016).</w:t>
      </w:r>
    </w:p>
    <w:p w14:paraId="3BD47E5F" w14:textId="77777777" w:rsidR="00495B9E" w:rsidRPr="00980C53" w:rsidRDefault="00495B9E" w:rsidP="00495B9E">
      <w:pPr>
        <w:spacing w:after="240" w:line="276" w:lineRule="auto"/>
        <w:jc w:val="both"/>
        <w:rPr>
          <w:rFonts w:ascii="Century Gothic" w:hAnsi="Century Gothic"/>
          <w:szCs w:val="28"/>
        </w:rPr>
      </w:pPr>
      <w:r w:rsidRPr="00980C53">
        <w:rPr>
          <w:rFonts w:ascii="Century Gothic" w:hAnsi="Century Gothic"/>
          <w:szCs w:val="28"/>
        </w:rPr>
        <w:t>Derivado de este artículo se plantea el problema de cómo determinar que se cumplan las características de este mandato constitucional, es decir, cómo y bajo qué parámetros se miden.</w:t>
      </w:r>
    </w:p>
    <w:p w14:paraId="6200CF29" w14:textId="77777777" w:rsidR="00495B9E" w:rsidRPr="00980C53" w:rsidRDefault="00495B9E" w:rsidP="00495B9E">
      <w:pPr>
        <w:spacing w:after="240" w:line="276" w:lineRule="auto"/>
        <w:jc w:val="both"/>
        <w:rPr>
          <w:rFonts w:ascii="Century Gothic" w:hAnsi="Century Gothic"/>
          <w:szCs w:val="28"/>
        </w:rPr>
      </w:pPr>
      <w:r w:rsidRPr="00980C53">
        <w:rPr>
          <w:rFonts w:ascii="Century Gothic" w:hAnsi="Century Gothic"/>
          <w:szCs w:val="28"/>
        </w:rPr>
        <w:t xml:space="preserve">Es así como en la Ley de Coordinación Fiscal (LCF), artículo 49, se señala que el control, evaluación y fiscalización del manejo de los recursos federales será de la siguiente manera: </w:t>
      </w:r>
    </w:p>
    <w:p w14:paraId="54185121" w14:textId="77777777" w:rsidR="00495B9E" w:rsidRPr="00980C53" w:rsidRDefault="00495B9E" w:rsidP="00495B9E">
      <w:pPr>
        <w:spacing w:after="240" w:line="276" w:lineRule="auto"/>
        <w:ind w:left="284" w:right="333"/>
        <w:jc w:val="both"/>
        <w:rPr>
          <w:rFonts w:ascii="Century Gothic" w:eastAsia="Calibri" w:hAnsi="Century Gothic" w:cs="Times New Roman"/>
        </w:rPr>
      </w:pPr>
      <w:r w:rsidRPr="00980C53">
        <w:rPr>
          <w:rFonts w:ascii="Century Gothic" w:eastAsia="Calibri" w:hAnsi="Century Gothic" w:cs="Times New Roman"/>
        </w:rPr>
        <w:t xml:space="preserve">V. El ejercicio de los recursos a que se refiere el presente capítulo deberá sujetarse a la </w:t>
      </w:r>
      <w:r w:rsidRPr="00980C53">
        <w:rPr>
          <w:rFonts w:ascii="Century Gothic" w:eastAsia="Calibri" w:hAnsi="Century Gothic" w:cs="Times New Roman"/>
          <w:b/>
        </w:rPr>
        <w:t>evaluación del desempeño a que se refiere el artículo 110 de la Ley Federal de Presupuesto y Responsabilidad Hacendaria</w:t>
      </w:r>
      <w:r w:rsidRPr="00980C53">
        <w:rPr>
          <w:rFonts w:ascii="Century Gothic" w:eastAsia="Calibri" w:hAnsi="Century Gothic" w:cs="Times New Roman"/>
        </w:rPr>
        <w:t xml:space="preserve">. Los resultados del ejercicio de dichos recursos deberán ser evaluados, con base en indicadores, a fin de verificar el cumplimiento de los </w:t>
      </w:r>
      <w:r w:rsidRPr="00FF01C4">
        <w:rPr>
          <w:rFonts w:ascii="Century Gothic" w:eastAsia="Calibri" w:hAnsi="Century Gothic" w:cs="Times New Roman"/>
        </w:rPr>
        <w:t>objetivos a los que se encuentran destinados los Fondos de Aportaciones Federales conforme a la presente Ley, incluyendo, en su caso, el resultado cuando concurran recursos de la entidades federativas, municipios o demarcaciones territoriales de la Ciudad de México (</w:t>
      </w:r>
      <w:r w:rsidRPr="00980C53">
        <w:rPr>
          <w:rFonts w:ascii="Century Gothic" w:eastAsia="Calibri" w:hAnsi="Century Gothic" w:cs="Times New Roman"/>
        </w:rPr>
        <w:t>DOF 18-07-2016)</w:t>
      </w:r>
      <w:r w:rsidRPr="00980C53">
        <w:rPr>
          <w:rFonts w:ascii="Century Gothic" w:hAnsi="Century Gothic" w:cs="Century Gothic"/>
          <w:color w:val="000000"/>
        </w:rPr>
        <w:t>.</w:t>
      </w:r>
    </w:p>
    <w:p w14:paraId="43ED34C8" w14:textId="77777777" w:rsidR="00495B9E" w:rsidRPr="00980C53" w:rsidRDefault="00495B9E" w:rsidP="00495B9E">
      <w:pPr>
        <w:spacing w:after="240" w:line="276" w:lineRule="auto"/>
        <w:jc w:val="both"/>
        <w:rPr>
          <w:rFonts w:ascii="Century Gothic" w:hAnsi="Century Gothic" w:cs="Century Gothic"/>
          <w:color w:val="000000"/>
        </w:rPr>
      </w:pPr>
      <w:r w:rsidRPr="00980C53">
        <w:rPr>
          <w:rFonts w:ascii="Century Gothic" w:hAnsi="Century Gothic" w:cs="Century Gothic"/>
          <w:color w:val="000000"/>
        </w:rPr>
        <w:t xml:space="preserve">La </w:t>
      </w:r>
      <w:r w:rsidRPr="00980C53">
        <w:rPr>
          <w:rFonts w:ascii="Century Gothic" w:hAnsi="Century Gothic" w:cs="Century Gothic"/>
          <w:b/>
          <w:color w:val="000000"/>
        </w:rPr>
        <w:t>evaluación de los fondos y sus resultados forma parte del Sistema de Evaluación del Desempeño</w:t>
      </w:r>
      <w:r w:rsidRPr="00980C53">
        <w:rPr>
          <w:rFonts w:ascii="Century Gothic" w:hAnsi="Century Gothic" w:cs="Century Gothic"/>
          <w:color w:val="000000"/>
        </w:rPr>
        <w:t xml:space="preserve"> (SED), así como del programa de mejoramiento de la gestión, mismo que a su vez, se articula sistemáticamente con la planeación y el proceso presupuestario. Ante esto el Artículo 110 de la Ley Federal de Presupuesto y Responsabilidad Hacendaria (LFPRH) menciona:</w:t>
      </w:r>
    </w:p>
    <w:p w14:paraId="7E0EB5AB" w14:textId="77777777" w:rsidR="00495B9E" w:rsidRPr="00980C53" w:rsidRDefault="00495B9E" w:rsidP="00495B9E">
      <w:pPr>
        <w:spacing w:after="240" w:line="276" w:lineRule="auto"/>
        <w:ind w:left="284" w:right="333"/>
        <w:jc w:val="both"/>
        <w:rPr>
          <w:rFonts w:ascii="Century Gothic" w:hAnsi="Century Gothic" w:cs="Century Gothic"/>
          <w:color w:val="000000"/>
        </w:rPr>
      </w:pPr>
      <w:r w:rsidRPr="00980C53">
        <w:rPr>
          <w:rFonts w:ascii="Century Gothic" w:hAnsi="Century Gothic" w:cs="Century Gothic"/>
          <w:color w:val="000000"/>
        </w:rPr>
        <w:lastRenderedPageBreak/>
        <w:t xml:space="preserve">La </w:t>
      </w:r>
      <w:r w:rsidRPr="00C76AF2">
        <w:rPr>
          <w:rFonts w:ascii="Century Gothic" w:hAnsi="Century Gothic" w:cs="Century Gothic"/>
          <w:color w:val="000000"/>
        </w:rPr>
        <w:t>evaluación del desempeño se realizará a través de la verificación del grado de cumplimiento de objetivos y metas</w:t>
      </w:r>
      <w:r w:rsidRPr="00980C53">
        <w:rPr>
          <w:rFonts w:ascii="Century Gothic" w:hAnsi="Century Gothic" w:cs="Century Gothic"/>
          <w:color w:val="000000"/>
        </w:rPr>
        <w:t xml:space="preserve">, con </w:t>
      </w:r>
      <w:r w:rsidRPr="00C76AF2">
        <w:rPr>
          <w:rFonts w:ascii="Century Gothic" w:hAnsi="Century Gothic" w:cs="Century Gothic"/>
          <w:b/>
          <w:color w:val="000000"/>
        </w:rPr>
        <w:t xml:space="preserve">base en indicadores estratégicos y de gestión que permitan conocer los resultados de la aplicación de los recursos </w:t>
      </w:r>
      <w:r w:rsidRPr="00C76AF2">
        <w:rPr>
          <w:rFonts w:ascii="Century Gothic" w:hAnsi="Century Gothic" w:cs="Century Gothic"/>
          <w:color w:val="000000"/>
        </w:rPr>
        <w:t>públicos federales</w:t>
      </w:r>
      <w:r w:rsidRPr="00980C53">
        <w:rPr>
          <w:rFonts w:ascii="Century Gothic" w:hAnsi="Century Gothic" w:cs="Century Gothic"/>
          <w:color w:val="000000"/>
        </w:rPr>
        <w:t>” (DOF 30- 12-2015).</w:t>
      </w:r>
    </w:p>
    <w:p w14:paraId="155C593C" w14:textId="77777777" w:rsidR="00495B9E" w:rsidRDefault="00495B9E" w:rsidP="00495B9E">
      <w:pPr>
        <w:spacing w:after="240" w:line="276" w:lineRule="auto"/>
        <w:ind w:right="49"/>
        <w:jc w:val="both"/>
        <w:rPr>
          <w:rFonts w:ascii="Century Gothic" w:hAnsi="Century Gothic" w:cs="Century Gothic"/>
          <w:color w:val="000000"/>
        </w:rPr>
      </w:pPr>
      <w:r w:rsidRPr="00980C53">
        <w:rPr>
          <w:rFonts w:ascii="Century Gothic" w:hAnsi="Century Gothic" w:cs="Century Gothic"/>
          <w:color w:val="000000"/>
        </w:rPr>
        <w:t>En el artículo 111, se concreta más claramente el objetivo de la</w:t>
      </w:r>
      <w:r>
        <w:rPr>
          <w:rFonts w:ascii="Century Gothic" w:hAnsi="Century Gothic" w:cs="Century Gothic"/>
          <w:color w:val="000000"/>
        </w:rPr>
        <w:t xml:space="preserve"> medición, y se especifica que e</w:t>
      </w:r>
      <w:r w:rsidRPr="00980C53">
        <w:rPr>
          <w:rFonts w:ascii="Century Gothic" w:hAnsi="Century Gothic" w:cs="Century Gothic"/>
          <w:color w:val="000000"/>
        </w:rPr>
        <w:t xml:space="preserve">l sistema </w:t>
      </w:r>
      <w:r>
        <w:rPr>
          <w:rFonts w:ascii="Century Gothic" w:hAnsi="Century Gothic" w:cs="Century Gothic"/>
          <w:color w:val="000000"/>
        </w:rPr>
        <w:t>de evaluación del desempeño:</w:t>
      </w:r>
    </w:p>
    <w:p w14:paraId="12D80CDF" w14:textId="77777777" w:rsidR="00495B9E" w:rsidRPr="00980C53" w:rsidRDefault="00495B9E" w:rsidP="00495B9E">
      <w:pPr>
        <w:spacing w:after="240" w:line="276" w:lineRule="auto"/>
        <w:ind w:left="284" w:right="333"/>
        <w:jc w:val="both"/>
        <w:rPr>
          <w:rFonts w:ascii="Century Gothic" w:hAnsi="Century Gothic" w:cs="Century Gothic"/>
          <w:color w:val="000000"/>
        </w:rPr>
      </w:pPr>
      <w:r>
        <w:rPr>
          <w:rFonts w:ascii="Century Gothic" w:hAnsi="Century Gothic" w:cs="Century Gothic"/>
          <w:color w:val="000000"/>
        </w:rPr>
        <w:t xml:space="preserve">[…] </w:t>
      </w:r>
      <w:r w:rsidRPr="00980C53">
        <w:rPr>
          <w:rFonts w:ascii="Century Gothic" w:hAnsi="Century Gothic" w:cs="Century Gothic"/>
          <w:color w:val="000000"/>
        </w:rPr>
        <w:t xml:space="preserve">permitirá identificar la eficiencia, economía, eficacia, y la calidad en la Administración Pública Federal y el impacto social del ejercicio del gasto público, […] dicho sistema de evaluación del desempeño a que se refiere el párrafo anterior del presente artículo </w:t>
      </w:r>
      <w:r w:rsidRPr="00C76AF2">
        <w:rPr>
          <w:rFonts w:ascii="Century Gothic" w:hAnsi="Century Gothic" w:cs="Century Gothic"/>
          <w:b/>
          <w:color w:val="000000"/>
        </w:rPr>
        <w:t>será obligatorio para los ejecutores de gasto</w:t>
      </w:r>
      <w:r>
        <w:rPr>
          <w:rFonts w:ascii="Century Gothic" w:hAnsi="Century Gothic" w:cs="Century Gothic"/>
          <w:color w:val="000000"/>
        </w:rPr>
        <w:t>,</w:t>
      </w:r>
      <w:r w:rsidRPr="00980C53">
        <w:rPr>
          <w:rFonts w:ascii="Century Gothic" w:hAnsi="Century Gothic" w:cs="Century Gothic"/>
          <w:color w:val="000000"/>
        </w:rPr>
        <w:t xml:space="preserve"> (DOF 30- 12-2015).</w:t>
      </w:r>
    </w:p>
    <w:p w14:paraId="057271BA" w14:textId="77777777" w:rsidR="00495B9E" w:rsidRPr="00980C53" w:rsidRDefault="00495B9E" w:rsidP="00495B9E">
      <w:pPr>
        <w:spacing w:after="240" w:line="276" w:lineRule="auto"/>
        <w:jc w:val="both"/>
        <w:rPr>
          <w:rFonts w:ascii="Century Gothic" w:hAnsi="Century Gothic" w:cs="Century Gothic"/>
          <w:color w:val="000000"/>
        </w:rPr>
      </w:pPr>
      <w:r w:rsidRPr="00980C53">
        <w:rPr>
          <w:rFonts w:ascii="Century Gothic" w:eastAsia="Calibri" w:hAnsi="Century Gothic" w:cs="Times New Roman"/>
        </w:rPr>
        <w:t>A este conjunto de normas se anexa la</w:t>
      </w:r>
      <w:r w:rsidRPr="00980C53">
        <w:rPr>
          <w:rFonts w:ascii="Century Gothic" w:hAnsi="Century Gothic" w:cs="Century Gothic"/>
          <w:color w:val="000000"/>
        </w:rPr>
        <w:t xml:space="preserve"> Ley General de Contabilidad Gubernamental (LGCG), donde se señala la obligatoriedad de cumplir con la ley para todos los niveles de gobierno, lo que da origen a la armonización contable y al ente que la regula, el Consejo Nacional de Armonización Contable (CONAC). En esta ley se menciona la integración de la cuenta pública en las entidades federativas, en sus fracciones III y IV del artículo 53 señalan que: La cuenta pública de las entidades federativas contendrá como mínimo: </w:t>
      </w:r>
    </w:p>
    <w:p w14:paraId="12818E37" w14:textId="77777777" w:rsidR="00495B9E" w:rsidRPr="00980C53" w:rsidRDefault="00495B9E" w:rsidP="00495B9E">
      <w:pPr>
        <w:spacing w:after="240" w:line="276" w:lineRule="auto"/>
        <w:ind w:left="284" w:right="333"/>
        <w:jc w:val="both"/>
        <w:rPr>
          <w:rFonts w:ascii="Century Gothic" w:hAnsi="Century Gothic" w:cs="Century Gothic"/>
          <w:color w:val="000000"/>
        </w:rPr>
      </w:pPr>
      <w:r w:rsidRPr="00980C53">
        <w:rPr>
          <w:rFonts w:ascii="Century Gothic" w:hAnsi="Century Gothic" w:cs="Century Gothic"/>
          <w:color w:val="000000"/>
        </w:rPr>
        <w:t xml:space="preserve">III. Información programática, de acuerdo con la clasificación establecida en la fracción III del artículo 46 de esta ley, el cual indica que, la información programática deberá tener la desagregación siguiente: a) Gasto por categoría programática; b) Programas y proyectos de inversión; </w:t>
      </w:r>
      <w:r w:rsidRPr="00C76AF2">
        <w:rPr>
          <w:rFonts w:ascii="Century Gothic" w:hAnsi="Century Gothic" w:cs="Century Gothic"/>
          <w:b/>
          <w:color w:val="000000"/>
        </w:rPr>
        <w:t>c) Indicadores de resultados</w:t>
      </w:r>
      <w:r w:rsidRPr="00980C53">
        <w:rPr>
          <w:rFonts w:ascii="Century Gothic" w:hAnsi="Century Gothic" w:cs="Century Gothic"/>
          <w:b/>
          <w:color w:val="000000"/>
        </w:rPr>
        <w:t>;</w:t>
      </w:r>
      <w:r w:rsidRPr="00980C53">
        <w:rPr>
          <w:rFonts w:ascii="Century Gothic" w:hAnsi="Century Gothic" w:cs="Century Gothic"/>
          <w:color w:val="000000"/>
        </w:rPr>
        <w:t xml:space="preserve"> y </w:t>
      </w:r>
    </w:p>
    <w:p w14:paraId="0F399CD0" w14:textId="77777777" w:rsidR="00495B9E" w:rsidRPr="00980C53" w:rsidRDefault="00495B9E" w:rsidP="00495B9E">
      <w:pPr>
        <w:spacing w:after="240" w:line="276" w:lineRule="auto"/>
        <w:ind w:left="284" w:right="333"/>
        <w:jc w:val="both"/>
        <w:rPr>
          <w:rFonts w:ascii="Century Gothic" w:hAnsi="Century Gothic" w:cs="Century Gothic"/>
          <w:color w:val="000000"/>
        </w:rPr>
      </w:pPr>
      <w:r w:rsidRPr="00980C53">
        <w:rPr>
          <w:rFonts w:ascii="Century Gothic" w:hAnsi="Century Gothic" w:cs="Century Gothic"/>
          <w:color w:val="000000"/>
        </w:rPr>
        <w:t>IV. Análisis cualitativo de los indicadores de la postura fiscal, estableciendo su vínculo con los objetivos y prioridades definidas en la materia, en el programa económico anual.</w:t>
      </w:r>
      <w:r w:rsidRPr="00980C53">
        <w:rPr>
          <w:rFonts w:ascii="Century Gothic" w:eastAsia="Calibri" w:hAnsi="Century Gothic" w:cs="Times New Roman"/>
        </w:rPr>
        <w:t xml:space="preserve"> (DOF 18-07-2016)</w:t>
      </w:r>
      <w:r w:rsidRPr="00980C53">
        <w:rPr>
          <w:rFonts w:ascii="Century Gothic" w:hAnsi="Century Gothic" w:cs="Century Gothic"/>
          <w:color w:val="000000"/>
        </w:rPr>
        <w:t>.</w:t>
      </w:r>
    </w:p>
    <w:p w14:paraId="3041A052" w14:textId="77777777" w:rsidR="00495B9E" w:rsidRDefault="00495B9E" w:rsidP="00495B9E">
      <w:pPr>
        <w:spacing w:after="240" w:line="276" w:lineRule="auto"/>
        <w:jc w:val="both"/>
        <w:rPr>
          <w:rFonts w:ascii="Century Gothic" w:hAnsi="Century Gothic" w:cs="Century Gothic"/>
          <w:color w:val="000000"/>
        </w:rPr>
      </w:pPr>
      <w:r w:rsidRPr="00980C53">
        <w:rPr>
          <w:rFonts w:ascii="Century Gothic" w:hAnsi="Century Gothic" w:cs="Century Gothic"/>
          <w:color w:val="000000"/>
        </w:rPr>
        <w:t>De no cumplir con la normatividad anteriormente descrita en materia de uso y destino de los recursos, existen sanciones administrativas para los servidores públicos, expuestas en los artículos 85 y 86 de esta misma ley.</w:t>
      </w:r>
    </w:p>
    <w:p w14:paraId="60B02B93" w14:textId="77777777" w:rsidR="00495B9E" w:rsidRPr="00FA07A1" w:rsidRDefault="00495B9E" w:rsidP="00495B9E">
      <w:pPr>
        <w:spacing w:after="240" w:line="276" w:lineRule="auto"/>
        <w:jc w:val="both"/>
        <w:rPr>
          <w:rFonts w:ascii="Century Gothic" w:hAnsi="Century Gothic" w:cs="Century Gothic"/>
          <w:color w:val="000000"/>
        </w:rPr>
      </w:pPr>
      <w:r>
        <w:rPr>
          <w:rFonts w:ascii="Century Gothic" w:hAnsi="Century Gothic" w:cs="Century Gothic"/>
          <w:color w:val="000000"/>
        </w:rPr>
        <w:t>Por su parte, en el ámbito estatal,</w:t>
      </w:r>
      <w:r w:rsidRPr="00FA07A1">
        <w:t xml:space="preserve"> </w:t>
      </w:r>
      <w:r>
        <w:rPr>
          <w:rFonts w:ascii="Century Gothic" w:hAnsi="Century Gothic" w:cs="Century Gothic"/>
          <w:color w:val="000000"/>
        </w:rPr>
        <w:t>e</w:t>
      </w:r>
      <w:r w:rsidRPr="00FA07A1">
        <w:rPr>
          <w:rFonts w:ascii="Century Gothic" w:hAnsi="Century Gothic" w:cs="Century Gothic"/>
          <w:color w:val="000000"/>
        </w:rPr>
        <w:t>n el artículo 17, la Ley de Fiscalización Superior del Estado de Colima, señala las atribuciones del Órgano Superior, donde en el inciso a</w:t>
      </w:r>
      <w:r>
        <w:rPr>
          <w:rFonts w:ascii="Century Gothic" w:hAnsi="Century Gothic" w:cs="Century Gothic"/>
          <w:color w:val="000000"/>
        </w:rPr>
        <w:t>)</w:t>
      </w:r>
      <w:r w:rsidRPr="00FA07A1">
        <w:rPr>
          <w:rFonts w:ascii="Century Gothic" w:hAnsi="Century Gothic" w:cs="Century Gothic"/>
          <w:color w:val="000000"/>
        </w:rPr>
        <w:t>, fracción IV</w:t>
      </w:r>
      <w:r>
        <w:rPr>
          <w:rFonts w:ascii="Century Gothic" w:hAnsi="Century Gothic" w:cs="Century Gothic"/>
          <w:color w:val="000000"/>
        </w:rPr>
        <w:t>, h</w:t>
      </w:r>
      <w:r w:rsidRPr="00FA07A1">
        <w:rPr>
          <w:rFonts w:ascii="Century Gothic" w:hAnsi="Century Gothic" w:cs="Century Gothic"/>
          <w:color w:val="000000"/>
        </w:rPr>
        <w:t xml:space="preserve">ace referencia a la </w:t>
      </w:r>
      <w:r w:rsidRPr="00FA07A1">
        <w:rPr>
          <w:rFonts w:ascii="Century Gothic" w:hAnsi="Century Gothic" w:cs="Century Gothic"/>
          <w:b/>
          <w:color w:val="000000"/>
        </w:rPr>
        <w:t>evaluación</w:t>
      </w:r>
      <w:r w:rsidRPr="00FA07A1">
        <w:rPr>
          <w:rFonts w:ascii="Century Gothic" w:hAnsi="Century Gothic" w:cs="Century Gothic"/>
          <w:color w:val="000000"/>
        </w:rPr>
        <w:t xml:space="preserve"> semestral y </w:t>
      </w:r>
      <w:r w:rsidRPr="00FA07A1">
        <w:rPr>
          <w:rFonts w:ascii="Century Gothic" w:hAnsi="Century Gothic" w:cs="Century Gothic"/>
          <w:color w:val="000000"/>
        </w:rPr>
        <w:lastRenderedPageBreak/>
        <w:t xml:space="preserve">anual </w:t>
      </w:r>
      <w:r w:rsidRPr="00FA07A1">
        <w:rPr>
          <w:rFonts w:ascii="Century Gothic" w:hAnsi="Century Gothic" w:cs="Century Gothic"/>
          <w:b/>
          <w:color w:val="000000"/>
        </w:rPr>
        <w:t xml:space="preserve">del  cumplimiento de los objetivos y metas de los programas estatales </w:t>
      </w:r>
      <w:r w:rsidRPr="00FA07A1">
        <w:rPr>
          <w:rFonts w:ascii="Century Gothic" w:hAnsi="Century Gothic" w:cs="Century Gothic"/>
          <w:color w:val="000000"/>
        </w:rPr>
        <w:t xml:space="preserve">y municipales,  </w:t>
      </w:r>
      <w:r w:rsidRPr="00FA07A1">
        <w:rPr>
          <w:rFonts w:ascii="Century Gothic" w:hAnsi="Century Gothic" w:cs="Century Gothic"/>
          <w:b/>
          <w:color w:val="000000"/>
        </w:rPr>
        <w:t>conforme a los indicadores estratégicos y de gestión</w:t>
      </w:r>
      <w:r w:rsidRPr="00FA07A1">
        <w:rPr>
          <w:rFonts w:ascii="Century Gothic" w:hAnsi="Century Gothic" w:cs="Century Gothic"/>
          <w:color w:val="000000"/>
        </w:rPr>
        <w:t xml:space="preserve"> establecidos en </w:t>
      </w:r>
      <w:r>
        <w:rPr>
          <w:rFonts w:ascii="Century Gothic" w:hAnsi="Century Gothic" w:cs="Century Gothic"/>
          <w:color w:val="000000"/>
        </w:rPr>
        <w:t>los presupuestos de egresos […]</w:t>
      </w:r>
      <w:r w:rsidRPr="00FA07A1">
        <w:rPr>
          <w:rFonts w:ascii="Century Gothic" w:hAnsi="Century Gothic" w:cs="Century Gothic"/>
          <w:color w:val="000000"/>
        </w:rPr>
        <w:t>. Lo anterior con independencia de las atribuciones similares que tengan otras instancias, tanto internas, como externas.</w:t>
      </w:r>
    </w:p>
    <w:p w14:paraId="618492AC" w14:textId="77777777" w:rsidR="00495B9E" w:rsidRPr="00FA07A1" w:rsidRDefault="00495B9E" w:rsidP="00FF01C4">
      <w:pPr>
        <w:spacing w:after="240" w:line="276" w:lineRule="auto"/>
        <w:jc w:val="both"/>
        <w:rPr>
          <w:rFonts w:ascii="Century Gothic" w:hAnsi="Century Gothic" w:cs="Century Gothic"/>
          <w:color w:val="000000"/>
        </w:rPr>
      </w:pPr>
      <w:r>
        <w:rPr>
          <w:rFonts w:ascii="Century Gothic" w:hAnsi="Century Gothic" w:cs="Century Gothic"/>
          <w:color w:val="000000"/>
        </w:rPr>
        <w:t>De igual forma</w:t>
      </w:r>
      <w:r w:rsidRPr="00FA07A1">
        <w:rPr>
          <w:rFonts w:ascii="Century Gothic" w:hAnsi="Century Gothic" w:cs="Century Gothic"/>
          <w:color w:val="000000"/>
        </w:rPr>
        <w:t>, en el inciso d) en materia de evaluación, se señal</w:t>
      </w:r>
      <w:r>
        <w:rPr>
          <w:rFonts w:ascii="Century Gothic" w:hAnsi="Century Gothic" w:cs="Century Gothic"/>
          <w:color w:val="000000"/>
        </w:rPr>
        <w:t>a la atribución en el numeral I</w:t>
      </w:r>
      <w:r w:rsidRPr="00FA07A1">
        <w:rPr>
          <w:rFonts w:ascii="Century Gothic" w:hAnsi="Century Gothic" w:cs="Century Gothic"/>
          <w:color w:val="000000"/>
        </w:rPr>
        <w:t xml:space="preserve"> de efectuar la evaluación de los recursos económicos federales, estatales y municipales a que se refiere el artículo 134 constitucional y que esta evaluación podrá ser realizada por el propio Órgano o a través de personas físicas o morales especializadas  y con experiencia probada en la materia que corresponda evaluar, que sean contratadas al efecto y cumplan con los requisitos de independencia, imparcialidad y </w:t>
      </w:r>
      <w:r>
        <w:rPr>
          <w:rFonts w:ascii="Century Gothic" w:hAnsi="Century Gothic" w:cs="Century Gothic"/>
          <w:color w:val="000000"/>
        </w:rPr>
        <w:t>transparencia.</w:t>
      </w:r>
    </w:p>
    <w:p w14:paraId="35FBBC62" w14:textId="77777777" w:rsidR="00495B9E" w:rsidRPr="00FF01C4" w:rsidRDefault="00495B9E" w:rsidP="00FF01C4">
      <w:pPr>
        <w:spacing w:after="240" w:line="276" w:lineRule="auto"/>
        <w:jc w:val="both"/>
        <w:rPr>
          <w:rFonts w:ascii="Century Gothic" w:hAnsi="Century Gothic" w:cs="Century Gothic"/>
          <w:color w:val="000000"/>
        </w:rPr>
      </w:pPr>
      <w:r w:rsidRPr="00FF01C4">
        <w:rPr>
          <w:rFonts w:ascii="Century Gothic" w:hAnsi="Century Gothic" w:cs="Century Gothic"/>
          <w:color w:val="000000"/>
        </w:rPr>
        <w:t xml:space="preserve">Es así que en el año 2013, Tecnología Social para el Desarrollo (TECSO), colabora con el Órgano Superior de Auditoría y Fiscalización Gubernamental del Estado, para el Desarrollo del Sistema de Evaluación al Desempeño de Recursos Federalizados. Así mismo, en el año 2014, se realiza un análisis de Consistencia del “Fondo de Aportaciones para los Servicios de Salud (FASSA)”, del “Fondo de Aportaciones para la Educación Básica (FAEB)” y de 12 servicios municipales. </w:t>
      </w:r>
    </w:p>
    <w:p w14:paraId="1576C4A9" w14:textId="77777777" w:rsidR="00495B9E" w:rsidRPr="00FA07A1" w:rsidRDefault="00495B9E" w:rsidP="00FF01C4">
      <w:pPr>
        <w:spacing w:after="240" w:line="276" w:lineRule="auto"/>
        <w:jc w:val="both"/>
        <w:rPr>
          <w:rFonts w:ascii="Century Gothic" w:hAnsi="Century Gothic" w:cs="Century Gothic"/>
          <w:color w:val="000000"/>
        </w:rPr>
      </w:pPr>
      <w:r w:rsidRPr="00FF01C4">
        <w:rPr>
          <w:rFonts w:ascii="Century Gothic" w:hAnsi="Century Gothic" w:cs="Century Gothic"/>
          <w:color w:val="000000"/>
        </w:rPr>
        <w:t>Como resultado de estas intervenciones realizadas por el OSAFIG, en el 2015 el Estado se encontraba con un valor del Índice General de Avance en el Presupuesto basado en Resultados y el Sistema de Evaluación del Desempeño (PbR y SED) de 81.3</w:t>
      </w:r>
      <w:r w:rsidRPr="00FF01C4">
        <w:footnoteReference w:id="1"/>
      </w:r>
      <w:r w:rsidRPr="00FF01C4">
        <w:rPr>
          <w:rFonts w:ascii="Century Gothic" w:hAnsi="Century Gothic" w:cs="Century Gothic"/>
          <w:color w:val="000000"/>
        </w:rPr>
        <w:t>, por encima de la media nacional (76.8). Mientras que para 2016, debido al cambio de ponderación, el Índice cae a un valor de 59, siendo las categorías de planeación (35.8) y evaluación (45.8) las de menor avance. Para el 2017, la cifra del Índice desciende nuevamente a un valor de 22.4, afectada principalmente por los valores de cero en las categorías de programación y seguimiento, aunadas al valor de 20.3 en el concepto de evaluación, lo que permite identificar las principales áreas de oportunidad en la Gestión por Resultados del estado de Colima.</w:t>
      </w:r>
    </w:p>
    <w:p w14:paraId="08633EB2" w14:textId="77777777" w:rsidR="00495B9E" w:rsidRPr="00597324" w:rsidRDefault="00495B9E" w:rsidP="00495B9E">
      <w:pPr>
        <w:spacing w:after="240" w:line="276" w:lineRule="auto"/>
        <w:jc w:val="both"/>
        <w:rPr>
          <w:rFonts w:ascii="Century Gothic" w:eastAsia="Calibri" w:hAnsi="Century Gothic" w:cs="Century Gothic"/>
          <w:color w:val="000000"/>
        </w:rPr>
      </w:pPr>
      <w:r>
        <w:rPr>
          <w:rFonts w:ascii="Century Gothic" w:hAnsi="Century Gothic" w:cs="Century Gothic"/>
          <w:color w:val="000000"/>
        </w:rPr>
        <w:t xml:space="preserve">Por otra parte, </w:t>
      </w:r>
      <w:r w:rsidRPr="00597324">
        <w:rPr>
          <w:rFonts w:ascii="Century Gothic" w:eastAsia="Calibri" w:hAnsi="Century Gothic" w:cs="Century Gothic"/>
          <w:color w:val="000000"/>
        </w:rPr>
        <w:t xml:space="preserve">el CONAC en cumplimiento con la LGCG emite la NORMA para establecer el formato para la difusión de los resultados de las evaluaciones de </w:t>
      </w:r>
      <w:r w:rsidRPr="00597324">
        <w:rPr>
          <w:rFonts w:ascii="Century Gothic" w:eastAsia="Calibri" w:hAnsi="Century Gothic" w:cs="Century Gothic"/>
          <w:color w:val="000000"/>
        </w:rPr>
        <w:lastRenderedPageBreak/>
        <w:t xml:space="preserve">los recursos federales ministrados a las entidades federativas; en el numeral 11, refiere que para garantizar la evaluación orientada a resultados y retroalimentar el SED, </w:t>
      </w:r>
      <w:r w:rsidRPr="00597324">
        <w:rPr>
          <w:rFonts w:ascii="Century Gothic" w:eastAsia="Calibri" w:hAnsi="Century Gothic" w:cs="Century Gothic"/>
          <w:b/>
          <w:color w:val="000000"/>
        </w:rPr>
        <w:t xml:space="preserve">los entes públicos podrán aplicar los tipos de evaluación determinados en el numeral Décimo Sexto de los Lineamientos de Evaluación </w:t>
      </w:r>
      <w:r w:rsidRPr="00597324">
        <w:rPr>
          <w:rFonts w:ascii="Century Gothic" w:eastAsia="Calibri" w:hAnsi="Century Gothic" w:cs="Century Gothic"/>
          <w:color w:val="000000"/>
        </w:rPr>
        <w:t>de la APF, los cuales son los siguientes:</w:t>
      </w:r>
    </w:p>
    <w:p w14:paraId="6268E816" w14:textId="77777777" w:rsidR="00495B9E" w:rsidRPr="00597324" w:rsidRDefault="00495B9E" w:rsidP="00495B9E">
      <w:pPr>
        <w:numPr>
          <w:ilvl w:val="0"/>
          <w:numId w:val="2"/>
        </w:numPr>
        <w:spacing w:before="120" w:after="240" w:line="360" w:lineRule="auto"/>
        <w:ind w:left="363"/>
        <w:contextualSpacing/>
        <w:jc w:val="both"/>
        <w:rPr>
          <w:rFonts w:ascii="Century Gothic" w:eastAsia="Calibri" w:hAnsi="Century Gothic" w:cs="Century Gothic"/>
          <w:color w:val="000000"/>
        </w:rPr>
      </w:pPr>
      <w:r w:rsidRPr="00597324">
        <w:rPr>
          <w:rFonts w:ascii="Century Gothic" w:eastAsia="Calibri" w:hAnsi="Century Gothic" w:cs="Century Gothic"/>
          <w:color w:val="000000"/>
        </w:rPr>
        <w:t>Evaluación de Consistencia y Resultados</w:t>
      </w:r>
    </w:p>
    <w:p w14:paraId="6D9C8163" w14:textId="77777777" w:rsidR="00495B9E" w:rsidRPr="00597324" w:rsidRDefault="00495B9E" w:rsidP="00495B9E">
      <w:pPr>
        <w:numPr>
          <w:ilvl w:val="0"/>
          <w:numId w:val="2"/>
        </w:numPr>
        <w:spacing w:before="120" w:after="240" w:line="360" w:lineRule="auto"/>
        <w:ind w:left="363"/>
        <w:contextualSpacing/>
        <w:jc w:val="both"/>
        <w:rPr>
          <w:rFonts w:ascii="Century Gothic" w:eastAsia="Calibri" w:hAnsi="Century Gothic" w:cs="Century Gothic"/>
          <w:color w:val="000000"/>
        </w:rPr>
      </w:pPr>
      <w:r w:rsidRPr="00597324">
        <w:rPr>
          <w:rFonts w:ascii="Century Gothic" w:eastAsia="Calibri" w:hAnsi="Century Gothic" w:cs="Century Gothic"/>
          <w:color w:val="000000"/>
        </w:rPr>
        <w:t>Evaluación de Indicadores</w:t>
      </w:r>
    </w:p>
    <w:p w14:paraId="281C944C" w14:textId="77777777" w:rsidR="00495B9E" w:rsidRPr="00597324" w:rsidRDefault="00495B9E" w:rsidP="00495B9E">
      <w:pPr>
        <w:numPr>
          <w:ilvl w:val="0"/>
          <w:numId w:val="2"/>
        </w:numPr>
        <w:spacing w:before="120" w:after="240" w:line="360" w:lineRule="auto"/>
        <w:ind w:left="363"/>
        <w:contextualSpacing/>
        <w:jc w:val="both"/>
        <w:rPr>
          <w:rFonts w:ascii="Century Gothic" w:eastAsia="Calibri" w:hAnsi="Century Gothic" w:cs="Century Gothic"/>
          <w:b/>
          <w:color w:val="000000"/>
        </w:rPr>
      </w:pPr>
      <w:r w:rsidRPr="00597324">
        <w:rPr>
          <w:rFonts w:ascii="Century Gothic" w:eastAsia="Calibri" w:hAnsi="Century Gothic" w:cs="Century Gothic"/>
          <w:b/>
          <w:color w:val="000000"/>
        </w:rPr>
        <w:t>Evaluación de Procesos</w:t>
      </w:r>
    </w:p>
    <w:p w14:paraId="6B71FFA6" w14:textId="77777777" w:rsidR="00495B9E" w:rsidRPr="00597324" w:rsidRDefault="00495B9E" w:rsidP="00495B9E">
      <w:pPr>
        <w:numPr>
          <w:ilvl w:val="0"/>
          <w:numId w:val="2"/>
        </w:numPr>
        <w:spacing w:before="120" w:after="240" w:line="360" w:lineRule="auto"/>
        <w:ind w:left="363"/>
        <w:contextualSpacing/>
        <w:jc w:val="both"/>
        <w:rPr>
          <w:rFonts w:ascii="Century Gothic" w:eastAsia="Calibri" w:hAnsi="Century Gothic" w:cs="Century Gothic"/>
          <w:color w:val="000000"/>
        </w:rPr>
      </w:pPr>
      <w:r w:rsidRPr="00597324">
        <w:rPr>
          <w:rFonts w:ascii="Century Gothic" w:eastAsia="Calibri" w:hAnsi="Century Gothic" w:cs="Century Gothic"/>
          <w:color w:val="000000"/>
        </w:rPr>
        <w:t>Evaluación de Impacto</w:t>
      </w:r>
    </w:p>
    <w:p w14:paraId="0F696D8E" w14:textId="77777777" w:rsidR="00495B9E" w:rsidRPr="00597324" w:rsidRDefault="00495B9E" w:rsidP="00495B9E">
      <w:pPr>
        <w:numPr>
          <w:ilvl w:val="0"/>
          <w:numId w:val="2"/>
        </w:numPr>
        <w:spacing w:before="120" w:after="240" w:line="360" w:lineRule="auto"/>
        <w:ind w:left="363" w:hanging="357"/>
        <w:jc w:val="both"/>
        <w:rPr>
          <w:rFonts w:ascii="Century Gothic" w:eastAsia="Calibri" w:hAnsi="Century Gothic" w:cs="Century Gothic"/>
          <w:color w:val="000000"/>
        </w:rPr>
      </w:pPr>
      <w:r w:rsidRPr="00597324">
        <w:rPr>
          <w:rFonts w:ascii="Century Gothic" w:eastAsia="Calibri" w:hAnsi="Century Gothic" w:cs="Century Gothic"/>
          <w:color w:val="000000"/>
        </w:rPr>
        <w:t>Evaluación Específica</w:t>
      </w:r>
    </w:p>
    <w:p w14:paraId="5A9CA9F0" w14:textId="77777777" w:rsidR="00495B9E" w:rsidRPr="00FF01C4" w:rsidRDefault="00495B9E" w:rsidP="00495B9E">
      <w:pPr>
        <w:spacing w:after="240" w:line="276" w:lineRule="auto"/>
        <w:jc w:val="both"/>
        <w:rPr>
          <w:rFonts w:ascii="Century Gothic" w:hAnsi="Century Gothic" w:cs="Century Gothic"/>
          <w:color w:val="000000"/>
        </w:rPr>
      </w:pPr>
      <w:r w:rsidRPr="00980C53">
        <w:rPr>
          <w:rFonts w:ascii="Century Gothic" w:hAnsi="Century Gothic" w:cs="Century Gothic"/>
          <w:color w:val="000000"/>
        </w:rPr>
        <w:t xml:space="preserve">Dentro de este contexto legal y en cumplimento </w:t>
      </w:r>
      <w:r>
        <w:rPr>
          <w:rFonts w:ascii="Century Gothic" w:hAnsi="Century Gothic" w:cs="Century Gothic"/>
          <w:color w:val="000000"/>
        </w:rPr>
        <w:t>con</w:t>
      </w:r>
      <w:r w:rsidRPr="00980C53">
        <w:rPr>
          <w:rFonts w:ascii="Century Gothic" w:hAnsi="Century Gothic" w:cs="Century Gothic"/>
          <w:color w:val="000000"/>
        </w:rPr>
        <w:t xml:space="preserve"> la normativa</w:t>
      </w:r>
      <w:r>
        <w:rPr>
          <w:rFonts w:ascii="Century Gothic" w:hAnsi="Century Gothic" w:cs="Century Gothic"/>
          <w:color w:val="000000"/>
        </w:rPr>
        <w:t>,</w:t>
      </w:r>
      <w:r w:rsidRPr="00980C53">
        <w:rPr>
          <w:rFonts w:ascii="Century Gothic" w:hAnsi="Century Gothic" w:cs="Century Gothic"/>
          <w:color w:val="000000"/>
        </w:rPr>
        <w:t xml:space="preserve"> </w:t>
      </w:r>
      <w:r>
        <w:rPr>
          <w:rFonts w:ascii="Century Gothic" w:hAnsi="Century Gothic" w:cs="Century Gothic"/>
          <w:color w:val="000000"/>
        </w:rPr>
        <w:t xml:space="preserve">el </w:t>
      </w:r>
      <w:r w:rsidRPr="009170F2">
        <w:rPr>
          <w:rFonts w:ascii="Century Gothic" w:hAnsi="Century Gothic" w:cs="Century Gothic"/>
          <w:b/>
          <w:color w:val="000000"/>
        </w:rPr>
        <w:t>Estado de Colima</w:t>
      </w:r>
      <w:r w:rsidRPr="00980C53">
        <w:rPr>
          <w:rFonts w:ascii="Century Gothic" w:hAnsi="Century Gothic" w:cs="Century Gothic"/>
          <w:color w:val="000000"/>
        </w:rPr>
        <w:t xml:space="preserve"> </w:t>
      </w:r>
      <w:r w:rsidRPr="0092482D">
        <w:rPr>
          <w:rFonts w:ascii="Century Gothic" w:hAnsi="Century Gothic"/>
        </w:rPr>
        <w:t>a través de la Secretaría de Planeación y Finanzas</w:t>
      </w:r>
      <w:r w:rsidRPr="00980C53">
        <w:rPr>
          <w:rFonts w:ascii="Century Gothic" w:hAnsi="Century Gothic" w:cs="Century Gothic"/>
          <w:color w:val="000000"/>
        </w:rPr>
        <w:t xml:space="preserve"> estableció en su respectivo </w:t>
      </w:r>
      <w:r w:rsidRPr="00980C53">
        <w:rPr>
          <w:rFonts w:ascii="Century Gothic" w:hAnsi="Century Gothic" w:cs="Century Gothic"/>
          <w:b/>
          <w:color w:val="000000"/>
        </w:rPr>
        <w:t>Programa Anual de Evaluación 2017</w:t>
      </w:r>
      <w:r w:rsidRPr="00980C53">
        <w:rPr>
          <w:rFonts w:ascii="Century Gothic" w:hAnsi="Century Gothic" w:cs="Century Gothic"/>
          <w:color w:val="000000"/>
        </w:rPr>
        <w:t xml:space="preserve"> (PAE 2017), realizar una “</w:t>
      </w:r>
      <w:r w:rsidRPr="00980C53">
        <w:rPr>
          <w:rFonts w:ascii="Century Gothic" w:hAnsi="Century Gothic"/>
          <w:b/>
        </w:rPr>
        <w:t xml:space="preserve">Evaluación de Procesos para la Infraestructura Social Estatal (FISE). Obra </w:t>
      </w:r>
      <w:r w:rsidRPr="00FF01C4">
        <w:rPr>
          <w:rFonts w:ascii="Century Gothic" w:hAnsi="Century Gothic"/>
          <w:b/>
        </w:rPr>
        <w:t>pública, para el ejercicio fiscal 2016</w:t>
      </w:r>
      <w:r w:rsidRPr="00FF01C4">
        <w:rPr>
          <w:rFonts w:ascii="Century Gothic" w:hAnsi="Century Gothic" w:cs="Century Gothic"/>
          <w:color w:val="000000"/>
        </w:rPr>
        <w:t>”.</w:t>
      </w:r>
    </w:p>
    <w:p w14:paraId="473055B9" w14:textId="77777777" w:rsidR="00495B9E" w:rsidRDefault="00495B9E" w:rsidP="00495B9E">
      <w:pPr>
        <w:spacing w:after="240" w:line="276" w:lineRule="auto"/>
        <w:jc w:val="both"/>
        <w:rPr>
          <w:rFonts w:ascii="Century Gothic" w:hAnsi="Century Gothic"/>
        </w:rPr>
      </w:pPr>
      <w:r w:rsidRPr="00FF01C4">
        <w:rPr>
          <w:rFonts w:ascii="Century Gothic" w:hAnsi="Century Gothic" w:cs="Century Gothic"/>
          <w:color w:val="000000"/>
        </w:rPr>
        <w:t>Originalmente en el PAE, el programa a evaluar se denominó “</w:t>
      </w:r>
      <w:r w:rsidRPr="00FF01C4">
        <w:rPr>
          <w:rFonts w:ascii="Century Gothic" w:hAnsi="Century Gothic"/>
          <w:b/>
        </w:rPr>
        <w:t>Obra</w:t>
      </w:r>
      <w:r w:rsidRPr="00980C53">
        <w:rPr>
          <w:rFonts w:ascii="Century Gothic" w:hAnsi="Century Gothic"/>
          <w:b/>
        </w:rPr>
        <w:t xml:space="preserve"> pública</w:t>
      </w:r>
      <w:r w:rsidRPr="00430FFB">
        <w:rPr>
          <w:rFonts w:ascii="Century Gothic" w:hAnsi="Century Gothic"/>
        </w:rPr>
        <w:t>”, sin emba</w:t>
      </w:r>
      <w:r>
        <w:rPr>
          <w:rFonts w:ascii="Century Gothic" w:hAnsi="Century Gothic"/>
        </w:rPr>
        <w:t>rgo en el trabajo y reuniones realizadas con las dependencias se constató que éste está sólo a nivel actividad dentro de la Matriz de Indicadores de Resultados (MIR) del programa presupuestario “</w:t>
      </w:r>
      <w:r w:rsidRPr="0098322C">
        <w:rPr>
          <w:rFonts w:ascii="Century Gothic" w:hAnsi="Century Gothic"/>
          <w:b/>
        </w:rPr>
        <w:t>Construcción, Modernización y Mantenimiento de la Infraestructura para el Desarrollo</w:t>
      </w:r>
      <w:r>
        <w:rPr>
          <w:rFonts w:ascii="Century Gothic" w:hAnsi="Century Gothic"/>
          <w:b/>
        </w:rPr>
        <w:t xml:space="preserve">”, </w:t>
      </w:r>
      <w:r>
        <w:rPr>
          <w:rFonts w:ascii="Century Gothic" w:hAnsi="Century Gothic"/>
        </w:rPr>
        <w:t xml:space="preserve">ante ello, la evaluación se realizará a dicho programa el cual es financiado con el FISE. Así la evaluación se denominará </w:t>
      </w:r>
      <w:r w:rsidRPr="00980C53">
        <w:rPr>
          <w:rFonts w:ascii="Century Gothic" w:hAnsi="Century Gothic" w:cs="Century Gothic"/>
          <w:color w:val="000000"/>
        </w:rPr>
        <w:t>“</w:t>
      </w:r>
      <w:r w:rsidRPr="00980C53">
        <w:rPr>
          <w:rFonts w:ascii="Century Gothic" w:hAnsi="Century Gothic"/>
          <w:b/>
        </w:rPr>
        <w:t>Evaluación de Procesos para la Infrae</w:t>
      </w:r>
      <w:r>
        <w:rPr>
          <w:rFonts w:ascii="Century Gothic" w:hAnsi="Century Gothic"/>
          <w:b/>
        </w:rPr>
        <w:t xml:space="preserve">structura Social Estatal (FISE) </w:t>
      </w:r>
      <w:r w:rsidRPr="00CC16EC">
        <w:rPr>
          <w:rFonts w:ascii="Century Gothic" w:hAnsi="Century Gothic"/>
        </w:rPr>
        <w:t>a través del programa presupuestario</w:t>
      </w:r>
      <w:r w:rsidRPr="00980C53">
        <w:rPr>
          <w:rFonts w:ascii="Century Gothic" w:hAnsi="Century Gothic"/>
          <w:b/>
        </w:rPr>
        <w:t xml:space="preserve"> </w:t>
      </w:r>
      <w:r>
        <w:rPr>
          <w:rFonts w:ascii="Century Gothic" w:hAnsi="Century Gothic"/>
        </w:rPr>
        <w:t>“</w:t>
      </w:r>
      <w:r w:rsidRPr="0098322C">
        <w:rPr>
          <w:rFonts w:ascii="Century Gothic" w:hAnsi="Century Gothic"/>
          <w:b/>
        </w:rPr>
        <w:t>Construcción, Modernización y Mantenimiento de la Infraestructura para el Desarrollo</w:t>
      </w:r>
      <w:r w:rsidRPr="00980C53">
        <w:rPr>
          <w:rFonts w:ascii="Century Gothic" w:hAnsi="Century Gothic"/>
          <w:b/>
        </w:rPr>
        <w:t>, para el ejercicio fiscal 2016</w:t>
      </w:r>
      <w:r w:rsidRPr="00980C53">
        <w:rPr>
          <w:rFonts w:ascii="Century Gothic" w:hAnsi="Century Gothic" w:cs="Century Gothic"/>
          <w:color w:val="000000"/>
        </w:rPr>
        <w:t>”.</w:t>
      </w:r>
    </w:p>
    <w:p w14:paraId="24556583" w14:textId="77777777" w:rsidR="00495B9E" w:rsidRDefault="00495B9E" w:rsidP="00495B9E">
      <w:pPr>
        <w:spacing w:after="240"/>
        <w:jc w:val="both"/>
        <w:rPr>
          <w:rFonts w:ascii="Century Gothic" w:hAnsi="Century Gothic" w:cs="Century Gothic"/>
          <w:color w:val="000000"/>
        </w:rPr>
      </w:pPr>
      <w:r w:rsidRPr="006B4818">
        <w:rPr>
          <w:rFonts w:ascii="Century Gothic" w:hAnsi="Century Gothic" w:cs="Century Gothic"/>
          <w:color w:val="000000"/>
        </w:rPr>
        <w:t xml:space="preserve">Esta evaluación contempla los siguientes objetivos: </w:t>
      </w:r>
    </w:p>
    <w:p w14:paraId="7B241B1E" w14:textId="77777777" w:rsidR="00495B9E" w:rsidRPr="00597324" w:rsidRDefault="00495B9E" w:rsidP="00495B9E">
      <w:pPr>
        <w:spacing w:before="120" w:after="120" w:line="276" w:lineRule="auto"/>
        <w:jc w:val="both"/>
        <w:rPr>
          <w:rFonts w:ascii="Century Gothic" w:eastAsia="Calibri" w:hAnsi="Century Gothic" w:cs="Times New Roman"/>
          <w:b/>
          <w:color w:val="0E4E7A"/>
        </w:rPr>
      </w:pPr>
      <w:r w:rsidRPr="00597324">
        <w:rPr>
          <w:rFonts w:ascii="Century Gothic" w:eastAsia="Calibri" w:hAnsi="Century Gothic" w:cs="Times New Roman"/>
          <w:b/>
          <w:color w:val="0E4E7A"/>
        </w:rPr>
        <w:t>Objetivo General</w:t>
      </w:r>
    </w:p>
    <w:p w14:paraId="33314782" w14:textId="77777777" w:rsidR="00495B9E" w:rsidRDefault="009A3A99" w:rsidP="00495B9E">
      <w:pPr>
        <w:spacing w:after="240" w:line="276" w:lineRule="auto"/>
        <w:jc w:val="both"/>
        <w:rPr>
          <w:rFonts w:ascii="Century Gothic" w:hAnsi="Century Gothic" w:cs="Century Gothic"/>
          <w:color w:val="000000"/>
        </w:rPr>
      </w:pPr>
      <w:r w:rsidRPr="009A3A99">
        <w:rPr>
          <w:rFonts w:ascii="Century Gothic" w:eastAsia="Calibri" w:hAnsi="Century Gothic" w:cs="Times New Roman"/>
          <w:b/>
        </w:rPr>
        <w:t>Evaluar el Fondo de Infraestructura Social Estatal</w:t>
      </w:r>
      <w:r>
        <w:rPr>
          <w:rFonts w:ascii="Century Gothic" w:eastAsia="Calibri" w:hAnsi="Century Gothic" w:cs="Times New Roman"/>
        </w:rPr>
        <w:t xml:space="preserve"> (FISE) a través del </w:t>
      </w:r>
      <w:r w:rsidR="00495B9E" w:rsidRPr="00FF01C4">
        <w:rPr>
          <w:rFonts w:ascii="Century Gothic" w:eastAsia="Calibri" w:hAnsi="Century Gothic" w:cs="Times New Roman"/>
        </w:rPr>
        <w:t>análisis sistemático de la gestión operativa del programa “</w:t>
      </w:r>
      <w:r w:rsidR="00495B9E" w:rsidRPr="00FF01C4">
        <w:rPr>
          <w:rFonts w:ascii="Century Gothic" w:eastAsia="Calibri" w:hAnsi="Century Gothic" w:cs="Times New Roman"/>
          <w:b/>
        </w:rPr>
        <w:t>Construcción, modernización y mantenimiento de la Infraestructura para el Desarrollo</w:t>
      </w:r>
      <w:r w:rsidR="00495B9E" w:rsidRPr="00FF01C4">
        <w:rPr>
          <w:rFonts w:ascii="Century Gothic" w:eastAsia="Calibri" w:hAnsi="Century Gothic" w:cs="Times New Roman"/>
        </w:rPr>
        <w:t>” mediante</w:t>
      </w:r>
      <w:r w:rsidR="00495B9E" w:rsidRPr="00104772">
        <w:rPr>
          <w:rFonts w:ascii="Century Gothic" w:eastAsia="Calibri" w:hAnsi="Century Gothic" w:cs="Times New Roman"/>
        </w:rPr>
        <w:t xml:space="preserve"> </w:t>
      </w:r>
      <w:r w:rsidR="00495B9E">
        <w:rPr>
          <w:rFonts w:ascii="Century Gothic" w:eastAsia="Calibri" w:hAnsi="Century Gothic" w:cs="Times New Roman"/>
        </w:rPr>
        <w:t>la descripción y análisis de los</w:t>
      </w:r>
      <w:r w:rsidR="00495B9E" w:rsidRPr="00104772">
        <w:rPr>
          <w:rFonts w:ascii="Century Gothic" w:eastAsia="Calibri" w:hAnsi="Century Gothic" w:cs="Times New Roman"/>
        </w:rPr>
        <w:t xml:space="preserve"> procesos llevados a cabo por la</w:t>
      </w:r>
      <w:r w:rsidR="00495B9E">
        <w:rPr>
          <w:rFonts w:ascii="Century Gothic" w:eastAsia="Calibri" w:hAnsi="Century Gothic" w:cs="Times New Roman"/>
        </w:rPr>
        <w:t xml:space="preserve"> estructura operativa </w:t>
      </w:r>
      <w:r w:rsidR="00495B9E" w:rsidRPr="00104772">
        <w:rPr>
          <w:rFonts w:ascii="Century Gothic" w:eastAsia="Calibri" w:hAnsi="Century Gothic" w:cs="Times New Roman"/>
        </w:rPr>
        <w:t>e</w:t>
      </w:r>
      <w:r w:rsidR="00495B9E">
        <w:rPr>
          <w:rFonts w:ascii="Century Gothic" w:eastAsia="Calibri" w:hAnsi="Century Gothic" w:cs="Times New Roman"/>
        </w:rPr>
        <w:t>n</w:t>
      </w:r>
      <w:r w:rsidR="00495B9E" w:rsidRPr="00104772">
        <w:rPr>
          <w:rFonts w:ascii="Century Gothic" w:eastAsia="Calibri" w:hAnsi="Century Gothic" w:cs="Times New Roman"/>
        </w:rPr>
        <w:t xml:space="preserve"> la entidad</w:t>
      </w:r>
      <w:r w:rsidR="00495B9E">
        <w:rPr>
          <w:rFonts w:ascii="Century Gothic" w:eastAsia="Calibri" w:hAnsi="Century Gothic" w:cs="Times New Roman"/>
        </w:rPr>
        <w:t xml:space="preserve"> </w:t>
      </w:r>
      <w:r w:rsidR="00495B9E" w:rsidRPr="00597324">
        <w:rPr>
          <w:rFonts w:ascii="Century Gothic" w:eastAsia="Calibri" w:hAnsi="Century Gothic" w:cs="Times New Roman"/>
        </w:rPr>
        <w:t xml:space="preserve">que permita valorar si dicha gestión cumple con lo necesario para el logro de las metas y objetivo del </w:t>
      </w:r>
      <w:r w:rsidR="00495B9E">
        <w:rPr>
          <w:rFonts w:ascii="Century Gothic" w:eastAsia="Calibri" w:hAnsi="Century Gothic" w:cs="Times New Roman"/>
        </w:rPr>
        <w:t>fondo</w:t>
      </w:r>
      <w:r w:rsidR="00495B9E" w:rsidRPr="00597324">
        <w:rPr>
          <w:rFonts w:ascii="Century Gothic" w:eastAsia="Calibri" w:hAnsi="Century Gothic" w:cs="Times New Roman"/>
        </w:rPr>
        <w:t>.</w:t>
      </w:r>
    </w:p>
    <w:p w14:paraId="04911894" w14:textId="77777777" w:rsidR="00495B9E" w:rsidRPr="00597324" w:rsidRDefault="00495B9E" w:rsidP="00495B9E">
      <w:pPr>
        <w:spacing w:after="240" w:line="276" w:lineRule="auto"/>
        <w:jc w:val="both"/>
        <w:rPr>
          <w:rFonts w:ascii="Century Gothic" w:eastAsia="Calibri" w:hAnsi="Century Gothic" w:cs="Times New Roman"/>
          <w:b/>
          <w:color w:val="0E4E7A"/>
        </w:rPr>
      </w:pPr>
      <w:r w:rsidRPr="00597324">
        <w:rPr>
          <w:rFonts w:ascii="Century Gothic" w:eastAsia="Calibri" w:hAnsi="Century Gothic" w:cs="Times New Roman"/>
          <w:b/>
          <w:color w:val="0E4E7A"/>
        </w:rPr>
        <w:lastRenderedPageBreak/>
        <w:t>Objetivos Específicos</w:t>
      </w:r>
    </w:p>
    <w:p w14:paraId="4D688AC8" w14:textId="77777777" w:rsidR="00495B9E" w:rsidRPr="00104772" w:rsidRDefault="00495B9E" w:rsidP="00495B9E">
      <w:pPr>
        <w:numPr>
          <w:ilvl w:val="0"/>
          <w:numId w:val="3"/>
        </w:numPr>
        <w:spacing w:before="120" w:after="120" w:line="276" w:lineRule="auto"/>
        <w:jc w:val="both"/>
        <w:rPr>
          <w:rFonts w:ascii="Century Gothic" w:eastAsia="Calibri" w:hAnsi="Century Gothic" w:cs="Times New Roman"/>
        </w:rPr>
      </w:pPr>
      <w:r w:rsidRPr="00104772">
        <w:rPr>
          <w:rFonts w:ascii="Century Gothic" w:eastAsia="Calibri" w:hAnsi="Century Gothic" w:cs="Times New Roman"/>
        </w:rPr>
        <w:t xml:space="preserve">Analizar los principales procesos establecidos en la normatividad asociada al </w:t>
      </w:r>
      <w:r>
        <w:rPr>
          <w:rFonts w:ascii="Century Gothic" w:eastAsia="Calibri" w:hAnsi="Century Gothic" w:cs="Times New Roman"/>
        </w:rPr>
        <w:t>FISE.</w:t>
      </w:r>
    </w:p>
    <w:p w14:paraId="3EA0EA28" w14:textId="77777777" w:rsidR="00495B9E" w:rsidRPr="00597324" w:rsidRDefault="00495B9E" w:rsidP="00495B9E">
      <w:pPr>
        <w:numPr>
          <w:ilvl w:val="0"/>
          <w:numId w:val="3"/>
        </w:numPr>
        <w:spacing w:before="120" w:after="120" w:line="276" w:lineRule="auto"/>
        <w:jc w:val="both"/>
        <w:rPr>
          <w:rFonts w:ascii="Century Gothic" w:eastAsia="Calibri" w:hAnsi="Century Gothic" w:cs="Times New Roman"/>
        </w:rPr>
      </w:pPr>
      <w:r w:rsidRPr="00597324">
        <w:rPr>
          <w:rFonts w:ascii="Century Gothic" w:eastAsia="Calibri" w:hAnsi="Century Gothic" w:cs="Times New Roman"/>
        </w:rPr>
        <w:t xml:space="preserve">Describir la gestión operativa del </w:t>
      </w:r>
      <w:r w:rsidRPr="002C4E1A">
        <w:rPr>
          <w:rFonts w:ascii="Century Gothic" w:eastAsia="Calibri" w:hAnsi="Century Gothic" w:cs="Times New Roman"/>
        </w:rPr>
        <w:t>programa</w:t>
      </w:r>
      <w:r>
        <w:rPr>
          <w:rFonts w:ascii="Century Gothic" w:eastAsia="Calibri" w:hAnsi="Century Gothic" w:cs="Times New Roman"/>
        </w:rPr>
        <w:t xml:space="preserve"> mediante sus procesos</w:t>
      </w:r>
      <w:r w:rsidRPr="00597324">
        <w:rPr>
          <w:rFonts w:ascii="Century Gothic" w:eastAsia="Calibri" w:hAnsi="Century Gothic" w:cs="Times New Roman"/>
        </w:rPr>
        <w:t xml:space="preserve">, en los distintos niveles donde se lleva a cabo. </w:t>
      </w:r>
    </w:p>
    <w:p w14:paraId="3E43CFA8" w14:textId="77777777" w:rsidR="00495B9E" w:rsidRPr="00282924" w:rsidRDefault="00495B9E" w:rsidP="00495B9E">
      <w:pPr>
        <w:numPr>
          <w:ilvl w:val="0"/>
          <w:numId w:val="3"/>
        </w:numPr>
        <w:spacing w:before="120" w:after="120" w:line="276" w:lineRule="auto"/>
        <w:jc w:val="both"/>
        <w:rPr>
          <w:rFonts w:ascii="Century Gothic" w:eastAsia="Calibri" w:hAnsi="Century Gothic" w:cs="Times New Roman"/>
        </w:rPr>
      </w:pPr>
      <w:r w:rsidRPr="00282924">
        <w:rPr>
          <w:rFonts w:ascii="Century Gothic" w:eastAsia="Calibri" w:hAnsi="Century Gothic" w:cs="Times New Roman"/>
        </w:rPr>
        <w:t xml:space="preserve">Identificar y analizar los problemas o limitantes, tanto normativos como operativos, que obstaculizan la gestión del </w:t>
      </w:r>
      <w:r>
        <w:rPr>
          <w:rFonts w:ascii="Century Gothic" w:eastAsia="Calibri" w:hAnsi="Century Gothic" w:cs="Times New Roman"/>
        </w:rPr>
        <w:t>programa</w:t>
      </w:r>
      <w:r w:rsidRPr="00282924">
        <w:rPr>
          <w:rFonts w:ascii="Century Gothic" w:eastAsia="Calibri" w:hAnsi="Century Gothic" w:cs="Times New Roman"/>
        </w:rPr>
        <w:t>, así como las fortalezas y amenazas que enfrentan los tomadores de decisiones y responsables del recurso.</w:t>
      </w:r>
    </w:p>
    <w:p w14:paraId="4A8232AD" w14:textId="77777777" w:rsidR="00495B9E" w:rsidRDefault="00495B9E" w:rsidP="00495B9E">
      <w:pPr>
        <w:numPr>
          <w:ilvl w:val="0"/>
          <w:numId w:val="3"/>
        </w:numPr>
        <w:spacing w:before="120" w:after="120" w:line="276" w:lineRule="auto"/>
        <w:jc w:val="both"/>
        <w:rPr>
          <w:rFonts w:ascii="Century Gothic" w:eastAsia="Calibri" w:hAnsi="Century Gothic" w:cs="Times New Roman"/>
        </w:rPr>
      </w:pPr>
      <w:r w:rsidRPr="00597324">
        <w:rPr>
          <w:rFonts w:ascii="Century Gothic" w:eastAsia="Calibri" w:hAnsi="Century Gothic" w:cs="Times New Roman"/>
        </w:rPr>
        <w:t>Analizar si la gestión y la articulación de los procesos</w:t>
      </w:r>
      <w:r>
        <w:rPr>
          <w:rFonts w:ascii="Century Gothic" w:eastAsia="Calibri" w:hAnsi="Century Gothic" w:cs="Times New Roman"/>
        </w:rPr>
        <w:t xml:space="preserve"> operativos</w:t>
      </w:r>
      <w:r w:rsidRPr="00597324">
        <w:rPr>
          <w:rFonts w:ascii="Century Gothic" w:eastAsia="Calibri" w:hAnsi="Century Gothic" w:cs="Times New Roman"/>
        </w:rPr>
        <w:t xml:space="preserve"> contribuyen al logro del objetivo del </w:t>
      </w:r>
      <w:r>
        <w:rPr>
          <w:rFonts w:ascii="Century Gothic" w:eastAsia="Calibri" w:hAnsi="Century Gothic" w:cs="Times New Roman"/>
        </w:rPr>
        <w:t>programa</w:t>
      </w:r>
      <w:r w:rsidRPr="00597324">
        <w:rPr>
          <w:rFonts w:ascii="Century Gothic" w:eastAsia="Calibri" w:hAnsi="Century Gothic" w:cs="Times New Roman"/>
        </w:rPr>
        <w:t>.</w:t>
      </w:r>
    </w:p>
    <w:p w14:paraId="7FDEFE18" w14:textId="77777777" w:rsidR="00495B9E" w:rsidRDefault="00495B9E" w:rsidP="00495B9E">
      <w:pPr>
        <w:numPr>
          <w:ilvl w:val="0"/>
          <w:numId w:val="3"/>
        </w:numPr>
        <w:spacing w:before="120" w:after="240" w:line="276" w:lineRule="auto"/>
        <w:ind w:left="714" w:hanging="357"/>
        <w:jc w:val="both"/>
        <w:rPr>
          <w:rFonts w:ascii="Century Gothic" w:eastAsia="Calibri" w:hAnsi="Century Gothic" w:cs="Times New Roman"/>
        </w:rPr>
      </w:pPr>
      <w:r w:rsidRPr="00597324">
        <w:rPr>
          <w:rFonts w:ascii="Century Gothic" w:eastAsia="Calibri" w:hAnsi="Century Gothic" w:cs="Times New Roman"/>
        </w:rPr>
        <w:t>Elaborar recomendaciones generales y específicas que el programa pueda implementar, tanto a nivel normativo como operativo.</w:t>
      </w:r>
    </w:p>
    <w:p w14:paraId="28C6EA76" w14:textId="77777777" w:rsidR="00282924" w:rsidRDefault="00495B9E" w:rsidP="00E050F7">
      <w:pPr>
        <w:spacing w:after="240" w:line="276" w:lineRule="auto"/>
        <w:jc w:val="both"/>
        <w:rPr>
          <w:rFonts w:ascii="Century Gothic" w:hAnsi="Century Gothic"/>
        </w:rPr>
      </w:pPr>
      <w:r>
        <w:rPr>
          <w:rFonts w:ascii="Century Gothic" w:hAnsi="Century Gothic"/>
        </w:rPr>
        <w:t xml:space="preserve">El presente documento </w:t>
      </w:r>
      <w:r w:rsidR="00133B4A" w:rsidRPr="00133B4A">
        <w:rPr>
          <w:rFonts w:ascii="Century Gothic" w:hAnsi="Century Gothic"/>
        </w:rPr>
        <w:t xml:space="preserve"> se compone de  </w:t>
      </w:r>
      <w:r w:rsidR="003501B3">
        <w:rPr>
          <w:rFonts w:ascii="Century Gothic" w:hAnsi="Century Gothic"/>
        </w:rPr>
        <w:t>siete</w:t>
      </w:r>
      <w:r w:rsidR="00133B4A" w:rsidRPr="00133B4A">
        <w:rPr>
          <w:rFonts w:ascii="Century Gothic" w:hAnsi="Century Gothic"/>
        </w:rPr>
        <w:t xml:space="preserve"> capítul</w:t>
      </w:r>
      <w:r w:rsidR="003501B3">
        <w:rPr>
          <w:rFonts w:ascii="Century Gothic" w:hAnsi="Century Gothic"/>
        </w:rPr>
        <w:t>os. Primero, se tiene la</w:t>
      </w:r>
      <w:r w:rsidR="00133B4A" w:rsidRPr="00133B4A">
        <w:rPr>
          <w:rFonts w:ascii="Century Gothic" w:hAnsi="Century Gothic"/>
        </w:rPr>
        <w:t xml:space="preserve"> </w:t>
      </w:r>
      <w:r w:rsidR="00133B4A" w:rsidRPr="00133B4A">
        <w:rPr>
          <w:rFonts w:ascii="Century Gothic" w:hAnsi="Century Gothic"/>
          <w:b/>
        </w:rPr>
        <w:t>“</w:t>
      </w:r>
      <w:r w:rsidR="003501B3">
        <w:rPr>
          <w:rFonts w:ascii="Century Gothic" w:hAnsi="Century Gothic"/>
          <w:b/>
        </w:rPr>
        <w:t>Metodología</w:t>
      </w:r>
      <w:r w:rsidR="00133B4A" w:rsidRPr="00133B4A">
        <w:rPr>
          <w:rFonts w:ascii="Century Gothic" w:hAnsi="Century Gothic"/>
          <w:b/>
        </w:rPr>
        <w:t>”,</w:t>
      </w:r>
      <w:r w:rsidR="003501B3">
        <w:rPr>
          <w:rFonts w:ascii="Century Gothic" w:hAnsi="Century Gothic"/>
          <w:b/>
        </w:rPr>
        <w:t xml:space="preserve"> </w:t>
      </w:r>
      <w:r w:rsidR="003501B3">
        <w:rPr>
          <w:rFonts w:ascii="Century Gothic" w:hAnsi="Century Gothic"/>
        </w:rPr>
        <w:t>donde se explica en que consiste la evaluación y el procedimiento para su desarrollo. Una vez presentado esto se tiene el capítulo de “</w:t>
      </w:r>
      <w:r w:rsidR="003501B3" w:rsidRPr="003501B3">
        <w:rPr>
          <w:rFonts w:ascii="Century Gothic" w:hAnsi="Century Gothic"/>
          <w:b/>
        </w:rPr>
        <w:t>La reseña Histórica del FAIS y su importancia como medio para el combate a la pobreza</w:t>
      </w:r>
      <w:r w:rsidR="003501B3">
        <w:rPr>
          <w:rFonts w:ascii="Century Gothic" w:hAnsi="Century Gothic"/>
        </w:rPr>
        <w:t xml:space="preserve">”, el cual </w:t>
      </w:r>
      <w:r w:rsidR="003501B3" w:rsidRPr="00FC7893">
        <w:rPr>
          <w:rFonts w:ascii="Century Gothic" w:hAnsi="Century Gothic"/>
        </w:rPr>
        <w:t>muestra una breve revisión conceptual</w:t>
      </w:r>
      <w:r w:rsidR="003501B3">
        <w:rPr>
          <w:rFonts w:ascii="Century Gothic" w:hAnsi="Century Gothic"/>
        </w:rPr>
        <w:t xml:space="preserve"> del FAIS y de sus antecedentes. Continuando con el capítulo “Los programas presupuestario como medio de ejecución de los recursos de los fondos” donde se da a conocer la diferencia entre un programa presupuestal como medio y un fondo como fuente del recurso.</w:t>
      </w:r>
    </w:p>
    <w:p w14:paraId="721D8190" w14:textId="77777777" w:rsidR="00E050F7" w:rsidRDefault="00E050F7" w:rsidP="00E050F7">
      <w:pPr>
        <w:spacing w:after="240" w:line="276" w:lineRule="auto"/>
        <w:jc w:val="both"/>
        <w:rPr>
          <w:rFonts w:ascii="Century Gothic" w:hAnsi="Century Gothic"/>
          <w:b/>
        </w:rPr>
      </w:pPr>
      <w:r w:rsidRPr="00E050F7">
        <w:rPr>
          <w:rFonts w:ascii="Century Gothic" w:hAnsi="Century Gothic"/>
        </w:rPr>
        <w:t>El cuarto capítulo</w:t>
      </w:r>
      <w:r>
        <w:rPr>
          <w:rFonts w:ascii="Century Gothic" w:hAnsi="Century Gothic"/>
          <w:b/>
        </w:rPr>
        <w:t xml:space="preserve"> “Análisis del Macroproceso”, </w:t>
      </w:r>
      <w:r>
        <w:rPr>
          <w:rFonts w:ascii="Century Gothic" w:hAnsi="Century Gothic"/>
        </w:rPr>
        <w:t>presenta un análisis década uno de los procesos que se llevan a cabo para el desarrollo de infraestructura social en el estado de Colima. Después de esta revisión, el siguiente capítulo es la “</w:t>
      </w:r>
      <w:r>
        <w:rPr>
          <w:rFonts w:ascii="Century Gothic" w:hAnsi="Century Gothic"/>
          <w:b/>
        </w:rPr>
        <w:t xml:space="preserve">Verificación del proceso en campo de las obras”, </w:t>
      </w:r>
      <w:r w:rsidRPr="00E050F7">
        <w:rPr>
          <w:rFonts w:ascii="Century Gothic" w:hAnsi="Century Gothic"/>
        </w:rPr>
        <w:t>donde</w:t>
      </w:r>
      <w:r>
        <w:rPr>
          <w:rFonts w:ascii="Century Gothic" w:hAnsi="Century Gothic"/>
          <w:b/>
        </w:rPr>
        <w:t xml:space="preserve"> </w:t>
      </w:r>
      <w:r>
        <w:rPr>
          <w:rFonts w:ascii="Century Gothic" w:hAnsi="Century Gothic"/>
        </w:rPr>
        <w:t>se presenta la revisión del expediente de las obras que fueron seleccionadas para verificación del proceso.</w:t>
      </w:r>
      <w:r w:rsidRPr="00E050F7">
        <w:rPr>
          <w:rFonts w:ascii="Century Gothic" w:hAnsi="Century Gothic"/>
          <w:b/>
        </w:rPr>
        <w:t xml:space="preserve"> </w:t>
      </w:r>
    </w:p>
    <w:p w14:paraId="71006333" w14:textId="77777777" w:rsidR="00556582" w:rsidRDefault="00E050F7" w:rsidP="00E050F7">
      <w:pPr>
        <w:spacing w:after="240" w:line="276" w:lineRule="auto"/>
        <w:jc w:val="both"/>
        <w:rPr>
          <w:rFonts w:ascii="Century Gothic" w:hAnsi="Century Gothic"/>
          <w:b/>
        </w:rPr>
      </w:pPr>
      <w:r>
        <w:rPr>
          <w:rFonts w:ascii="Century Gothic" w:hAnsi="Century Gothic"/>
        </w:rPr>
        <w:t>Finalmente se tienen los capítulos de las “</w:t>
      </w:r>
      <w:r w:rsidRPr="003E3189">
        <w:rPr>
          <w:rFonts w:ascii="Century Gothic" w:hAnsi="Century Gothic"/>
          <w:b/>
        </w:rPr>
        <w:t>Conclusiones</w:t>
      </w:r>
      <w:r>
        <w:rPr>
          <w:rFonts w:ascii="Century Gothic" w:hAnsi="Century Gothic"/>
        </w:rPr>
        <w:t>” y “</w:t>
      </w:r>
      <w:r w:rsidRPr="003E3189">
        <w:rPr>
          <w:rFonts w:ascii="Century Gothic" w:hAnsi="Century Gothic"/>
          <w:b/>
        </w:rPr>
        <w:t>Análisis FODA y Recomendaciones</w:t>
      </w:r>
      <w:r>
        <w:rPr>
          <w:rFonts w:ascii="Century Gothic" w:hAnsi="Century Gothic"/>
        </w:rPr>
        <w:t>”, derivadas el proceso de la evaluación.</w:t>
      </w:r>
      <w:r w:rsidR="00556582">
        <w:rPr>
          <w:rFonts w:ascii="Century Gothic" w:hAnsi="Century Gothic"/>
          <w:b/>
        </w:rPr>
        <w:br w:type="page"/>
      </w:r>
    </w:p>
    <w:p w14:paraId="36EA9F54" w14:textId="77777777" w:rsidR="00133B4A" w:rsidRDefault="00133B4A" w:rsidP="000B6EC3">
      <w:pPr>
        <w:pStyle w:val="Ttulo1"/>
        <w:numPr>
          <w:ilvl w:val="0"/>
          <w:numId w:val="4"/>
        </w:numPr>
        <w:spacing w:before="0" w:after="240" w:line="276" w:lineRule="auto"/>
        <w:ind w:left="714" w:hanging="357"/>
        <w:rPr>
          <w:rFonts w:ascii="Century Gothic" w:hAnsi="Century Gothic"/>
          <w:color w:val="0E4E7A"/>
        </w:rPr>
      </w:pPr>
      <w:bookmarkStart w:id="2" w:name="_Toc511236516"/>
      <w:r w:rsidRPr="000B6EC3">
        <w:rPr>
          <w:rFonts w:ascii="Century Gothic" w:hAnsi="Century Gothic"/>
          <w:color w:val="0E4E7A"/>
        </w:rPr>
        <w:lastRenderedPageBreak/>
        <w:t>Metodología</w:t>
      </w:r>
      <w:bookmarkEnd w:id="2"/>
    </w:p>
    <w:p w14:paraId="61EF2079" w14:textId="77777777" w:rsidR="00495B9E" w:rsidRDefault="00F21E37" w:rsidP="00495B9E">
      <w:pPr>
        <w:spacing w:after="240" w:line="276" w:lineRule="auto"/>
        <w:jc w:val="both"/>
        <w:rPr>
          <w:rFonts w:ascii="Century Gothic" w:hAnsi="Century Gothic" w:cs="Century Gothic"/>
        </w:rPr>
      </w:pPr>
      <w:r>
        <w:rPr>
          <w:rFonts w:ascii="Century Gothic" w:hAnsi="Century Gothic"/>
        </w:rPr>
        <w:t xml:space="preserve">La </w:t>
      </w:r>
      <w:r w:rsidR="00495B9E">
        <w:rPr>
          <w:rFonts w:ascii="Century Gothic" w:hAnsi="Century Gothic"/>
        </w:rPr>
        <w:t xml:space="preserve">evaluación </w:t>
      </w:r>
      <w:r w:rsidR="00495B9E" w:rsidRPr="00980C53">
        <w:rPr>
          <w:rFonts w:ascii="Century Gothic" w:hAnsi="Century Gothic"/>
          <w:b/>
        </w:rPr>
        <w:t xml:space="preserve">de Procesos para la Infraestructura Social Estatal (FISE). Obra pública, </w:t>
      </w:r>
      <w:r w:rsidR="00495B9E">
        <w:rPr>
          <w:rFonts w:ascii="Century Gothic" w:hAnsi="Century Gothic" w:cs="Century Gothic"/>
        </w:rPr>
        <w:t xml:space="preserve">se realizará conforme a lo establecido en el numeral décimo octavo, en el apartado uno, de </w:t>
      </w:r>
      <w:r w:rsidR="00495B9E">
        <w:rPr>
          <w:rFonts w:ascii="Century Gothic" w:hAnsi="Century Gothic" w:cs="Century Gothic"/>
          <w:i/>
        </w:rPr>
        <w:t xml:space="preserve">los Lineamientos Generales para la Evaluación de los Programas Federales de la Administración Pública Federal, </w:t>
      </w:r>
      <w:r w:rsidR="00495B9E">
        <w:rPr>
          <w:rFonts w:ascii="Century Gothic" w:hAnsi="Century Gothic" w:cs="Century Gothic"/>
          <w:iCs/>
        </w:rPr>
        <w:t xml:space="preserve">publicados </w:t>
      </w:r>
      <w:r w:rsidR="00495B9E">
        <w:rPr>
          <w:rFonts w:ascii="Century Gothic" w:hAnsi="Century Gothic" w:cs="Century Gothic"/>
        </w:rPr>
        <w:t>por Secretaría de Hacienda y Crédito Público (SHCP), la Secretaría de la Función Pública (SFP)  y el Consejo Nacional de Evaluación de la Política de Desarrollo Social (CONEVAL); en el Diario Oficial de la Federación el 30 de marzo de 2007 y</w:t>
      </w:r>
      <w:r w:rsidR="00495B9E">
        <w:rPr>
          <w:rFonts w:ascii="Century Gothic" w:hAnsi="Century Gothic" w:cs="Century Gothic"/>
          <w:i/>
        </w:rPr>
        <w:t xml:space="preserve"> el Programa Anual de Evaluación 2017 </w:t>
      </w:r>
      <w:r w:rsidR="00495B9E" w:rsidRPr="00F21E37">
        <w:rPr>
          <w:rFonts w:ascii="Century Gothic" w:hAnsi="Century Gothic" w:cs="Century Gothic"/>
        </w:rPr>
        <w:t>del Estado de Colima</w:t>
      </w:r>
      <w:r w:rsidR="00495B9E">
        <w:rPr>
          <w:rFonts w:ascii="Century Gothic" w:hAnsi="Century Gothic" w:cs="Century Gothic"/>
        </w:rPr>
        <w:t>.</w:t>
      </w:r>
    </w:p>
    <w:p w14:paraId="2DBD9C52" w14:textId="77777777" w:rsidR="00495B9E" w:rsidRPr="003F3CF6" w:rsidRDefault="00495B9E" w:rsidP="00495B9E">
      <w:pPr>
        <w:spacing w:after="240" w:line="276" w:lineRule="auto"/>
        <w:jc w:val="both"/>
        <w:rPr>
          <w:rFonts w:ascii="Century Gothic" w:eastAsia="Calibri" w:hAnsi="Century Gothic" w:cs="Arial"/>
        </w:rPr>
      </w:pPr>
      <w:r>
        <w:rPr>
          <w:rFonts w:ascii="Century Gothic" w:hAnsi="Century Gothic"/>
        </w:rPr>
        <w:t>Cumpliendo con ello, Tecnología Social para el Desarrollo (TECSO) retomó l</w:t>
      </w:r>
      <w:r>
        <w:rPr>
          <w:rFonts w:ascii="Century Gothic" w:eastAsia="Calibri" w:hAnsi="Century Gothic" w:cs="Arial"/>
        </w:rPr>
        <w:t>os Términos de R</w:t>
      </w:r>
      <w:r w:rsidRPr="00EE0B61">
        <w:rPr>
          <w:rFonts w:ascii="Century Gothic" w:eastAsia="Calibri" w:hAnsi="Century Gothic" w:cs="Arial"/>
        </w:rPr>
        <w:t xml:space="preserve">eferencia </w:t>
      </w:r>
      <w:r>
        <w:rPr>
          <w:rFonts w:ascii="Century Gothic" w:eastAsia="Calibri" w:hAnsi="Century Gothic" w:cs="Arial"/>
        </w:rPr>
        <w:t>publicados por</w:t>
      </w:r>
      <w:r w:rsidRPr="00EE0B61">
        <w:rPr>
          <w:rFonts w:ascii="Century Gothic" w:eastAsia="Calibri" w:hAnsi="Century Gothic" w:cs="Arial"/>
        </w:rPr>
        <w:t xml:space="preserve"> CONEVAL</w:t>
      </w:r>
      <w:r>
        <w:rPr>
          <w:rFonts w:ascii="Century Gothic" w:eastAsia="Calibri" w:hAnsi="Century Gothic" w:cs="Arial"/>
        </w:rPr>
        <w:t xml:space="preserve"> para la evaluación de procesos</w:t>
      </w:r>
      <w:r w:rsidRPr="00EE0B61">
        <w:rPr>
          <w:rFonts w:ascii="Century Gothic" w:eastAsia="Calibri" w:hAnsi="Century Gothic" w:cs="Arial"/>
        </w:rPr>
        <w:t xml:space="preserve">, sin embargo fueron rediseñados y acoplados </w:t>
      </w:r>
      <w:r>
        <w:rPr>
          <w:rFonts w:ascii="Century Gothic" w:eastAsia="Calibri" w:hAnsi="Century Gothic" w:cs="Arial"/>
        </w:rPr>
        <w:t xml:space="preserve">a las características del programa </w:t>
      </w:r>
      <w:r w:rsidRPr="002A0D3F">
        <w:rPr>
          <w:rFonts w:ascii="Century Gothic" w:hAnsi="Century Gothic"/>
        </w:rPr>
        <w:t>con el objeto de tener mayor precisión en los resultados.</w:t>
      </w:r>
    </w:p>
    <w:p w14:paraId="5E22D1E0" w14:textId="77777777" w:rsidR="00495B9E" w:rsidRDefault="00495B9E" w:rsidP="00495B9E">
      <w:pPr>
        <w:spacing w:after="240" w:line="276" w:lineRule="auto"/>
        <w:jc w:val="both"/>
        <w:rPr>
          <w:rFonts w:ascii="Century Gothic" w:eastAsia="Calibri" w:hAnsi="Century Gothic" w:cs="Arial"/>
        </w:rPr>
      </w:pPr>
      <w:r w:rsidRPr="00EE0B61">
        <w:rPr>
          <w:rFonts w:ascii="Century Gothic" w:eastAsia="Calibri" w:hAnsi="Century Gothic" w:cs="Arial"/>
        </w:rPr>
        <w:t xml:space="preserve">De acuerdo con los Términos de Referencia de la evaluación de procesos, se define como un </w:t>
      </w:r>
      <w:r w:rsidRPr="00C94071">
        <w:rPr>
          <w:rFonts w:ascii="Century Gothic" w:eastAsia="Calibri" w:hAnsi="Century Gothic" w:cs="Arial"/>
          <w:b/>
        </w:rPr>
        <w:t>estudio de carácter cualitativo</w:t>
      </w:r>
      <w:r>
        <w:rPr>
          <w:rFonts w:ascii="Century Gothic" w:eastAsia="Calibri" w:hAnsi="Century Gothic" w:cs="Arial"/>
        </w:rPr>
        <w:t>:</w:t>
      </w:r>
    </w:p>
    <w:p w14:paraId="78DA6147" w14:textId="77777777" w:rsidR="00495B9E" w:rsidRDefault="00495B9E" w:rsidP="00495B9E">
      <w:pPr>
        <w:spacing w:after="240" w:line="276" w:lineRule="auto"/>
        <w:ind w:left="284" w:right="283"/>
        <w:jc w:val="both"/>
        <w:rPr>
          <w:rFonts w:ascii="Century Gothic" w:eastAsia="Calibri" w:hAnsi="Century Gothic" w:cs="Arial"/>
        </w:rPr>
      </w:pPr>
      <w:r w:rsidRPr="002274D0">
        <w:rPr>
          <w:rFonts w:ascii="Century Gothic" w:eastAsia="Calibri" w:hAnsi="Century Gothic" w:cs="Arial"/>
        </w:rPr>
        <w:t xml:space="preserve">A través de diversas estrategias de corte analítico, busca establecer y explicar las interacciones que son la condición de posibilidad de los resultados en la gestión del Programa. El enfoque cualitativo, </w:t>
      </w:r>
      <w:r w:rsidRPr="002274D0">
        <w:rPr>
          <w:rFonts w:ascii="Century Gothic" w:eastAsia="Calibri" w:hAnsi="Century Gothic" w:cs="Arial"/>
          <w:b/>
        </w:rPr>
        <w:t>pretende la comprensión profunda de procesos sociales, sus dinámicas y estructuras</w:t>
      </w:r>
      <w:r w:rsidRPr="00C94071">
        <w:rPr>
          <w:rFonts w:ascii="Century Gothic" w:eastAsia="Calibri" w:hAnsi="Century Gothic" w:cs="Arial"/>
        </w:rPr>
        <w:t>, así como de su relación con los resultados observables de la interacción entre los distintos elementos que componen la unidad de análisis</w:t>
      </w:r>
      <w:r>
        <w:rPr>
          <w:rFonts w:ascii="Century Gothic" w:eastAsia="Calibri" w:hAnsi="Century Gothic" w:cs="Arial"/>
        </w:rPr>
        <w:t>, (CONEVAL, 2017).</w:t>
      </w:r>
    </w:p>
    <w:p w14:paraId="6CD2D800" w14:textId="77777777" w:rsidR="00495B9E" w:rsidRDefault="00495B9E" w:rsidP="00495B9E">
      <w:pPr>
        <w:spacing w:after="240" w:line="276" w:lineRule="auto"/>
        <w:jc w:val="both"/>
        <w:rPr>
          <w:rFonts w:ascii="Century Gothic" w:eastAsia="Calibri" w:hAnsi="Century Gothic" w:cs="Arial"/>
        </w:rPr>
      </w:pPr>
      <w:r w:rsidRPr="009B00B7">
        <w:rPr>
          <w:rFonts w:ascii="Century Gothic" w:eastAsia="Calibri" w:hAnsi="Century Gothic" w:cs="Arial"/>
        </w:rPr>
        <w:t>Por lo cual, para su desarrollo involucra el estudio de la operación del programa mediante</w:t>
      </w:r>
      <w:r>
        <w:rPr>
          <w:rFonts w:ascii="Century Gothic" w:eastAsia="Calibri" w:hAnsi="Century Gothic" w:cs="Arial"/>
        </w:rPr>
        <w:t xml:space="preserve"> el </w:t>
      </w:r>
      <w:r w:rsidRPr="00C94071">
        <w:rPr>
          <w:rFonts w:ascii="Century Gothic" w:eastAsia="Calibri" w:hAnsi="Century Gothic" w:cs="Arial"/>
          <w:b/>
        </w:rPr>
        <w:t>análisis de gabinete</w:t>
      </w:r>
      <w:r>
        <w:rPr>
          <w:rFonts w:ascii="Century Gothic" w:eastAsia="Calibri" w:hAnsi="Century Gothic" w:cs="Arial"/>
          <w:b/>
        </w:rPr>
        <w:t xml:space="preserve"> y</w:t>
      </w:r>
      <w:r>
        <w:rPr>
          <w:rFonts w:ascii="Century Gothic" w:eastAsia="Calibri" w:hAnsi="Century Gothic" w:cs="Arial"/>
        </w:rPr>
        <w:t xml:space="preserve"> </w:t>
      </w:r>
      <w:r w:rsidRPr="00C94071">
        <w:rPr>
          <w:rFonts w:ascii="Century Gothic" w:eastAsia="Calibri" w:hAnsi="Century Gothic" w:cs="Arial"/>
          <w:b/>
        </w:rPr>
        <w:t>análisis cualitativo</w:t>
      </w:r>
      <w:r>
        <w:rPr>
          <w:rFonts w:ascii="Century Gothic" w:eastAsia="Calibri" w:hAnsi="Century Gothic" w:cs="Arial"/>
          <w:b/>
        </w:rPr>
        <w:t xml:space="preserve"> (Trabajo de campo)</w:t>
      </w:r>
      <w:r w:rsidRPr="00C94071">
        <w:rPr>
          <w:rFonts w:ascii="Century Gothic" w:eastAsia="Calibri" w:hAnsi="Century Gothic" w:cs="Arial"/>
        </w:rPr>
        <w:t xml:space="preserve"> de los procesos en la práctica</w:t>
      </w:r>
      <w:r>
        <w:rPr>
          <w:rFonts w:ascii="Century Gothic" w:eastAsia="Calibri" w:hAnsi="Century Gothic" w:cs="Arial"/>
        </w:rPr>
        <w:t>.</w:t>
      </w:r>
    </w:p>
    <w:p w14:paraId="6FB577E6" w14:textId="77777777" w:rsidR="00495B9E" w:rsidRDefault="00495B9E" w:rsidP="00495B9E">
      <w:pPr>
        <w:spacing w:after="240" w:line="276" w:lineRule="auto"/>
        <w:jc w:val="both"/>
        <w:rPr>
          <w:rFonts w:ascii="Century Gothic" w:eastAsia="Calibri" w:hAnsi="Century Gothic" w:cs="Arial"/>
          <w:b/>
        </w:rPr>
      </w:pPr>
      <w:r w:rsidRPr="00BD4B16">
        <w:rPr>
          <w:rFonts w:ascii="Century Gothic" w:eastAsia="Calibri" w:hAnsi="Century Gothic" w:cs="Arial"/>
          <w:b/>
        </w:rPr>
        <w:t>Análisis de Gabinete:</w:t>
      </w:r>
    </w:p>
    <w:p w14:paraId="1FC5B528" w14:textId="77777777" w:rsidR="00495B9E" w:rsidRDefault="00495B9E" w:rsidP="00495B9E">
      <w:pPr>
        <w:spacing w:after="240" w:line="276" w:lineRule="auto"/>
        <w:jc w:val="both"/>
        <w:rPr>
          <w:rFonts w:ascii="Century Gothic" w:eastAsia="Calibri" w:hAnsi="Century Gothic" w:cs="Arial"/>
        </w:rPr>
      </w:pPr>
      <w:r>
        <w:rPr>
          <w:rFonts w:ascii="Century Gothic" w:eastAsia="Calibri" w:hAnsi="Century Gothic" w:cs="Arial"/>
        </w:rPr>
        <w:t>Dentro del análisis de gabinete se diferencia dos técnicas a implementarse, un análisis documental y un análisis estadístico.</w:t>
      </w:r>
    </w:p>
    <w:p w14:paraId="7EC38A15" w14:textId="77777777" w:rsidR="00495B9E" w:rsidRPr="009B00B7" w:rsidRDefault="00495B9E" w:rsidP="00495B9E">
      <w:pPr>
        <w:pStyle w:val="Prrafodelista"/>
        <w:numPr>
          <w:ilvl w:val="0"/>
          <w:numId w:val="7"/>
        </w:numPr>
        <w:spacing w:after="240" w:line="276" w:lineRule="auto"/>
        <w:jc w:val="both"/>
        <w:rPr>
          <w:rFonts w:ascii="Century Gothic" w:eastAsia="Calibri" w:hAnsi="Century Gothic" w:cs="Arial"/>
          <w:b/>
        </w:rPr>
      </w:pPr>
      <w:r w:rsidRPr="009B00B7">
        <w:rPr>
          <w:rFonts w:ascii="Century Gothic" w:eastAsia="Calibri" w:hAnsi="Century Gothic" w:cs="Arial"/>
          <w:b/>
        </w:rPr>
        <w:t>Análisis Documental</w:t>
      </w:r>
    </w:p>
    <w:p w14:paraId="2E953D91" w14:textId="77777777" w:rsidR="00495B9E" w:rsidRPr="00BD4B16" w:rsidRDefault="00495B9E" w:rsidP="00495B9E">
      <w:pPr>
        <w:spacing w:after="240" w:line="276" w:lineRule="auto"/>
        <w:jc w:val="both"/>
        <w:rPr>
          <w:rFonts w:ascii="Century Gothic" w:eastAsia="Calibri" w:hAnsi="Century Gothic" w:cs="Arial"/>
        </w:rPr>
      </w:pPr>
      <w:r>
        <w:rPr>
          <w:rFonts w:ascii="Century Gothic" w:eastAsia="Calibri" w:hAnsi="Century Gothic" w:cs="Arial"/>
        </w:rPr>
        <w:t>S</w:t>
      </w:r>
      <w:r w:rsidRPr="00EE0B61">
        <w:rPr>
          <w:rFonts w:ascii="Century Gothic" w:eastAsia="Calibri" w:hAnsi="Century Gothic" w:cs="Arial"/>
        </w:rPr>
        <w:t xml:space="preserve">e tomará en cuenta la revisión del contexto en el que el </w:t>
      </w:r>
      <w:r>
        <w:rPr>
          <w:rFonts w:ascii="Century Gothic" w:eastAsia="Calibri" w:hAnsi="Century Gothic" w:cs="Arial"/>
        </w:rPr>
        <w:t>programa</w:t>
      </w:r>
      <w:r w:rsidRPr="00EE0B61">
        <w:rPr>
          <w:rFonts w:ascii="Century Gothic" w:eastAsia="Calibri" w:hAnsi="Century Gothic" w:cs="Arial"/>
        </w:rPr>
        <w:t xml:space="preserve"> se ejecuta, así como el análisis del marco normativo que lo rige, por lo </w:t>
      </w:r>
      <w:r>
        <w:rPr>
          <w:rFonts w:ascii="Century Gothic" w:eastAsia="Calibri" w:hAnsi="Century Gothic" w:cs="Arial"/>
        </w:rPr>
        <w:t>tanto se consideran temas, como</w:t>
      </w:r>
      <w:r w:rsidRPr="00EE0B61">
        <w:rPr>
          <w:rFonts w:ascii="Century Gothic" w:eastAsia="Calibri" w:hAnsi="Century Gothic" w:cs="Arial"/>
        </w:rPr>
        <w:t xml:space="preserve"> la normatividad aplicable (leyes, reglamentos, lineamientos, </w:t>
      </w:r>
      <w:r w:rsidRPr="00EE0B61">
        <w:rPr>
          <w:rFonts w:ascii="Century Gothic" w:eastAsia="Calibri" w:hAnsi="Century Gothic" w:cs="Arial"/>
        </w:rPr>
        <w:lastRenderedPageBreak/>
        <w:t xml:space="preserve">etc.), el diagnóstico y estudios de la problemática que </w:t>
      </w:r>
      <w:r>
        <w:rPr>
          <w:rFonts w:ascii="Century Gothic" w:eastAsia="Calibri" w:hAnsi="Century Gothic" w:cs="Arial"/>
        </w:rPr>
        <w:t>este</w:t>
      </w:r>
      <w:r w:rsidRPr="00EE0B61">
        <w:rPr>
          <w:rFonts w:ascii="Century Gothic" w:eastAsia="Calibri" w:hAnsi="Century Gothic" w:cs="Arial"/>
        </w:rPr>
        <w:t xml:space="preserve"> pretende atender, diagnóstico y estudios del marco contextual en el que opera</w:t>
      </w:r>
      <w:r>
        <w:rPr>
          <w:rFonts w:ascii="Century Gothic" w:eastAsia="Calibri" w:hAnsi="Century Gothic" w:cs="Arial"/>
        </w:rPr>
        <w:t>,</w:t>
      </w:r>
      <w:r w:rsidRPr="00EE0B61">
        <w:rPr>
          <w:rFonts w:ascii="Century Gothic" w:eastAsia="Calibri" w:hAnsi="Century Gothic" w:cs="Arial"/>
        </w:rPr>
        <w:t xml:space="preserve"> así como </w:t>
      </w:r>
      <w:r w:rsidRPr="00BD4B16">
        <w:rPr>
          <w:rFonts w:ascii="Century Gothic" w:eastAsia="Calibri" w:hAnsi="Century Gothic" w:cs="Arial"/>
        </w:rPr>
        <w:t xml:space="preserve">información contenida en </w:t>
      </w:r>
      <w:r>
        <w:rPr>
          <w:rFonts w:ascii="Century Gothic" w:eastAsia="Calibri" w:hAnsi="Century Gothic" w:cs="Arial"/>
        </w:rPr>
        <w:t>registros administrativos,</w:t>
      </w:r>
      <w:r w:rsidRPr="00EE0B61">
        <w:rPr>
          <w:rFonts w:ascii="Century Gothic" w:eastAsia="Calibri" w:hAnsi="Century Gothic" w:cs="Arial"/>
        </w:rPr>
        <w:t xml:space="preserve"> </w:t>
      </w:r>
      <w:r w:rsidRPr="004E6466">
        <w:rPr>
          <w:rFonts w:ascii="Century Gothic" w:eastAsia="Calibri" w:hAnsi="Century Gothic" w:cs="Arial"/>
        </w:rPr>
        <w:t xml:space="preserve">sistemas de información, </w:t>
      </w:r>
      <w:r w:rsidRPr="00EE0B61">
        <w:rPr>
          <w:rFonts w:ascii="Century Gothic" w:eastAsia="Calibri" w:hAnsi="Century Gothic" w:cs="Arial"/>
        </w:rPr>
        <w:t xml:space="preserve">evaluaciones </w:t>
      </w:r>
      <w:r>
        <w:rPr>
          <w:rFonts w:ascii="Century Gothic" w:eastAsia="Calibri" w:hAnsi="Century Gothic" w:cs="Arial"/>
        </w:rPr>
        <w:t>externas, entre otro</w:t>
      </w:r>
      <w:r w:rsidRPr="00EE0B61">
        <w:rPr>
          <w:rFonts w:ascii="Century Gothic" w:eastAsia="Calibri" w:hAnsi="Century Gothic" w:cs="Arial"/>
        </w:rPr>
        <w:t>s.</w:t>
      </w:r>
    </w:p>
    <w:p w14:paraId="2E67B9EB" w14:textId="77777777" w:rsidR="00495B9E" w:rsidRDefault="00495B9E" w:rsidP="00495B9E">
      <w:pPr>
        <w:spacing w:after="240" w:line="276" w:lineRule="auto"/>
        <w:jc w:val="both"/>
        <w:rPr>
          <w:rFonts w:ascii="Century Gothic" w:hAnsi="Century Gothic"/>
        </w:rPr>
      </w:pPr>
      <w:r>
        <w:rPr>
          <w:rFonts w:ascii="Century Gothic" w:hAnsi="Century Gothic"/>
        </w:rPr>
        <w:t>También se procederá con</w:t>
      </w:r>
      <w:r w:rsidRPr="004E6466">
        <w:rPr>
          <w:rFonts w:ascii="Century Gothic" w:hAnsi="Century Gothic"/>
        </w:rPr>
        <w:t xml:space="preserve"> la identificación</w:t>
      </w:r>
      <w:r>
        <w:rPr>
          <w:rFonts w:ascii="Century Gothic" w:hAnsi="Century Gothic"/>
        </w:rPr>
        <w:t xml:space="preserve"> </w:t>
      </w:r>
      <w:r w:rsidRPr="004E6466">
        <w:rPr>
          <w:rFonts w:ascii="Century Gothic" w:hAnsi="Century Gothic"/>
        </w:rPr>
        <w:t xml:space="preserve">general </w:t>
      </w:r>
      <w:r>
        <w:rPr>
          <w:rFonts w:ascii="Century Gothic" w:hAnsi="Century Gothic"/>
        </w:rPr>
        <w:t>de áreas y actores clave</w:t>
      </w:r>
      <w:r w:rsidRPr="004E6466">
        <w:rPr>
          <w:rFonts w:ascii="Century Gothic" w:hAnsi="Century Gothic"/>
        </w:rPr>
        <w:t>, considerando las funciones y</w:t>
      </w:r>
      <w:r>
        <w:rPr>
          <w:rFonts w:ascii="Century Gothic" w:hAnsi="Century Gothic"/>
        </w:rPr>
        <w:t xml:space="preserve"> </w:t>
      </w:r>
      <w:r w:rsidRPr="004E6466">
        <w:rPr>
          <w:rFonts w:ascii="Century Gothic" w:hAnsi="Century Gothic"/>
        </w:rPr>
        <w:t xml:space="preserve">responsabilidades de cada uno respecto del flujo operativo del </w:t>
      </w:r>
      <w:r w:rsidRPr="0022459D">
        <w:rPr>
          <w:rFonts w:ascii="Century Gothic" w:hAnsi="Century Gothic"/>
        </w:rPr>
        <w:t>programa,</w:t>
      </w:r>
      <w:r w:rsidRPr="004E6466">
        <w:rPr>
          <w:rFonts w:ascii="Century Gothic" w:hAnsi="Century Gothic"/>
        </w:rPr>
        <w:t xml:space="preserve"> de acuerdo con la</w:t>
      </w:r>
      <w:r>
        <w:rPr>
          <w:rFonts w:ascii="Century Gothic" w:hAnsi="Century Gothic"/>
        </w:rPr>
        <w:t xml:space="preserve"> </w:t>
      </w:r>
      <w:r w:rsidRPr="004E6466">
        <w:rPr>
          <w:rFonts w:ascii="Century Gothic" w:hAnsi="Century Gothic"/>
        </w:rPr>
        <w:t>estructura organizacional establecida en el marco normativo de la entidad, y</w:t>
      </w:r>
      <w:r>
        <w:rPr>
          <w:rFonts w:ascii="Century Gothic" w:hAnsi="Century Gothic"/>
        </w:rPr>
        <w:t xml:space="preserve"> </w:t>
      </w:r>
      <w:r w:rsidRPr="004E6466">
        <w:rPr>
          <w:rFonts w:ascii="Century Gothic" w:hAnsi="Century Gothic"/>
        </w:rPr>
        <w:t>considerando los lineamientos generales establecidos desde la Federación</w:t>
      </w:r>
      <w:r>
        <w:rPr>
          <w:rFonts w:ascii="Century Gothic" w:hAnsi="Century Gothic"/>
        </w:rPr>
        <w:t>.</w:t>
      </w:r>
    </w:p>
    <w:p w14:paraId="5C5448D5" w14:textId="77777777" w:rsidR="00495B9E" w:rsidRDefault="00495B9E" w:rsidP="00495B9E">
      <w:pPr>
        <w:pStyle w:val="Prrafodelista"/>
        <w:numPr>
          <w:ilvl w:val="0"/>
          <w:numId w:val="7"/>
        </w:numPr>
        <w:spacing w:after="240" w:line="276" w:lineRule="auto"/>
        <w:contextualSpacing w:val="0"/>
        <w:rPr>
          <w:rFonts w:ascii="Century Gothic" w:hAnsi="Century Gothic"/>
          <w:b/>
        </w:rPr>
      </w:pPr>
      <w:r>
        <w:rPr>
          <w:rFonts w:ascii="Century Gothic" w:hAnsi="Century Gothic"/>
          <w:b/>
        </w:rPr>
        <w:t>Análisis Estadístico</w:t>
      </w:r>
    </w:p>
    <w:p w14:paraId="287AF2C4" w14:textId="77777777" w:rsidR="00495B9E" w:rsidRPr="0022459D" w:rsidRDefault="00495B9E" w:rsidP="00495B9E">
      <w:pPr>
        <w:spacing w:after="240" w:line="276" w:lineRule="auto"/>
        <w:jc w:val="both"/>
        <w:rPr>
          <w:rFonts w:ascii="Century Gothic" w:hAnsi="Century Gothic"/>
          <w:b/>
        </w:rPr>
      </w:pPr>
      <w:r>
        <w:rPr>
          <w:rFonts w:ascii="Century Gothic" w:hAnsi="Century Gothic"/>
        </w:rPr>
        <w:t>Se revisarán tanto estadísticas oficiales como las proporcionadas por la dependencia, contrastándolas con las características del programa a evaluar.</w:t>
      </w:r>
    </w:p>
    <w:p w14:paraId="0FC00573" w14:textId="77777777" w:rsidR="00495B9E" w:rsidRPr="006C3153" w:rsidRDefault="00495B9E" w:rsidP="006C3153">
      <w:pPr>
        <w:spacing w:after="240" w:line="276" w:lineRule="auto"/>
        <w:rPr>
          <w:rFonts w:ascii="Century Gothic" w:hAnsi="Century Gothic"/>
        </w:rPr>
      </w:pPr>
      <w:r w:rsidRPr="006C3153">
        <w:rPr>
          <w:rFonts w:ascii="Century Gothic" w:hAnsi="Century Gothic"/>
          <w:b/>
        </w:rPr>
        <w:t>Análisis Cualitativo</w:t>
      </w:r>
      <w:r w:rsidRPr="006C3153">
        <w:rPr>
          <w:rFonts w:ascii="Century Gothic" w:hAnsi="Century Gothic"/>
        </w:rPr>
        <w:t>:</w:t>
      </w:r>
    </w:p>
    <w:p w14:paraId="549DC1C0" w14:textId="77777777" w:rsidR="00495B9E" w:rsidRDefault="00495B9E" w:rsidP="00495B9E">
      <w:pPr>
        <w:spacing w:after="240" w:line="276" w:lineRule="auto"/>
        <w:jc w:val="both"/>
        <w:rPr>
          <w:rFonts w:ascii="Century Gothic" w:hAnsi="Century Gothic"/>
        </w:rPr>
      </w:pPr>
      <w:r>
        <w:rPr>
          <w:rFonts w:ascii="Century Gothic" w:hAnsi="Century Gothic"/>
        </w:rPr>
        <w:t xml:space="preserve">De igual forma se </w:t>
      </w:r>
      <w:r w:rsidRPr="00BD4B16">
        <w:rPr>
          <w:rFonts w:ascii="Century Gothic" w:hAnsi="Century Gothic"/>
        </w:rPr>
        <w:t>llevar</w:t>
      </w:r>
      <w:r>
        <w:rPr>
          <w:rFonts w:ascii="Century Gothic" w:hAnsi="Century Gothic"/>
        </w:rPr>
        <w:t>á</w:t>
      </w:r>
      <w:r w:rsidRPr="00BD4B16">
        <w:rPr>
          <w:rFonts w:ascii="Century Gothic" w:hAnsi="Century Gothic"/>
        </w:rPr>
        <w:t xml:space="preserve"> a cabo una</w:t>
      </w:r>
      <w:r>
        <w:rPr>
          <w:rFonts w:ascii="Century Gothic" w:hAnsi="Century Gothic"/>
        </w:rPr>
        <w:t xml:space="preserve"> estrategia de levantamiento de i</w:t>
      </w:r>
      <w:r w:rsidRPr="00BD4B16">
        <w:rPr>
          <w:rFonts w:ascii="Century Gothic" w:hAnsi="Century Gothic"/>
        </w:rPr>
        <w:t>nformación</w:t>
      </w:r>
      <w:r>
        <w:rPr>
          <w:rFonts w:ascii="Century Gothic" w:hAnsi="Century Gothic"/>
        </w:rPr>
        <w:t xml:space="preserve"> por medio de talleres y revisión de casos:</w:t>
      </w:r>
    </w:p>
    <w:p w14:paraId="431ECCB3" w14:textId="77777777" w:rsidR="00495B9E" w:rsidRDefault="00495B9E" w:rsidP="00495B9E">
      <w:pPr>
        <w:pStyle w:val="Prrafodelista"/>
        <w:numPr>
          <w:ilvl w:val="0"/>
          <w:numId w:val="8"/>
        </w:numPr>
        <w:spacing w:after="240" w:line="276" w:lineRule="auto"/>
        <w:contextualSpacing w:val="0"/>
        <w:jc w:val="both"/>
        <w:rPr>
          <w:rFonts w:ascii="Century Gothic" w:hAnsi="Century Gothic"/>
        </w:rPr>
      </w:pPr>
      <w:r w:rsidRPr="004F3AAA">
        <w:rPr>
          <w:rFonts w:ascii="Century Gothic" w:hAnsi="Century Gothic"/>
          <w:b/>
        </w:rPr>
        <w:t>T</w:t>
      </w:r>
      <w:r>
        <w:rPr>
          <w:rFonts w:ascii="Century Gothic" w:hAnsi="Century Gothic"/>
          <w:b/>
        </w:rPr>
        <w:t>aller FODA</w:t>
      </w:r>
      <w:r w:rsidRPr="004F3AAA">
        <w:rPr>
          <w:rFonts w:ascii="Century Gothic" w:hAnsi="Century Gothic"/>
          <w:b/>
        </w:rPr>
        <w:t xml:space="preserve"> con funcionarios</w:t>
      </w:r>
      <w:r w:rsidRPr="004F3AAA">
        <w:rPr>
          <w:rFonts w:ascii="Century Gothic" w:hAnsi="Century Gothic"/>
        </w:rPr>
        <w:t xml:space="preserve"> claves que intervienen en la gestión del programa, principalmente de la </w:t>
      </w:r>
      <w:r w:rsidRPr="004F3AAA">
        <w:rPr>
          <w:rFonts w:ascii="Century Gothic" w:hAnsi="Century Gothic" w:cs="Arial"/>
          <w:szCs w:val="28"/>
        </w:rPr>
        <w:t xml:space="preserve">Secretaría de Infraestructura y Desarrollo Urbano </w:t>
      </w:r>
      <w:r w:rsidR="0092758E">
        <w:rPr>
          <w:rFonts w:ascii="Century Gothic" w:hAnsi="Century Gothic" w:cs="Arial"/>
          <w:szCs w:val="28"/>
        </w:rPr>
        <w:t xml:space="preserve">(SEIDUR) </w:t>
      </w:r>
      <w:r w:rsidRPr="004F3AAA">
        <w:rPr>
          <w:rFonts w:ascii="Century Gothic" w:hAnsi="Century Gothic" w:cs="Arial"/>
          <w:szCs w:val="28"/>
        </w:rPr>
        <w:t xml:space="preserve">y la </w:t>
      </w:r>
      <w:r w:rsidRPr="004F3AAA">
        <w:rPr>
          <w:rFonts w:ascii="Century Gothic" w:hAnsi="Century Gothic"/>
        </w:rPr>
        <w:t>Coordinación Administrativa de Obra Pública.</w:t>
      </w:r>
    </w:p>
    <w:p w14:paraId="0F9FC2BA" w14:textId="77777777" w:rsidR="00495B9E" w:rsidRPr="004F3AAA" w:rsidRDefault="00495B9E" w:rsidP="00495B9E">
      <w:pPr>
        <w:pStyle w:val="Prrafodelista"/>
        <w:numPr>
          <w:ilvl w:val="0"/>
          <w:numId w:val="8"/>
        </w:numPr>
        <w:spacing w:after="240" w:line="276" w:lineRule="auto"/>
        <w:contextualSpacing w:val="0"/>
        <w:jc w:val="both"/>
        <w:rPr>
          <w:rFonts w:ascii="Century Gothic" w:hAnsi="Century Gothic"/>
        </w:rPr>
      </w:pPr>
      <w:r>
        <w:rPr>
          <w:rFonts w:ascii="Century Gothic" w:hAnsi="Century Gothic"/>
          <w:b/>
        </w:rPr>
        <w:t>Revisión de casos de obras</w:t>
      </w:r>
      <w:r>
        <w:rPr>
          <w:rFonts w:ascii="Century Gothic" w:hAnsi="Century Gothic"/>
        </w:rPr>
        <w:t xml:space="preserve"> desde el inicio del proceso (selección) hasta el proceso final (entrega), mediante una revisión física de documentos e incluso de la obra mis</w:t>
      </w:r>
      <w:r w:rsidR="009A3A99">
        <w:rPr>
          <w:rFonts w:ascii="Century Gothic" w:hAnsi="Century Gothic"/>
        </w:rPr>
        <w:t>ma in situ, seleccionando tres de</w:t>
      </w:r>
      <w:r w:rsidR="00DD3150">
        <w:rPr>
          <w:rFonts w:ascii="Century Gothic" w:hAnsi="Century Gothic"/>
        </w:rPr>
        <w:t xml:space="preserve"> </w:t>
      </w:r>
      <w:r w:rsidR="009A3A99">
        <w:rPr>
          <w:rFonts w:ascii="Century Gothic" w:hAnsi="Century Gothic"/>
        </w:rPr>
        <w:t xml:space="preserve">las nueve obras </w:t>
      </w:r>
      <w:r w:rsidR="00DD3150">
        <w:rPr>
          <w:rFonts w:ascii="Century Gothic" w:hAnsi="Century Gothic"/>
        </w:rPr>
        <w:t>realizadas con recursos del FISE en 2016.</w:t>
      </w:r>
    </w:p>
    <w:p w14:paraId="7EFE08EC" w14:textId="77777777" w:rsidR="00495B9E" w:rsidRDefault="00495B9E" w:rsidP="00495B9E">
      <w:pPr>
        <w:spacing w:after="240" w:line="276" w:lineRule="auto"/>
        <w:jc w:val="both"/>
        <w:rPr>
          <w:rFonts w:ascii="Century Gothic" w:hAnsi="Century Gothic"/>
        </w:rPr>
      </w:pPr>
      <w:r>
        <w:rPr>
          <w:rFonts w:ascii="Century Gothic" w:hAnsi="Century Gothic"/>
        </w:rPr>
        <w:t>Así, e</w:t>
      </w:r>
      <w:r w:rsidRPr="002274D0">
        <w:rPr>
          <w:rFonts w:ascii="Century Gothic" w:hAnsi="Century Gothic"/>
        </w:rPr>
        <w:t>l planteamien</w:t>
      </w:r>
      <w:r>
        <w:rPr>
          <w:rFonts w:ascii="Century Gothic" w:hAnsi="Century Gothic"/>
        </w:rPr>
        <w:t>to de la metodología para esta evaluación implica</w:t>
      </w:r>
      <w:r w:rsidRPr="002274D0">
        <w:rPr>
          <w:rFonts w:ascii="Century Gothic" w:hAnsi="Century Gothic"/>
        </w:rPr>
        <w:t xml:space="preserve"> la</w:t>
      </w:r>
      <w:r>
        <w:rPr>
          <w:rFonts w:ascii="Century Gothic" w:hAnsi="Century Gothic"/>
        </w:rPr>
        <w:t xml:space="preserve"> </w:t>
      </w:r>
      <w:r w:rsidRPr="002274D0">
        <w:rPr>
          <w:rFonts w:ascii="Century Gothic" w:hAnsi="Century Gothic"/>
        </w:rPr>
        <w:t xml:space="preserve">definición de </w:t>
      </w:r>
      <w:r w:rsidR="00FF01C4">
        <w:rPr>
          <w:rFonts w:ascii="Century Gothic" w:hAnsi="Century Gothic"/>
        </w:rPr>
        <w:t>un macro-proceso</w:t>
      </w:r>
      <w:r w:rsidRPr="002274D0">
        <w:rPr>
          <w:rFonts w:ascii="Century Gothic" w:hAnsi="Century Gothic"/>
        </w:rPr>
        <w:t xml:space="preserve"> </w:t>
      </w:r>
      <w:r>
        <w:rPr>
          <w:rFonts w:ascii="Century Gothic" w:hAnsi="Century Gothic"/>
        </w:rPr>
        <w:t xml:space="preserve">cuya finalidad es </w:t>
      </w:r>
      <w:r w:rsidRPr="00DE33F4">
        <w:rPr>
          <w:rFonts w:ascii="Century Gothic" w:hAnsi="Century Gothic"/>
        </w:rPr>
        <w:t>categorizar a los procesos y sus elementos</w:t>
      </w:r>
      <w:r>
        <w:rPr>
          <w:rFonts w:ascii="Century Gothic" w:hAnsi="Century Gothic"/>
        </w:rPr>
        <w:t>, los cuales se asumiero</w:t>
      </w:r>
      <w:r w:rsidRPr="002274D0">
        <w:rPr>
          <w:rFonts w:ascii="Century Gothic" w:hAnsi="Century Gothic"/>
        </w:rPr>
        <w:t>n como marco</w:t>
      </w:r>
      <w:r>
        <w:rPr>
          <w:rFonts w:ascii="Century Gothic" w:hAnsi="Century Gothic"/>
        </w:rPr>
        <w:t xml:space="preserve"> </w:t>
      </w:r>
      <w:r w:rsidRPr="002274D0">
        <w:rPr>
          <w:rFonts w:ascii="Century Gothic" w:hAnsi="Century Gothic"/>
        </w:rPr>
        <w:t xml:space="preserve">de referencia para la comprensión y el análisis de la operación del </w:t>
      </w:r>
      <w:r>
        <w:rPr>
          <w:rFonts w:ascii="Century Gothic" w:hAnsi="Century Gothic"/>
        </w:rPr>
        <w:t>programa</w:t>
      </w:r>
      <w:r w:rsidRPr="002274D0">
        <w:rPr>
          <w:rFonts w:ascii="Century Gothic" w:hAnsi="Century Gothic"/>
        </w:rPr>
        <w:t>.</w:t>
      </w:r>
      <w:r>
        <w:rPr>
          <w:rFonts w:ascii="Century Gothic" w:hAnsi="Century Gothic"/>
        </w:rPr>
        <w:t xml:space="preserve"> Es decir, esto implica un abordaje normativo y su contrastación con la operación del programa.</w:t>
      </w:r>
    </w:p>
    <w:p w14:paraId="72A93E24" w14:textId="77777777" w:rsidR="00495B9E" w:rsidRDefault="00FF01C4" w:rsidP="00495B9E">
      <w:pPr>
        <w:spacing w:after="240" w:line="276" w:lineRule="auto"/>
        <w:jc w:val="both"/>
        <w:rPr>
          <w:rFonts w:ascii="Century Gothic" w:hAnsi="Century Gothic"/>
        </w:rPr>
      </w:pPr>
      <w:r>
        <w:rPr>
          <w:rFonts w:ascii="Century Gothic" w:hAnsi="Century Gothic"/>
        </w:rPr>
        <w:t xml:space="preserve">Los </w:t>
      </w:r>
      <w:r w:rsidR="00495B9E" w:rsidRPr="00DE33F4">
        <w:rPr>
          <w:rFonts w:ascii="Century Gothic" w:hAnsi="Century Gothic"/>
        </w:rPr>
        <w:t>procesos</w:t>
      </w:r>
      <w:r w:rsidR="00495B9E">
        <w:rPr>
          <w:rFonts w:ascii="Century Gothic" w:hAnsi="Century Gothic"/>
        </w:rPr>
        <w:t xml:space="preserve"> </w:t>
      </w:r>
      <w:r w:rsidR="00495B9E" w:rsidRPr="00DE33F4">
        <w:rPr>
          <w:rFonts w:ascii="Century Gothic" w:hAnsi="Century Gothic"/>
        </w:rPr>
        <w:t>involucran la participación de varios niveles de operación, aunque en diferente</w:t>
      </w:r>
      <w:r w:rsidR="00495B9E">
        <w:rPr>
          <w:rFonts w:ascii="Century Gothic" w:hAnsi="Century Gothic"/>
        </w:rPr>
        <w:t xml:space="preserve"> </w:t>
      </w:r>
      <w:r w:rsidR="00495B9E" w:rsidRPr="00DE33F4">
        <w:rPr>
          <w:rFonts w:ascii="Century Gothic" w:hAnsi="Century Gothic"/>
        </w:rPr>
        <w:t xml:space="preserve">magnitud. De </w:t>
      </w:r>
      <w:r>
        <w:rPr>
          <w:rFonts w:ascii="Century Gothic" w:hAnsi="Century Gothic"/>
        </w:rPr>
        <w:t xml:space="preserve">acuerdo con las facultades hay </w:t>
      </w:r>
      <w:r w:rsidR="00495B9E" w:rsidRPr="00DE33F4">
        <w:rPr>
          <w:rFonts w:ascii="Century Gothic" w:hAnsi="Century Gothic"/>
        </w:rPr>
        <w:t>procesos</w:t>
      </w:r>
      <w:r w:rsidR="00495B9E">
        <w:rPr>
          <w:rFonts w:ascii="Century Gothic" w:hAnsi="Century Gothic"/>
        </w:rPr>
        <w:t xml:space="preserve"> </w:t>
      </w:r>
      <w:r w:rsidR="00495B9E" w:rsidRPr="00DE33F4">
        <w:rPr>
          <w:rFonts w:ascii="Century Gothic" w:hAnsi="Century Gothic"/>
        </w:rPr>
        <w:lastRenderedPageBreak/>
        <w:t>que se relacionan con actores específicos y otros que requieren de la</w:t>
      </w:r>
      <w:r w:rsidR="00495B9E">
        <w:rPr>
          <w:rFonts w:ascii="Century Gothic" w:hAnsi="Century Gothic"/>
        </w:rPr>
        <w:t xml:space="preserve"> </w:t>
      </w:r>
      <w:r w:rsidR="00495B9E" w:rsidRPr="00DE33F4">
        <w:rPr>
          <w:rFonts w:ascii="Century Gothic" w:hAnsi="Century Gothic"/>
        </w:rPr>
        <w:t>intervención de varias áreas</w:t>
      </w:r>
      <w:r w:rsidR="00495B9E">
        <w:rPr>
          <w:rFonts w:ascii="Century Gothic" w:hAnsi="Century Gothic"/>
        </w:rPr>
        <w:t>:</w:t>
      </w:r>
    </w:p>
    <w:p w14:paraId="61C1E762" w14:textId="77777777" w:rsidR="00495B9E" w:rsidRPr="00050DA1" w:rsidRDefault="003E3189" w:rsidP="00495B9E">
      <w:pPr>
        <w:spacing w:after="240" w:line="276" w:lineRule="auto"/>
        <w:jc w:val="center"/>
        <w:rPr>
          <w:rFonts w:ascii="Century Gothic" w:hAnsi="Century Gothic"/>
          <w:b/>
        </w:rPr>
      </w:pPr>
      <w:r>
        <w:rPr>
          <w:rFonts w:ascii="Century Gothic" w:hAnsi="Century Gothic"/>
          <w:b/>
        </w:rPr>
        <w:t>Figura 1</w:t>
      </w:r>
      <w:r w:rsidR="004D49BD">
        <w:rPr>
          <w:rFonts w:ascii="Century Gothic" w:hAnsi="Century Gothic"/>
          <w:b/>
        </w:rPr>
        <w:t>.1</w:t>
      </w:r>
      <w:r w:rsidR="00495B9E" w:rsidRPr="00050DA1">
        <w:rPr>
          <w:rFonts w:ascii="Century Gothic" w:hAnsi="Century Gothic"/>
          <w:b/>
        </w:rPr>
        <w:t xml:space="preserve"> </w:t>
      </w:r>
      <w:r w:rsidR="009F2007">
        <w:rPr>
          <w:rFonts w:ascii="Century Gothic" w:hAnsi="Century Gothic"/>
          <w:b/>
        </w:rPr>
        <w:t>Mod</w:t>
      </w:r>
      <w:r w:rsidR="006954B3">
        <w:rPr>
          <w:rFonts w:ascii="Century Gothic" w:hAnsi="Century Gothic"/>
          <w:b/>
        </w:rPr>
        <w:t>elo General</w:t>
      </w:r>
      <w:r w:rsidR="00495B9E" w:rsidRPr="00050DA1">
        <w:rPr>
          <w:rFonts w:ascii="Century Gothic" w:hAnsi="Century Gothic"/>
          <w:b/>
        </w:rPr>
        <w:t xml:space="preserve"> de</w:t>
      </w:r>
      <w:r w:rsidR="00FF01C4">
        <w:rPr>
          <w:rFonts w:ascii="Century Gothic" w:hAnsi="Century Gothic"/>
          <w:b/>
        </w:rPr>
        <w:t>l Macro-proceso</w:t>
      </w:r>
    </w:p>
    <w:p w14:paraId="66D681A0" w14:textId="77777777" w:rsidR="00495B9E" w:rsidRDefault="00495B9E" w:rsidP="00495B9E">
      <w:pPr>
        <w:spacing w:line="276" w:lineRule="auto"/>
        <w:jc w:val="center"/>
        <w:rPr>
          <w:rFonts w:ascii="Century Gothic" w:hAnsi="Century Gothic"/>
        </w:rPr>
      </w:pPr>
      <w:r>
        <w:rPr>
          <w:rFonts w:ascii="Century Gothic" w:hAnsi="Century Gothic"/>
          <w:noProof/>
          <w:lang w:val="es-MX" w:eastAsia="es-MX"/>
        </w:rPr>
        <w:drawing>
          <wp:inline distT="0" distB="0" distL="0" distR="0" wp14:anchorId="5E5CA70A" wp14:editId="23810AC5">
            <wp:extent cx="5372443" cy="418922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692" cy="4209696"/>
                    </a:xfrm>
                    <a:prstGeom prst="rect">
                      <a:avLst/>
                    </a:prstGeom>
                    <a:noFill/>
                  </pic:spPr>
                </pic:pic>
              </a:graphicData>
            </a:graphic>
          </wp:inline>
        </w:drawing>
      </w:r>
    </w:p>
    <w:p w14:paraId="4E37CDF6" w14:textId="77777777" w:rsidR="00495B9E" w:rsidRDefault="00495B9E" w:rsidP="00495B9E">
      <w:pPr>
        <w:spacing w:after="240" w:line="276" w:lineRule="auto"/>
        <w:jc w:val="both"/>
        <w:rPr>
          <w:rFonts w:ascii="Century Gothic" w:hAnsi="Century Gothic"/>
          <w:sz w:val="20"/>
        </w:rPr>
      </w:pPr>
      <w:r w:rsidRPr="00050DA1">
        <w:rPr>
          <w:rFonts w:ascii="Century Gothic" w:hAnsi="Century Gothic"/>
          <w:sz w:val="20"/>
        </w:rPr>
        <w:t>Fuente: Elaboración propia.</w:t>
      </w:r>
    </w:p>
    <w:p w14:paraId="4DE5335A" w14:textId="77777777" w:rsidR="00495B9E" w:rsidRPr="00ED7197" w:rsidRDefault="00FF01C4" w:rsidP="00495B9E">
      <w:pPr>
        <w:spacing w:after="240" w:line="276" w:lineRule="auto"/>
        <w:jc w:val="both"/>
        <w:rPr>
          <w:rFonts w:ascii="Century Gothic" w:hAnsi="Century Gothic"/>
        </w:rPr>
      </w:pPr>
      <w:r>
        <w:rPr>
          <w:rFonts w:ascii="Century Gothic" w:hAnsi="Century Gothic"/>
        </w:rPr>
        <w:t>El macroproceso</w:t>
      </w:r>
      <w:r w:rsidR="00495B9E" w:rsidRPr="00ED7197">
        <w:rPr>
          <w:rFonts w:ascii="Century Gothic" w:hAnsi="Century Gothic"/>
        </w:rPr>
        <w:t xml:space="preserve"> iden</w:t>
      </w:r>
      <w:r w:rsidR="00E52D94">
        <w:rPr>
          <w:rFonts w:ascii="Century Gothic" w:hAnsi="Century Gothic"/>
        </w:rPr>
        <w:t>tificado</w:t>
      </w:r>
      <w:r w:rsidR="00495B9E" w:rsidRPr="00ED7197">
        <w:rPr>
          <w:rFonts w:ascii="Century Gothic" w:hAnsi="Century Gothic"/>
        </w:rPr>
        <w:t xml:space="preserve"> se </w:t>
      </w:r>
      <w:r>
        <w:rPr>
          <w:rFonts w:ascii="Century Gothic" w:hAnsi="Century Gothic"/>
        </w:rPr>
        <w:t>conceptualizó</w:t>
      </w:r>
      <w:r w:rsidR="00495B9E">
        <w:rPr>
          <w:rFonts w:ascii="Century Gothic" w:hAnsi="Century Gothic"/>
        </w:rPr>
        <w:t xml:space="preserve"> de la siguiente forma:</w:t>
      </w:r>
    </w:p>
    <w:p w14:paraId="6CEFED7E" w14:textId="77777777" w:rsidR="00495B9E" w:rsidRDefault="00495B9E" w:rsidP="00495B9E">
      <w:pPr>
        <w:pStyle w:val="Prrafodelista"/>
        <w:numPr>
          <w:ilvl w:val="0"/>
          <w:numId w:val="5"/>
        </w:numPr>
        <w:spacing w:after="240" w:line="276" w:lineRule="auto"/>
        <w:ind w:left="714" w:hanging="357"/>
        <w:contextualSpacing w:val="0"/>
        <w:jc w:val="both"/>
        <w:rPr>
          <w:rFonts w:ascii="Century Gothic" w:hAnsi="Century Gothic"/>
        </w:rPr>
      </w:pPr>
      <w:r w:rsidRPr="00ED7197">
        <w:rPr>
          <w:rFonts w:ascii="Century Gothic" w:hAnsi="Century Gothic"/>
          <w:b/>
        </w:rPr>
        <w:t>Asignación</w:t>
      </w:r>
      <w:r w:rsidR="00FF01C4">
        <w:rPr>
          <w:rFonts w:ascii="Century Gothic" w:hAnsi="Century Gothic"/>
        </w:rPr>
        <w:t xml:space="preserve">: Este </w:t>
      </w:r>
      <w:r w:rsidRPr="00050DA1">
        <w:rPr>
          <w:rFonts w:ascii="Century Gothic" w:hAnsi="Century Gothic"/>
        </w:rPr>
        <w:t>proceso hace referencia desde la asignación del recurso hasta la ejecución de la obra.</w:t>
      </w:r>
    </w:p>
    <w:p w14:paraId="4B76E6E5" w14:textId="77777777" w:rsidR="00495B9E" w:rsidRDefault="00495B9E" w:rsidP="00495B9E">
      <w:pPr>
        <w:pStyle w:val="Prrafodelista"/>
        <w:numPr>
          <w:ilvl w:val="0"/>
          <w:numId w:val="5"/>
        </w:numPr>
        <w:spacing w:after="240" w:line="276" w:lineRule="auto"/>
        <w:ind w:left="714" w:hanging="357"/>
        <w:contextualSpacing w:val="0"/>
        <w:jc w:val="both"/>
        <w:rPr>
          <w:rFonts w:ascii="Century Gothic" w:hAnsi="Century Gothic"/>
        </w:rPr>
      </w:pPr>
      <w:r w:rsidRPr="00ED7197">
        <w:rPr>
          <w:rFonts w:ascii="Century Gothic" w:hAnsi="Century Gothic"/>
          <w:b/>
        </w:rPr>
        <w:t>Planeación</w:t>
      </w:r>
      <w:r w:rsidRPr="00050DA1">
        <w:rPr>
          <w:rFonts w:ascii="Century Gothic" w:hAnsi="Century Gothic"/>
        </w:rPr>
        <w:t xml:space="preserve">: </w:t>
      </w:r>
      <w:r w:rsidR="00FF01C4">
        <w:rPr>
          <w:rFonts w:ascii="Century Gothic" w:hAnsi="Century Gothic"/>
        </w:rPr>
        <w:t xml:space="preserve">Este </w:t>
      </w:r>
      <w:r w:rsidRPr="00050DA1">
        <w:rPr>
          <w:rFonts w:ascii="Century Gothic" w:hAnsi="Century Gothic"/>
        </w:rPr>
        <w:t xml:space="preserve">proceso contempla desde el diagnostico, la elaboración del plan estratégico, la programación, la presupuestación y la selección de destinatarios del apoyo. </w:t>
      </w:r>
    </w:p>
    <w:p w14:paraId="2B84BD3A" w14:textId="77777777" w:rsidR="00495B9E" w:rsidRDefault="00495B9E" w:rsidP="00495B9E">
      <w:pPr>
        <w:pStyle w:val="Prrafodelista"/>
        <w:numPr>
          <w:ilvl w:val="0"/>
          <w:numId w:val="5"/>
        </w:numPr>
        <w:spacing w:after="240" w:line="276" w:lineRule="auto"/>
        <w:ind w:left="714" w:hanging="357"/>
        <w:contextualSpacing w:val="0"/>
        <w:jc w:val="both"/>
        <w:rPr>
          <w:rFonts w:ascii="Century Gothic" w:hAnsi="Century Gothic"/>
        </w:rPr>
      </w:pPr>
      <w:r w:rsidRPr="00ED7197">
        <w:rPr>
          <w:rFonts w:ascii="Century Gothic" w:hAnsi="Century Gothic"/>
          <w:b/>
        </w:rPr>
        <w:t>Ejercicio</w:t>
      </w:r>
      <w:r w:rsidRPr="00050DA1">
        <w:rPr>
          <w:rFonts w:ascii="Century Gothic" w:hAnsi="Century Gothic"/>
        </w:rPr>
        <w:t xml:space="preserve">: </w:t>
      </w:r>
      <w:r w:rsidR="00FF01C4">
        <w:rPr>
          <w:rFonts w:ascii="Century Gothic" w:hAnsi="Century Gothic"/>
        </w:rPr>
        <w:t xml:space="preserve">Este </w:t>
      </w:r>
      <w:r w:rsidRPr="00050DA1">
        <w:rPr>
          <w:rFonts w:ascii="Century Gothic" w:hAnsi="Century Gothic"/>
        </w:rPr>
        <w:t>proceso contempla desde las acciones para producir los bienes y/o servicio</w:t>
      </w:r>
      <w:r w:rsidR="000C11E7">
        <w:rPr>
          <w:rFonts w:ascii="Century Gothic" w:hAnsi="Century Gothic"/>
        </w:rPr>
        <w:t>s ya sea desde la contratación h</w:t>
      </w:r>
      <w:r w:rsidRPr="00050DA1">
        <w:rPr>
          <w:rFonts w:ascii="Century Gothic" w:hAnsi="Century Gothic"/>
        </w:rPr>
        <w:t>asta la generación del bien y/o servicio, tomando en cuenta su ejer</w:t>
      </w:r>
      <w:r>
        <w:rPr>
          <w:rFonts w:ascii="Century Gothic" w:hAnsi="Century Gothic"/>
        </w:rPr>
        <w:t>cicio y entrega al beneficiario.</w:t>
      </w:r>
    </w:p>
    <w:p w14:paraId="1E5C3257" w14:textId="77777777" w:rsidR="00495B9E" w:rsidRDefault="00495B9E" w:rsidP="00495B9E">
      <w:pPr>
        <w:pStyle w:val="Prrafodelista"/>
        <w:numPr>
          <w:ilvl w:val="0"/>
          <w:numId w:val="5"/>
        </w:numPr>
        <w:spacing w:after="240" w:line="276" w:lineRule="auto"/>
        <w:ind w:left="714" w:hanging="357"/>
        <w:contextualSpacing w:val="0"/>
        <w:jc w:val="both"/>
        <w:rPr>
          <w:rFonts w:ascii="Century Gothic" w:hAnsi="Century Gothic"/>
        </w:rPr>
      </w:pPr>
      <w:r w:rsidRPr="00ED7197">
        <w:rPr>
          <w:rFonts w:ascii="Century Gothic" w:hAnsi="Century Gothic"/>
          <w:b/>
        </w:rPr>
        <w:lastRenderedPageBreak/>
        <w:t>Seguimiento y control</w:t>
      </w:r>
      <w:r w:rsidRPr="00050DA1">
        <w:rPr>
          <w:rFonts w:ascii="Century Gothic" w:hAnsi="Century Gothic"/>
        </w:rPr>
        <w:t xml:space="preserve">: </w:t>
      </w:r>
      <w:r w:rsidR="00FF01C4">
        <w:rPr>
          <w:rFonts w:ascii="Century Gothic" w:hAnsi="Century Gothic"/>
        </w:rPr>
        <w:t xml:space="preserve">Este </w:t>
      </w:r>
      <w:r w:rsidRPr="00050DA1">
        <w:rPr>
          <w:rFonts w:ascii="Century Gothic" w:hAnsi="Century Gothic"/>
        </w:rPr>
        <w:t>proceso contempla las acciones que dan seguimiento y cont</w:t>
      </w:r>
      <w:r>
        <w:rPr>
          <w:rFonts w:ascii="Century Gothic" w:hAnsi="Century Gothic"/>
        </w:rPr>
        <w:t>rol a la asignación de recursos.</w:t>
      </w:r>
    </w:p>
    <w:p w14:paraId="5203E608" w14:textId="77777777" w:rsidR="00495B9E" w:rsidRPr="00050DA1" w:rsidRDefault="00495B9E" w:rsidP="00495B9E">
      <w:pPr>
        <w:pStyle w:val="Prrafodelista"/>
        <w:numPr>
          <w:ilvl w:val="0"/>
          <w:numId w:val="5"/>
        </w:numPr>
        <w:spacing w:after="240" w:line="276" w:lineRule="auto"/>
        <w:jc w:val="both"/>
        <w:rPr>
          <w:rFonts w:ascii="Century Gothic" w:hAnsi="Century Gothic"/>
        </w:rPr>
      </w:pPr>
      <w:r w:rsidRPr="00ED7197">
        <w:rPr>
          <w:rFonts w:ascii="Century Gothic" w:hAnsi="Century Gothic"/>
          <w:b/>
        </w:rPr>
        <w:t>Evaluación y rendición de cuentas</w:t>
      </w:r>
      <w:r w:rsidRPr="00050DA1">
        <w:rPr>
          <w:rFonts w:ascii="Century Gothic" w:hAnsi="Century Gothic"/>
        </w:rPr>
        <w:t xml:space="preserve">: </w:t>
      </w:r>
      <w:r w:rsidR="00FF01C4">
        <w:rPr>
          <w:rFonts w:ascii="Century Gothic" w:hAnsi="Century Gothic"/>
        </w:rPr>
        <w:t xml:space="preserve">Este </w:t>
      </w:r>
      <w:r w:rsidRPr="00050DA1">
        <w:rPr>
          <w:rFonts w:ascii="Century Gothic" w:hAnsi="Century Gothic"/>
        </w:rPr>
        <w:t>proceso contempla que una vez concluida las acciones de apoyo se da inicio a la evaluación y a la rendición de cuentas</w:t>
      </w:r>
      <w:r w:rsidR="00ED3776">
        <w:rPr>
          <w:rFonts w:ascii="Century Gothic" w:hAnsi="Century Gothic"/>
        </w:rPr>
        <w:t>.</w:t>
      </w:r>
    </w:p>
    <w:p w14:paraId="7A9CA41C" w14:textId="77777777" w:rsidR="00556582" w:rsidRDefault="00495B9E" w:rsidP="00495B9E">
      <w:pPr>
        <w:spacing w:after="240" w:line="276" w:lineRule="auto"/>
        <w:jc w:val="both"/>
        <w:rPr>
          <w:rFonts w:ascii="Century Gothic" w:hAnsi="Century Gothic"/>
          <w:b/>
        </w:rPr>
      </w:pPr>
      <w:r w:rsidRPr="00050DA1">
        <w:rPr>
          <w:rFonts w:ascii="Century Gothic" w:hAnsi="Century Gothic"/>
        </w:rPr>
        <w:t xml:space="preserve">De este análisis se obtendrá un mapeo del proceso general de la ejecución del </w:t>
      </w:r>
      <w:r>
        <w:rPr>
          <w:rFonts w:ascii="Century Gothic" w:hAnsi="Century Gothic"/>
        </w:rPr>
        <w:t>programa</w:t>
      </w:r>
      <w:r w:rsidRPr="00050DA1">
        <w:rPr>
          <w:rFonts w:ascii="Century Gothic" w:hAnsi="Century Gothic"/>
        </w:rPr>
        <w:t xml:space="preserve"> y cada uno de sus elementos, identificando puntos claves de la operación y los actores relevantes que intervienen</w:t>
      </w:r>
      <w:r w:rsidR="00050DA1" w:rsidRPr="00050DA1">
        <w:rPr>
          <w:rFonts w:ascii="Century Gothic" w:hAnsi="Century Gothic"/>
        </w:rPr>
        <w:t>.</w:t>
      </w:r>
      <w:r w:rsidR="00556582">
        <w:rPr>
          <w:rFonts w:ascii="Century Gothic" w:hAnsi="Century Gothic"/>
          <w:b/>
        </w:rPr>
        <w:br w:type="page"/>
      </w:r>
    </w:p>
    <w:p w14:paraId="6650B2E4" w14:textId="77777777" w:rsidR="00B07691" w:rsidRPr="004F2A31" w:rsidRDefault="00011D5B" w:rsidP="007A07AD">
      <w:pPr>
        <w:pStyle w:val="Ttulo1"/>
        <w:numPr>
          <w:ilvl w:val="0"/>
          <w:numId w:val="6"/>
        </w:numPr>
        <w:spacing w:before="0" w:after="240" w:line="276" w:lineRule="auto"/>
        <w:rPr>
          <w:rFonts w:ascii="Century Gothic" w:hAnsi="Century Gothic"/>
          <w:color w:val="0E4E7A"/>
        </w:rPr>
      </w:pPr>
      <w:bookmarkStart w:id="3" w:name="_Toc511236517"/>
      <w:r>
        <w:rPr>
          <w:rFonts w:ascii="Century Gothic" w:hAnsi="Century Gothic"/>
          <w:color w:val="0E4E7A"/>
        </w:rPr>
        <w:lastRenderedPageBreak/>
        <w:t xml:space="preserve">Reseña histórica del FAIS y su importancia </w:t>
      </w:r>
      <w:r w:rsidR="0044256C">
        <w:rPr>
          <w:rFonts w:ascii="Century Gothic" w:hAnsi="Century Gothic"/>
          <w:color w:val="0E4E7A"/>
        </w:rPr>
        <w:t>como medio para el combate a la pobreza</w:t>
      </w:r>
      <w:bookmarkEnd w:id="3"/>
    </w:p>
    <w:p w14:paraId="40EBC43F" w14:textId="77777777" w:rsidR="004F2A31" w:rsidRPr="006C2D40" w:rsidRDefault="004F2A31" w:rsidP="004F2A31">
      <w:pPr>
        <w:spacing w:after="240" w:line="276" w:lineRule="auto"/>
        <w:jc w:val="both"/>
        <w:rPr>
          <w:rFonts w:ascii="Century Gothic" w:hAnsi="Century Gothic"/>
        </w:rPr>
      </w:pPr>
      <w:bookmarkStart w:id="4" w:name="_Toc488158781"/>
      <w:bookmarkStart w:id="5" w:name="_Toc488267679"/>
      <w:bookmarkStart w:id="6" w:name="_Toc488411661"/>
      <w:bookmarkStart w:id="7" w:name="_Toc488753789"/>
      <w:bookmarkStart w:id="8" w:name="_Toc503362419"/>
      <w:r>
        <w:rPr>
          <w:rFonts w:ascii="Century Gothic" w:hAnsi="Century Gothic"/>
        </w:rPr>
        <w:t>La evaluación del ejercicio fiscal de un Fondo orientado a la disminución de la pobreza debe partir de la compresión histórica del proceso que llevó al surgimiento de éste y de las condiciones específicas que lo orientaron hacia la disminución de la pobreza; esto con el objetivo de comprender las razones que lo constituyen en un fondo normativamente acotado</w:t>
      </w:r>
      <w:r>
        <w:rPr>
          <w:rFonts w:ascii="Century Gothic" w:hAnsi="Century Gothic"/>
          <w:b/>
          <w:bCs/>
        </w:rPr>
        <w:t xml:space="preserve"> </w:t>
      </w:r>
      <w:r>
        <w:rPr>
          <w:rFonts w:ascii="Century Gothic" w:hAnsi="Century Gothic"/>
        </w:rPr>
        <w:t>en la intención de combatir la pobreza y que exige alto grado de pertinencia en la operación. Siendo esto una de las ventajas con que ha contado el FAIS, la asertividad que ha tenido desde 2014 para orientar la inversión por tipo de obras y destino territorial</w:t>
      </w:r>
      <w:r w:rsidRPr="006C2D40">
        <w:rPr>
          <w:rFonts w:ascii="Century Gothic" w:hAnsi="Century Gothic"/>
        </w:rPr>
        <w:t>.</w:t>
      </w:r>
    </w:p>
    <w:p w14:paraId="2FD4828C" w14:textId="77777777" w:rsidR="00F56A30" w:rsidRDefault="00F56A30" w:rsidP="00F56A30">
      <w:pPr>
        <w:spacing w:after="240" w:line="276" w:lineRule="auto"/>
        <w:jc w:val="both"/>
      </w:pPr>
      <w:r>
        <w:rPr>
          <w:rFonts w:ascii="Century Gothic" w:hAnsi="Century Gothic"/>
        </w:rPr>
        <w:t xml:space="preserve">Por lo cual, el presente capítulo capitulo se centra dando una breve reseña histórica del proceso de creación del FAIS y como se ha avanzado en el desarrollo de normatividad para regular su uso y destino. </w:t>
      </w:r>
    </w:p>
    <w:p w14:paraId="06A110A6" w14:textId="77777777" w:rsidR="00F2366C" w:rsidRPr="004F2A31" w:rsidRDefault="004F2A31" w:rsidP="00F2366C">
      <w:pPr>
        <w:pStyle w:val="Ttulo2"/>
        <w:spacing w:before="0" w:after="240" w:line="276" w:lineRule="auto"/>
        <w:jc w:val="both"/>
        <w:rPr>
          <w:rFonts w:ascii="Century Gothic" w:hAnsi="Century Gothic"/>
          <w:color w:val="0E4E7A"/>
          <w:sz w:val="24"/>
        </w:rPr>
      </w:pPr>
      <w:bookmarkStart w:id="9" w:name="_Toc511236518"/>
      <w:r>
        <w:rPr>
          <w:rFonts w:ascii="Century Gothic" w:hAnsi="Century Gothic"/>
          <w:color w:val="0E4E7A"/>
          <w:sz w:val="24"/>
        </w:rPr>
        <w:t>2.1. La creación FISE</w:t>
      </w:r>
      <w:r w:rsidR="00F2366C" w:rsidRPr="004F2A31">
        <w:rPr>
          <w:rFonts w:ascii="Century Gothic" w:hAnsi="Century Gothic"/>
          <w:color w:val="0E4E7A"/>
          <w:sz w:val="24"/>
        </w:rPr>
        <w:t xml:space="preserve"> en el contexto de la orientación del proceso presupuestario hacia el desarrollo social</w:t>
      </w:r>
      <w:bookmarkEnd w:id="4"/>
      <w:bookmarkEnd w:id="5"/>
      <w:bookmarkEnd w:id="6"/>
      <w:bookmarkEnd w:id="7"/>
      <w:bookmarkEnd w:id="8"/>
      <w:bookmarkEnd w:id="9"/>
    </w:p>
    <w:p w14:paraId="6C087756" w14:textId="77777777" w:rsidR="00F2366C" w:rsidRDefault="00F2366C" w:rsidP="00F2366C">
      <w:pPr>
        <w:spacing w:after="240" w:line="276" w:lineRule="auto"/>
        <w:jc w:val="both"/>
        <w:rPr>
          <w:rFonts w:ascii="Century Gothic" w:hAnsi="Century Gothic"/>
        </w:rPr>
      </w:pPr>
      <w:r w:rsidRPr="00B85D8B">
        <w:rPr>
          <w:rFonts w:ascii="Century Gothic" w:hAnsi="Century Gothic"/>
        </w:rPr>
        <w:t xml:space="preserve">Antes de 1990 los gobiernos </w:t>
      </w:r>
      <w:r w:rsidR="00BB2C18" w:rsidRPr="00B85D8B">
        <w:rPr>
          <w:rFonts w:ascii="Century Gothic" w:hAnsi="Century Gothic"/>
        </w:rPr>
        <w:t>estatales</w:t>
      </w:r>
      <w:r w:rsidRPr="00B85D8B">
        <w:rPr>
          <w:rFonts w:ascii="Century Gothic" w:hAnsi="Century Gothic"/>
        </w:rPr>
        <w:t xml:space="preserve"> no recibían recursos de la federación para aplicarlos en obras y acciones sociales bajo la modalidad de transferencias condicionadas, sus finanzas dependían fundamentalmente de las participaciones fiscales, ya que sus ingresos propios eran sumamente reducidos</w:t>
      </w:r>
      <w:r>
        <w:rPr>
          <w:rFonts w:ascii="Century Gothic" w:hAnsi="Century Gothic"/>
        </w:rPr>
        <w:t>.</w:t>
      </w:r>
    </w:p>
    <w:p w14:paraId="1BD6FF94" w14:textId="77777777" w:rsidR="00F2366C" w:rsidRDefault="00F2366C" w:rsidP="00F2366C">
      <w:pPr>
        <w:spacing w:after="240" w:line="276" w:lineRule="auto"/>
        <w:jc w:val="both"/>
        <w:rPr>
          <w:rFonts w:ascii="Century Gothic" w:hAnsi="Century Gothic"/>
        </w:rPr>
      </w:pPr>
      <w:r>
        <w:rPr>
          <w:rFonts w:ascii="Century Gothic" w:hAnsi="Century Gothic"/>
        </w:rPr>
        <w:t>Entonces, en materia de presupuestación, dos de los principales problemas eran:</w:t>
      </w:r>
    </w:p>
    <w:p w14:paraId="22178272" w14:textId="77777777" w:rsidR="00F2366C" w:rsidRDefault="00F2366C" w:rsidP="00F2366C">
      <w:pPr>
        <w:numPr>
          <w:ilvl w:val="0"/>
          <w:numId w:val="9"/>
        </w:numPr>
        <w:suppressAutoHyphens/>
        <w:autoSpaceDE w:val="0"/>
        <w:autoSpaceDN w:val="0"/>
        <w:spacing w:after="240" w:line="276" w:lineRule="auto"/>
        <w:ind w:left="782" w:hanging="357"/>
        <w:jc w:val="both"/>
        <w:textAlignment w:val="baseline"/>
        <w:rPr>
          <w:rFonts w:ascii="Century Gothic" w:hAnsi="Century Gothic"/>
          <w:lang w:eastAsia="es-ES"/>
        </w:rPr>
      </w:pPr>
      <w:r>
        <w:rPr>
          <w:rFonts w:ascii="Century Gothic" w:hAnsi="Century Gothic"/>
          <w:lang w:eastAsia="es-ES"/>
        </w:rPr>
        <w:t>La superposición de las competencias entre órdenes de gobierno, por el sistema de coincidencia —heredado desde las constituciones de 1824, 1857 y de 1917 de facultades tributarias.</w:t>
      </w:r>
    </w:p>
    <w:p w14:paraId="7AF4134C" w14:textId="77777777" w:rsidR="00F2366C" w:rsidRDefault="00F2366C" w:rsidP="00F2366C">
      <w:pPr>
        <w:numPr>
          <w:ilvl w:val="0"/>
          <w:numId w:val="9"/>
        </w:numPr>
        <w:suppressAutoHyphens/>
        <w:autoSpaceDE w:val="0"/>
        <w:autoSpaceDN w:val="0"/>
        <w:spacing w:after="240" w:line="276" w:lineRule="auto"/>
        <w:ind w:left="782" w:hanging="357"/>
        <w:jc w:val="both"/>
        <w:textAlignment w:val="baseline"/>
      </w:pPr>
      <w:r>
        <w:rPr>
          <w:rFonts w:ascii="Century Gothic" w:hAnsi="Century Gothic"/>
          <w:lang w:eastAsia="es-ES"/>
        </w:rPr>
        <w:t>El reparto desigual de las participaciones entre las entidades</w:t>
      </w:r>
      <w:r>
        <w:rPr>
          <w:rFonts w:ascii="Century Gothic" w:hAnsi="Century Gothic" w:cs="Century Gothic"/>
          <w:iCs/>
          <w:color w:val="000000"/>
          <w:lang w:eastAsia="es-ES"/>
        </w:rPr>
        <w:t xml:space="preserve"> federativas (Barceinas J. y Monroy Luna, 2003: 1).</w:t>
      </w:r>
    </w:p>
    <w:p w14:paraId="00953A2F" w14:textId="77777777" w:rsidR="00F2366C" w:rsidRDefault="00F2366C" w:rsidP="00F2366C">
      <w:pPr>
        <w:spacing w:after="240" w:line="276" w:lineRule="auto"/>
        <w:jc w:val="both"/>
        <w:rPr>
          <w:rFonts w:ascii="Century Gothic" w:hAnsi="Century Gothic"/>
        </w:rPr>
      </w:pPr>
      <w:r>
        <w:rPr>
          <w:rFonts w:ascii="Century Gothic" w:hAnsi="Century Gothic"/>
        </w:rPr>
        <w:t xml:space="preserve">Entre 1922, con la creación del sistema de participaciones, las convenciones nacionales fiscales (1925, 1933 y 1947) y las modificaciones a la Ley de Coordinación Fiscal (LCF) (1948 y 1953) y hasta finales de los setenta, el sistema de coordinación fue evolucionando lentamente. </w:t>
      </w:r>
    </w:p>
    <w:p w14:paraId="77E5BC04" w14:textId="77777777" w:rsidR="00F2366C" w:rsidRDefault="00F2366C" w:rsidP="00F2366C">
      <w:pPr>
        <w:spacing w:after="240" w:line="276" w:lineRule="auto"/>
        <w:jc w:val="both"/>
        <w:rPr>
          <w:rFonts w:ascii="Century Gothic" w:hAnsi="Century Gothic"/>
        </w:rPr>
      </w:pPr>
      <w:r>
        <w:rPr>
          <w:rFonts w:ascii="Century Gothic" w:hAnsi="Century Gothic"/>
        </w:rPr>
        <w:lastRenderedPageBreak/>
        <w:t>En el proceso, un punto de inflexión fue la LCF de 1980, las cual Introdujo, entre otras, dos modificaciones importantes que contribuyeron a resolver sendos problemas, al considerar que:</w:t>
      </w:r>
    </w:p>
    <w:p w14:paraId="436AE655" w14:textId="77777777" w:rsidR="00F2366C" w:rsidRDefault="00F2366C" w:rsidP="00F2366C">
      <w:pPr>
        <w:numPr>
          <w:ilvl w:val="0"/>
          <w:numId w:val="9"/>
        </w:numPr>
        <w:suppressAutoHyphens/>
        <w:autoSpaceDE w:val="0"/>
        <w:autoSpaceDN w:val="0"/>
        <w:spacing w:after="240" w:line="276" w:lineRule="auto"/>
        <w:ind w:left="782" w:hanging="357"/>
        <w:jc w:val="both"/>
        <w:textAlignment w:val="baseline"/>
        <w:rPr>
          <w:rFonts w:ascii="Century Gothic" w:hAnsi="Century Gothic" w:cs="Century Gothic"/>
          <w:iCs/>
          <w:color w:val="000000"/>
          <w:lang w:eastAsia="es-ES"/>
        </w:rPr>
      </w:pPr>
      <w:r>
        <w:rPr>
          <w:rFonts w:ascii="Century Gothic" w:hAnsi="Century Gothic" w:cs="Century Gothic"/>
          <w:iCs/>
          <w:color w:val="000000"/>
          <w:lang w:eastAsia="es-ES"/>
        </w:rPr>
        <w:t>Cierta cantidad de las participaciones deberían distribuirse no sólo en función de donde se genera la recaudación, sino dependiendo del grado de desarrollo regional.</w:t>
      </w:r>
    </w:p>
    <w:p w14:paraId="77131A13" w14:textId="77777777" w:rsidR="00F2366C" w:rsidRDefault="00F2366C" w:rsidP="00F2366C">
      <w:pPr>
        <w:numPr>
          <w:ilvl w:val="0"/>
          <w:numId w:val="9"/>
        </w:numPr>
        <w:suppressAutoHyphens/>
        <w:autoSpaceDE w:val="0"/>
        <w:autoSpaceDN w:val="0"/>
        <w:spacing w:after="240" w:line="276" w:lineRule="auto"/>
        <w:ind w:left="782" w:hanging="357"/>
        <w:jc w:val="both"/>
        <w:textAlignment w:val="baseline"/>
        <w:rPr>
          <w:rFonts w:ascii="Century Gothic" w:hAnsi="Century Gothic" w:cs="Century Gothic"/>
          <w:iCs/>
          <w:color w:val="000000"/>
          <w:lang w:eastAsia="es-ES"/>
        </w:rPr>
      </w:pPr>
      <w:r>
        <w:rPr>
          <w:rFonts w:ascii="Century Gothic" w:hAnsi="Century Gothic" w:cs="Century Gothic"/>
          <w:iCs/>
          <w:color w:val="000000"/>
          <w:lang w:eastAsia="es-ES"/>
        </w:rPr>
        <w:t>La colaboración administrativa de los estados con la Federación debería hacerse mediante convenios (Barceinas J. y Monroy Luna, 2003: 1).</w:t>
      </w:r>
    </w:p>
    <w:p w14:paraId="32DC4AE2" w14:textId="77777777" w:rsidR="00F2366C" w:rsidRDefault="00F2366C" w:rsidP="00F2366C">
      <w:pPr>
        <w:spacing w:after="240" w:line="276" w:lineRule="auto"/>
        <w:jc w:val="both"/>
      </w:pPr>
      <w:r>
        <w:rPr>
          <w:rFonts w:ascii="Century Gothic" w:hAnsi="Century Gothic"/>
        </w:rPr>
        <w:t>No debe obviarse que, a finales de los años setenta, la lucha por los derechos humanos devino uno de los pilares en la legitimación de los estados, por lo que la “</w:t>
      </w:r>
      <w:r>
        <w:rPr>
          <w:rFonts w:ascii="Century Gothic" w:hAnsi="Century Gothic"/>
          <w:i/>
        </w:rPr>
        <w:t>búsqueda</w:t>
      </w:r>
      <w:r>
        <w:rPr>
          <w:rFonts w:ascii="Century Gothic" w:hAnsi="Century Gothic"/>
        </w:rPr>
        <w:t xml:space="preserve"> del ejercicio efectivo de los derechos sociales ha provocado que los estados nacionales utilicen diferentes estrategias para atender las necesidades de la población” (CONEVAL, 2011: 1).  </w:t>
      </w:r>
    </w:p>
    <w:p w14:paraId="48317CDE" w14:textId="77777777" w:rsidR="00F2366C" w:rsidRDefault="00F2366C" w:rsidP="00F2366C">
      <w:pPr>
        <w:spacing w:after="240" w:line="276" w:lineRule="auto"/>
        <w:jc w:val="both"/>
        <w:rPr>
          <w:rFonts w:ascii="Century Gothic" w:hAnsi="Century Gothic"/>
        </w:rPr>
      </w:pPr>
      <w:r>
        <w:rPr>
          <w:rFonts w:ascii="Century Gothic" w:hAnsi="Century Gothic"/>
        </w:rPr>
        <w:t xml:space="preserve">La LCF de 1980, al orientar las participaciones en función del desarrollo social, entronca con la exigencia gubernamental hacia la búsqueda de estrategias que contribuyan al ejercicio efectivo de los derechos sociales. </w:t>
      </w:r>
    </w:p>
    <w:p w14:paraId="2D903667" w14:textId="77777777" w:rsidR="00F2366C" w:rsidRDefault="00F2366C" w:rsidP="00F2366C">
      <w:pPr>
        <w:spacing w:after="240" w:line="276" w:lineRule="auto"/>
        <w:jc w:val="both"/>
        <w:rPr>
          <w:rFonts w:ascii="Century Gothic" w:hAnsi="Century Gothic"/>
        </w:rPr>
      </w:pPr>
      <w:r>
        <w:rPr>
          <w:rFonts w:ascii="Century Gothic" w:hAnsi="Century Gothic"/>
        </w:rPr>
        <w:t>Desde entonces, las modificaciones a la LCF han profundizado ese espíritu; es decir, han contribuido a especificar la forma en la que la distribución de las participaciones debe orientarse a disminuir las brechas en el desarrollo regional, la marginación o rezago social y/o la pobreza, dependiendo de la medida de referencia que se utilice.</w:t>
      </w:r>
    </w:p>
    <w:p w14:paraId="1083DA86" w14:textId="77777777" w:rsidR="00F2366C" w:rsidRDefault="00F2366C" w:rsidP="00F2366C">
      <w:pPr>
        <w:spacing w:after="240" w:line="276" w:lineRule="auto"/>
        <w:jc w:val="both"/>
      </w:pPr>
      <w:r>
        <w:rPr>
          <w:rFonts w:ascii="Century Gothic" w:hAnsi="Century Gothic"/>
        </w:rPr>
        <w:t xml:space="preserve">Con este espíritu, es decir, con la intención del que las participaciones contribuyan a mejorar las condiciones de vida de la población y de garantizar el ejercicio de los derechos humanos, entre 1990 y 1997, los </w:t>
      </w:r>
      <w:r w:rsidR="00C341D8">
        <w:rPr>
          <w:rFonts w:ascii="Century Gothic" w:hAnsi="Century Gothic"/>
        </w:rPr>
        <w:t xml:space="preserve">estados y </w:t>
      </w:r>
      <w:r>
        <w:rPr>
          <w:rFonts w:ascii="Century Gothic" w:hAnsi="Century Gothic"/>
        </w:rPr>
        <w:t xml:space="preserve">municipios del país recibieron recursos de la federación para el financiamiento de infraestructura social y servicios básicos para la población </w:t>
      </w:r>
      <w:r>
        <w:rPr>
          <w:rFonts w:ascii="Century Gothic" w:hAnsi="Century Gothic"/>
          <w:b/>
          <w:bCs/>
        </w:rPr>
        <w:t>en pobreza extrema</w:t>
      </w:r>
      <w:r>
        <w:rPr>
          <w:rFonts w:ascii="Century Gothic" w:hAnsi="Century Gothic"/>
        </w:rPr>
        <w:t xml:space="preserve">. Los mecanismos programáticos utilizados para realizar esas transferencias tuvieron un espíritu compensatorio, a saber: de 1990 a 1994, </w:t>
      </w:r>
      <w:r>
        <w:rPr>
          <w:rFonts w:ascii="Century Gothic" w:hAnsi="Century Gothic"/>
          <w:i/>
          <w:iCs/>
        </w:rPr>
        <w:t>Fondos Municipales de Solidaridad</w:t>
      </w:r>
      <w:r>
        <w:rPr>
          <w:rFonts w:ascii="Century Gothic" w:hAnsi="Century Gothic"/>
        </w:rPr>
        <w:t xml:space="preserve">; de 1994 a 1995, </w:t>
      </w:r>
      <w:r>
        <w:rPr>
          <w:rFonts w:ascii="Century Gothic" w:hAnsi="Century Gothic"/>
          <w:i/>
          <w:iCs/>
        </w:rPr>
        <w:t>Fondo de Solidaridad Municipal</w:t>
      </w:r>
      <w:r>
        <w:rPr>
          <w:rFonts w:ascii="Century Gothic" w:hAnsi="Century Gothic"/>
        </w:rPr>
        <w:t xml:space="preserve">; y de 1996 a 1997, </w:t>
      </w:r>
      <w:r>
        <w:rPr>
          <w:rFonts w:ascii="Century Gothic" w:hAnsi="Century Gothic"/>
          <w:i/>
          <w:iCs/>
        </w:rPr>
        <w:t>Fondo de Desarrollo Social Municipal</w:t>
      </w:r>
      <w:r>
        <w:rPr>
          <w:rFonts w:ascii="Century Gothic" w:hAnsi="Century Gothic"/>
          <w:vertAlign w:val="superscript"/>
        </w:rPr>
        <w:footnoteReference w:id="2"/>
      </w:r>
      <w:r>
        <w:rPr>
          <w:rFonts w:ascii="Century Gothic" w:hAnsi="Century Gothic"/>
        </w:rPr>
        <w:t xml:space="preserve">. </w:t>
      </w:r>
    </w:p>
    <w:p w14:paraId="2D62F6A3" w14:textId="77777777" w:rsidR="00F2366C" w:rsidRDefault="00F2366C" w:rsidP="00F2366C">
      <w:pPr>
        <w:spacing w:after="240" w:line="276" w:lineRule="auto"/>
        <w:jc w:val="both"/>
      </w:pPr>
      <w:r>
        <w:rPr>
          <w:rFonts w:ascii="Century Gothic" w:hAnsi="Century Gothic"/>
        </w:rPr>
        <w:lastRenderedPageBreak/>
        <w:t xml:space="preserve">A fines de 1997, el Ejecutivo Federal envió a la Cámara de Diputados una iniciativa para </w:t>
      </w:r>
      <w:r>
        <w:rPr>
          <w:rFonts w:ascii="Century Gothic" w:hAnsi="Century Gothic"/>
          <w:b/>
          <w:bCs/>
        </w:rPr>
        <w:t>modificar la Ley de Coordinación Fiscal (LCF)</w:t>
      </w:r>
      <w:r>
        <w:rPr>
          <w:rFonts w:ascii="Century Gothic" w:hAnsi="Century Gothic"/>
          <w:bCs/>
        </w:rPr>
        <w:t>,</w:t>
      </w:r>
      <w:r>
        <w:rPr>
          <w:rFonts w:ascii="Century Gothic" w:hAnsi="Century Gothic"/>
        </w:rPr>
        <w:t xml:space="preserve"> mediante la incorporación del Capítulo V; con la cual se constituirían las Aportaciones Federales para Entidades Federativas y Municipios. La iniciativa consideraba la creación original de 3 fondos: </w:t>
      </w:r>
      <w:r>
        <w:rPr>
          <w:rFonts w:ascii="Century Gothic" w:hAnsi="Century Gothic"/>
          <w:i/>
          <w:iCs/>
        </w:rPr>
        <w:t>Fondo de Aportaciones para la Educación Básica y Normal</w:t>
      </w:r>
      <w:r>
        <w:rPr>
          <w:rFonts w:ascii="Century Gothic" w:hAnsi="Century Gothic"/>
        </w:rPr>
        <w:t xml:space="preserve"> (FAEB), </w:t>
      </w:r>
      <w:r>
        <w:rPr>
          <w:rFonts w:ascii="Century Gothic" w:hAnsi="Century Gothic"/>
          <w:i/>
          <w:iCs/>
        </w:rPr>
        <w:t>Fondo de Aportaciones para los Servicios de Salud</w:t>
      </w:r>
      <w:r>
        <w:rPr>
          <w:rFonts w:ascii="Century Gothic" w:hAnsi="Century Gothic"/>
        </w:rPr>
        <w:t xml:space="preserve"> (FASSA) y </w:t>
      </w:r>
      <w:r w:rsidRPr="00C341D8">
        <w:rPr>
          <w:rFonts w:ascii="Century Gothic" w:hAnsi="Century Gothic"/>
          <w:bCs/>
          <w:i/>
          <w:iCs/>
        </w:rPr>
        <w:t>Fondo de Aportaciones para la Infraestructura Social Municipal</w:t>
      </w:r>
      <w:r>
        <w:rPr>
          <w:rFonts w:ascii="Century Gothic" w:hAnsi="Century Gothic"/>
          <w:b/>
          <w:bCs/>
        </w:rPr>
        <w:t xml:space="preserve"> </w:t>
      </w:r>
      <w:r>
        <w:rPr>
          <w:rFonts w:ascii="Century Gothic" w:hAnsi="Century Gothic"/>
        </w:rPr>
        <w:t>(FASM).</w:t>
      </w:r>
    </w:p>
    <w:p w14:paraId="489C8848" w14:textId="77777777" w:rsidR="00F2366C" w:rsidRDefault="00F2366C" w:rsidP="00F2366C">
      <w:pPr>
        <w:spacing w:after="240" w:line="276" w:lineRule="auto"/>
        <w:jc w:val="both"/>
      </w:pPr>
      <w:r>
        <w:rPr>
          <w:rFonts w:ascii="Century Gothic" w:hAnsi="Century Gothic"/>
        </w:rPr>
        <w:t xml:space="preserve">La Cámara de Diputados determinó que se adicionaran tres fondos de aportaciones más: </w:t>
      </w:r>
      <w:r w:rsidRPr="00C341D8">
        <w:rPr>
          <w:rFonts w:ascii="Century Gothic" w:hAnsi="Century Gothic"/>
          <w:b/>
          <w:i/>
          <w:iCs/>
        </w:rPr>
        <w:t>Infraestructura Social Estatal</w:t>
      </w:r>
      <w:r w:rsidRPr="00C341D8">
        <w:rPr>
          <w:rFonts w:ascii="Century Gothic" w:hAnsi="Century Gothic"/>
          <w:b/>
        </w:rPr>
        <w:t xml:space="preserve"> (FAISE),</w:t>
      </w:r>
      <w:r>
        <w:rPr>
          <w:rFonts w:ascii="Century Gothic" w:hAnsi="Century Gothic"/>
        </w:rPr>
        <w:t xml:space="preserve"> que junto con el </w:t>
      </w:r>
      <w:r w:rsidRPr="00C341D8">
        <w:rPr>
          <w:rFonts w:ascii="Century Gothic" w:hAnsi="Century Gothic"/>
          <w:b/>
        </w:rPr>
        <w:t>FISM</w:t>
      </w:r>
      <w:r>
        <w:rPr>
          <w:rFonts w:ascii="Century Gothic" w:hAnsi="Century Gothic"/>
        </w:rPr>
        <w:t xml:space="preserve"> </w:t>
      </w:r>
      <w:r w:rsidRPr="00C341D8">
        <w:rPr>
          <w:rFonts w:ascii="Century Gothic" w:hAnsi="Century Gothic"/>
          <w:b/>
        </w:rPr>
        <w:t>integraría</w:t>
      </w:r>
      <w:r>
        <w:rPr>
          <w:rFonts w:ascii="Century Gothic" w:hAnsi="Century Gothic"/>
        </w:rPr>
        <w:t xml:space="preserve"> el </w:t>
      </w:r>
      <w:r>
        <w:rPr>
          <w:rFonts w:ascii="Century Gothic" w:hAnsi="Century Gothic"/>
          <w:b/>
          <w:bCs/>
          <w:i/>
          <w:iCs/>
        </w:rPr>
        <w:t>Fondo de Aportaciones para la Infraestructura Social</w:t>
      </w:r>
      <w:r>
        <w:rPr>
          <w:rFonts w:ascii="Century Gothic" w:hAnsi="Century Gothic"/>
          <w:b/>
          <w:bCs/>
        </w:rPr>
        <w:t xml:space="preserve"> (FAIS)</w:t>
      </w:r>
      <w:r>
        <w:rPr>
          <w:rFonts w:ascii="Century Gothic" w:hAnsi="Century Gothic"/>
        </w:rPr>
        <w:t xml:space="preserve">; otro para el </w:t>
      </w:r>
      <w:r>
        <w:rPr>
          <w:rFonts w:ascii="Century Gothic" w:hAnsi="Century Gothic"/>
          <w:i/>
          <w:iCs/>
        </w:rPr>
        <w:t>Fortalecimiento de los Municipios</w:t>
      </w:r>
      <w:r>
        <w:rPr>
          <w:rFonts w:ascii="Century Gothic" w:hAnsi="Century Gothic"/>
        </w:rPr>
        <w:t xml:space="preserve"> </w:t>
      </w:r>
      <w:r>
        <w:rPr>
          <w:rFonts w:ascii="Century Gothic" w:hAnsi="Century Gothic"/>
          <w:i/>
          <w:iCs/>
        </w:rPr>
        <w:t>y de las Demarcaciones Territoriales del Distrito Federal</w:t>
      </w:r>
      <w:r>
        <w:rPr>
          <w:rFonts w:ascii="Century Gothic" w:hAnsi="Century Gothic"/>
        </w:rPr>
        <w:t xml:space="preserve"> (FORTAMUN – DF); y el de </w:t>
      </w:r>
      <w:r>
        <w:rPr>
          <w:rFonts w:ascii="Century Gothic" w:hAnsi="Century Gothic"/>
          <w:i/>
          <w:iCs/>
        </w:rPr>
        <w:t>Aportaciones Múltiples</w:t>
      </w:r>
      <w:r>
        <w:rPr>
          <w:rFonts w:ascii="Century Gothic" w:hAnsi="Century Gothic"/>
        </w:rPr>
        <w:t xml:space="preserve"> (FAM) para transferir principalmente recursos a los DIF, ya descentralizados a nivel estatal, y a la educación.</w:t>
      </w:r>
    </w:p>
    <w:p w14:paraId="38250D6B" w14:textId="77777777" w:rsidR="00F2366C" w:rsidRDefault="00F2366C" w:rsidP="00F2366C">
      <w:pPr>
        <w:spacing w:after="240" w:line="276" w:lineRule="auto"/>
        <w:jc w:val="both"/>
      </w:pPr>
      <w:r>
        <w:rPr>
          <w:rFonts w:ascii="Century Gothic" w:hAnsi="Century Gothic"/>
        </w:rPr>
        <w:t>Así, desde la década de los noventa, México ha estado inmerso en un proceso de descentralización de la acción pública “</w:t>
      </w:r>
      <w:bookmarkStart w:id="10" w:name="_Hlk487742216"/>
      <w:r>
        <w:rPr>
          <w:rFonts w:ascii="Century Gothic" w:hAnsi="Century Gothic"/>
          <w:i/>
          <w:iCs/>
        </w:rPr>
        <w:t>en apoyo a la redistribución de funciones</w:t>
      </w:r>
      <w:bookmarkEnd w:id="10"/>
      <w:r>
        <w:rPr>
          <w:rFonts w:ascii="Century Gothic" w:hAnsi="Century Gothic"/>
          <w:i/>
          <w:iCs/>
        </w:rPr>
        <w:t>, de decisión y de operación de las políticas públicas para acercarlas a la población que se beneficia de ellas</w:t>
      </w:r>
      <w:r>
        <w:rPr>
          <w:rFonts w:ascii="Century Gothic" w:hAnsi="Century Gothic"/>
        </w:rPr>
        <w:t xml:space="preserve">” (CONEVAL, 2011: 6). </w:t>
      </w:r>
    </w:p>
    <w:p w14:paraId="0080A4DB" w14:textId="77777777" w:rsidR="00F2366C" w:rsidRDefault="00F2366C" w:rsidP="00F2366C">
      <w:pPr>
        <w:spacing w:after="240" w:line="276" w:lineRule="auto"/>
        <w:jc w:val="both"/>
      </w:pPr>
      <w:r>
        <w:rPr>
          <w:rFonts w:ascii="Century Gothic" w:hAnsi="Century Gothic"/>
        </w:rPr>
        <w:t xml:space="preserve">Proceso que se profundizó con la creación de los Fondos de Aportaciones Federales o </w:t>
      </w:r>
      <w:r>
        <w:rPr>
          <w:rFonts w:ascii="Century Gothic" w:hAnsi="Century Gothic"/>
          <w:b/>
          <w:bCs/>
        </w:rPr>
        <w:t xml:space="preserve">Ramo 33 </w:t>
      </w:r>
      <w:r>
        <w:rPr>
          <w:rFonts w:ascii="Century Gothic" w:hAnsi="Century Gothic"/>
        </w:rPr>
        <w:t>(CONEVAL, 2011:6)</w:t>
      </w:r>
      <w:r>
        <w:rPr>
          <w:rFonts w:ascii="Century Gothic" w:hAnsi="Century Gothic"/>
          <w:vertAlign w:val="superscript"/>
        </w:rPr>
        <w:footnoteReference w:id="3"/>
      </w:r>
      <w:r>
        <w:rPr>
          <w:rFonts w:ascii="Century Gothic" w:hAnsi="Century Gothic"/>
        </w:rPr>
        <w:t xml:space="preserve">. A partir de la consideración de que los gobiernos locales tienen mejor conocimiento de las necesidades de la población y están en mejores condiciones para realizar obras y acciones para combatirlas, el Ramo 33, implicó, la profundización del proceso de descentralización del ejercicio gubernamental; lo que implicó la transferencia de recursos federalizados a estados y municipios, principalmente </w:t>
      </w:r>
      <w:r>
        <w:rPr>
          <w:rFonts w:ascii="Century Gothic" w:hAnsi="Century Gothic"/>
          <w:b/>
        </w:rPr>
        <w:t>para la atención de responsabilidades de desarrollo social</w:t>
      </w:r>
      <w:r>
        <w:rPr>
          <w:rFonts w:ascii="Century Gothic" w:hAnsi="Century Gothic"/>
        </w:rPr>
        <w:t xml:space="preserve"> (CONEVAL, 2011: 6).</w:t>
      </w:r>
    </w:p>
    <w:p w14:paraId="62411702" w14:textId="77777777" w:rsidR="00F2366C" w:rsidRDefault="00F2366C" w:rsidP="002E6E56">
      <w:pPr>
        <w:spacing w:after="240" w:line="276" w:lineRule="auto"/>
        <w:jc w:val="both"/>
        <w:rPr>
          <w:rFonts w:ascii="Century Gothic" w:hAnsi="Century Gothic"/>
          <w:color w:val="000000"/>
        </w:rPr>
      </w:pPr>
      <w:r>
        <w:rPr>
          <w:rFonts w:ascii="Century Gothic" w:hAnsi="Century Gothic"/>
          <w:color w:val="000000"/>
        </w:rPr>
        <w:t xml:space="preserve">Así, el nuevo Ramo 33 pasó de ser un tema preponderante del poder ejecutivo, a uno donde la toma de decisiones se abrió al poder legislativo, pero sin contar con un manual único de operación. Esta característica permitió una mayor autonomía en la gestión de los recursos que reciben las entidades federativas y, a su vez, posibilitó que el manejo de dichos recursos </w:t>
      </w:r>
      <w:r>
        <w:rPr>
          <w:rFonts w:ascii="Century Gothic" w:hAnsi="Century Gothic"/>
          <w:color w:val="000000"/>
        </w:rPr>
        <w:lastRenderedPageBreak/>
        <w:t>a nivel estatal y local fuera diverso y en ocasiones poco transparente (Sour y Ortega, 2010).</w:t>
      </w:r>
    </w:p>
    <w:p w14:paraId="761CA36E" w14:textId="77777777" w:rsidR="00713CB6" w:rsidRDefault="00713CB6" w:rsidP="002E6E56">
      <w:pPr>
        <w:spacing w:after="240" w:line="276" w:lineRule="auto"/>
        <w:jc w:val="both"/>
        <w:rPr>
          <w:rFonts w:ascii="Century Gothic" w:hAnsi="Century Gothic"/>
          <w:color w:val="000000"/>
        </w:rPr>
      </w:pPr>
      <w:r>
        <w:rPr>
          <w:rFonts w:ascii="Century Gothic" w:hAnsi="Century Gothic"/>
          <w:color w:val="000000"/>
        </w:rPr>
        <w:t>En la siguiente figura se puede observar el proceso evolutivo de los fondos as</w:t>
      </w:r>
      <w:r w:rsidR="00294162">
        <w:rPr>
          <w:rFonts w:ascii="Century Gothic" w:hAnsi="Century Gothic"/>
          <w:color w:val="000000"/>
        </w:rPr>
        <w:t>ociados al combate a la pobreza, haciendo principal énfasis en el Ramo 33 Fondo de Aportaciones para la Infraestructura social (FAIS):</w:t>
      </w:r>
    </w:p>
    <w:p w14:paraId="43B6BA5B" w14:textId="77777777" w:rsidR="00713CB6" w:rsidRDefault="004D49BD" w:rsidP="00294162">
      <w:pPr>
        <w:spacing w:after="240"/>
        <w:ind w:right="-885"/>
        <w:jc w:val="center"/>
      </w:pPr>
      <w:r>
        <w:rPr>
          <w:rFonts w:ascii="Century Gothic" w:hAnsi="Century Gothic"/>
          <w:b/>
          <w:color w:val="000000"/>
        </w:rPr>
        <w:t>Figura 2.1</w:t>
      </w:r>
      <w:r w:rsidR="00713CB6">
        <w:rPr>
          <w:rFonts w:ascii="Century Gothic" w:hAnsi="Century Gothic"/>
          <w:b/>
          <w:color w:val="000000"/>
        </w:rPr>
        <w:t xml:space="preserve"> Evolución de los Fondos para el Combate a la pobreza y el desarrollo social y de su marco jurídico y conceptual.</w:t>
      </w:r>
    </w:p>
    <w:p w14:paraId="54181797" w14:textId="77777777" w:rsidR="00713CB6" w:rsidRDefault="00713CB6" w:rsidP="00713CB6">
      <w:pPr>
        <w:ind w:left="-993" w:right="-886"/>
      </w:pPr>
      <w:r>
        <w:rPr>
          <w:rFonts w:ascii="Century Gothic" w:hAnsi="Century Gothic"/>
          <w:noProof/>
          <w:color w:val="000000"/>
          <w:lang w:val="es-MX" w:eastAsia="es-MX"/>
        </w:rPr>
        <w:drawing>
          <wp:inline distT="0" distB="0" distL="0" distR="0" wp14:anchorId="2886DCC4" wp14:editId="58D023B1">
            <wp:extent cx="6953249" cy="4219575"/>
            <wp:effectExtent l="0" t="0" r="635" b="0"/>
            <wp:docPr id="2"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6948882" cy="4216925"/>
                    </a:xfrm>
                    <a:prstGeom prst="rect">
                      <a:avLst/>
                    </a:prstGeom>
                    <a:noFill/>
                    <a:ln>
                      <a:noFill/>
                      <a:prstDash/>
                    </a:ln>
                  </pic:spPr>
                </pic:pic>
              </a:graphicData>
            </a:graphic>
          </wp:inline>
        </w:drawing>
      </w:r>
    </w:p>
    <w:p w14:paraId="3B4DD03A" w14:textId="77777777" w:rsidR="00713CB6" w:rsidRPr="00FC7893" w:rsidRDefault="00713CB6" w:rsidP="00FC7893">
      <w:pPr>
        <w:spacing w:after="240"/>
        <w:ind w:right="49"/>
        <w:jc w:val="both"/>
        <w:rPr>
          <w:rFonts w:asciiTheme="majorHAnsi" w:hAnsiTheme="majorHAnsi"/>
          <w:sz w:val="20"/>
        </w:rPr>
      </w:pPr>
      <w:r w:rsidRPr="00FC7893">
        <w:rPr>
          <w:rFonts w:asciiTheme="majorHAnsi" w:hAnsiTheme="majorHAnsi"/>
          <w:b/>
          <w:color w:val="000000"/>
          <w:sz w:val="16"/>
        </w:rPr>
        <w:t>Fuente</w:t>
      </w:r>
      <w:r w:rsidRPr="00FC7893">
        <w:rPr>
          <w:rFonts w:asciiTheme="majorHAnsi" w:hAnsiTheme="majorHAnsi"/>
          <w:color w:val="000000"/>
          <w:sz w:val="16"/>
        </w:rPr>
        <w:t>: Elaboración propia con base en Resumen Ejecutivo De La Consultoría Para Realizar Evaluaciones Del Ramo 33 (SHCP, 2010), El Ramo 33 en el desarrollo social en México: evaluación de ocho fondos de Política Pública (CONEVAL 2011), Ramo 33 Aportaciones Federales Para Entidades Federativas Y Municipios (Cámara de Diputados, 2006).</w:t>
      </w:r>
    </w:p>
    <w:p w14:paraId="333A08C7" w14:textId="77777777" w:rsidR="00F2366C" w:rsidRDefault="00294162" w:rsidP="00F2366C">
      <w:pPr>
        <w:spacing w:after="240" w:line="276" w:lineRule="auto"/>
        <w:rPr>
          <w:rFonts w:ascii="Century Gothic" w:hAnsi="Century Gothic"/>
          <w:color w:val="000000"/>
        </w:rPr>
      </w:pPr>
      <w:r>
        <w:rPr>
          <w:rFonts w:ascii="Century Gothic" w:hAnsi="Century Gothic"/>
          <w:color w:val="000000"/>
        </w:rPr>
        <w:t xml:space="preserve">Así, con la modificación de la LCF en 1997 se da inicios a la creación de Ramo 33, el cual </w:t>
      </w:r>
      <w:r w:rsidR="00F2366C">
        <w:rPr>
          <w:rFonts w:ascii="Century Gothic" w:hAnsi="Century Gothic"/>
          <w:color w:val="000000"/>
        </w:rPr>
        <w:t>se compone, desde el ejercicio fiscal de 2006, de ocho fondos, tal como aparecen en la tabla siguiente:</w:t>
      </w:r>
    </w:p>
    <w:tbl>
      <w:tblPr>
        <w:tblW w:w="5000" w:type="pct"/>
        <w:jc w:val="center"/>
        <w:tblCellMar>
          <w:left w:w="10" w:type="dxa"/>
          <w:right w:w="10" w:type="dxa"/>
        </w:tblCellMar>
        <w:tblLook w:val="04A0" w:firstRow="1" w:lastRow="0" w:firstColumn="1" w:lastColumn="0" w:noHBand="0" w:noVBand="1"/>
      </w:tblPr>
      <w:tblGrid>
        <w:gridCol w:w="2144"/>
        <w:gridCol w:w="1944"/>
        <w:gridCol w:w="1993"/>
        <w:gridCol w:w="1317"/>
        <w:gridCol w:w="1662"/>
      </w:tblGrid>
      <w:tr w:rsidR="00F2366C" w14:paraId="56989946" w14:textId="77777777" w:rsidTr="00294162">
        <w:trPr>
          <w:trHeight w:val="374"/>
          <w:tblHeader/>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0E4E7A"/>
            <w:tcMar>
              <w:top w:w="0" w:type="dxa"/>
              <w:left w:w="108" w:type="dxa"/>
              <w:bottom w:w="0" w:type="dxa"/>
              <w:right w:w="108" w:type="dxa"/>
            </w:tcMar>
            <w:vAlign w:val="center"/>
          </w:tcPr>
          <w:p w14:paraId="546F8D9D" w14:textId="77777777" w:rsidR="00F2366C" w:rsidRDefault="004D49BD" w:rsidP="00294162">
            <w:pPr>
              <w:jc w:val="center"/>
              <w:rPr>
                <w:b/>
                <w:color w:val="FFFFFF"/>
                <w:sz w:val="18"/>
                <w:szCs w:val="18"/>
                <w:lang w:eastAsia="es-MX"/>
              </w:rPr>
            </w:pPr>
            <w:r>
              <w:rPr>
                <w:b/>
                <w:color w:val="FFFFFF"/>
                <w:sz w:val="18"/>
                <w:szCs w:val="18"/>
                <w:lang w:eastAsia="es-MX"/>
              </w:rPr>
              <w:lastRenderedPageBreak/>
              <w:t>Cuadro 2.1</w:t>
            </w:r>
            <w:r w:rsidR="00F2366C">
              <w:rPr>
                <w:b/>
                <w:color w:val="FFFFFF"/>
                <w:sz w:val="18"/>
                <w:szCs w:val="18"/>
                <w:lang w:eastAsia="es-MX"/>
              </w:rPr>
              <w:t xml:space="preserve"> Fondos que integran las aportaciones federales a entidades federativas y municipios del Ramo 33</w:t>
            </w:r>
          </w:p>
        </w:tc>
      </w:tr>
      <w:tr w:rsidR="00F2366C" w14:paraId="367CEDC2" w14:textId="77777777" w:rsidTr="000C13C0">
        <w:trPr>
          <w:trHeight w:val="550"/>
          <w:tblHeader/>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0E4E7A"/>
            <w:tcMar>
              <w:top w:w="0" w:type="dxa"/>
              <w:left w:w="108" w:type="dxa"/>
              <w:bottom w:w="0" w:type="dxa"/>
              <w:right w:w="108" w:type="dxa"/>
            </w:tcMar>
            <w:vAlign w:val="center"/>
          </w:tcPr>
          <w:p w14:paraId="373CF915" w14:textId="77777777" w:rsidR="00F2366C" w:rsidRDefault="00F2366C" w:rsidP="00294162">
            <w:pPr>
              <w:jc w:val="center"/>
              <w:rPr>
                <w:color w:val="FFFFFF"/>
                <w:sz w:val="18"/>
                <w:szCs w:val="18"/>
                <w:lang w:eastAsia="es-MX"/>
              </w:rPr>
            </w:pPr>
            <w:r>
              <w:rPr>
                <w:color w:val="FFFFFF"/>
                <w:sz w:val="18"/>
                <w:szCs w:val="18"/>
                <w:lang w:eastAsia="es-MX"/>
              </w:rPr>
              <w:t>Fondo</w:t>
            </w:r>
          </w:p>
        </w:tc>
        <w:tc>
          <w:tcPr>
            <w:tcW w:w="1073" w:type="pct"/>
            <w:tcBorders>
              <w:top w:val="single" w:sz="4" w:space="0" w:color="000000"/>
              <w:left w:val="single" w:sz="4" w:space="0" w:color="000000"/>
              <w:bottom w:val="single" w:sz="4" w:space="0" w:color="000000"/>
              <w:right w:val="single" w:sz="4" w:space="0" w:color="000000"/>
            </w:tcBorders>
            <w:shd w:val="clear" w:color="auto" w:fill="0E4E7A"/>
            <w:tcMar>
              <w:top w:w="0" w:type="dxa"/>
              <w:left w:w="108" w:type="dxa"/>
              <w:bottom w:w="0" w:type="dxa"/>
              <w:right w:w="108" w:type="dxa"/>
            </w:tcMar>
            <w:vAlign w:val="center"/>
          </w:tcPr>
          <w:p w14:paraId="392C6EA0" w14:textId="77777777" w:rsidR="00F2366C" w:rsidRDefault="00F2366C" w:rsidP="00294162">
            <w:pPr>
              <w:jc w:val="center"/>
              <w:rPr>
                <w:color w:val="FFFFFF"/>
                <w:sz w:val="18"/>
                <w:szCs w:val="18"/>
                <w:lang w:eastAsia="es-MX"/>
              </w:rPr>
            </w:pPr>
            <w:r>
              <w:rPr>
                <w:color w:val="FFFFFF"/>
                <w:sz w:val="18"/>
                <w:szCs w:val="18"/>
                <w:lang w:eastAsia="es-MX"/>
              </w:rPr>
              <w:t>Destino de los recursos</w:t>
            </w:r>
          </w:p>
        </w:tc>
        <w:tc>
          <w:tcPr>
            <w:tcW w:w="1100" w:type="pct"/>
            <w:tcBorders>
              <w:top w:val="single" w:sz="4" w:space="0" w:color="000000"/>
              <w:left w:val="single" w:sz="4" w:space="0" w:color="000000"/>
              <w:bottom w:val="single" w:sz="4" w:space="0" w:color="000000"/>
              <w:right w:val="single" w:sz="4" w:space="0" w:color="000000"/>
            </w:tcBorders>
            <w:shd w:val="clear" w:color="auto" w:fill="0E4E7A"/>
            <w:tcMar>
              <w:top w:w="0" w:type="dxa"/>
              <w:left w:w="108" w:type="dxa"/>
              <w:bottom w:w="0" w:type="dxa"/>
              <w:right w:w="108" w:type="dxa"/>
            </w:tcMar>
            <w:vAlign w:val="center"/>
          </w:tcPr>
          <w:p w14:paraId="789CBB5A" w14:textId="77777777" w:rsidR="00F2366C" w:rsidRDefault="00F2366C" w:rsidP="00294162">
            <w:pPr>
              <w:jc w:val="center"/>
              <w:rPr>
                <w:color w:val="FFFFFF"/>
                <w:sz w:val="18"/>
                <w:szCs w:val="18"/>
                <w:lang w:eastAsia="es-MX"/>
              </w:rPr>
            </w:pPr>
            <w:r>
              <w:rPr>
                <w:color w:val="FFFFFF"/>
                <w:sz w:val="18"/>
                <w:szCs w:val="18"/>
                <w:lang w:eastAsia="es-MX"/>
              </w:rPr>
              <w:t>Antecedente</w:t>
            </w:r>
          </w:p>
        </w:tc>
        <w:tc>
          <w:tcPr>
            <w:tcW w:w="727" w:type="pct"/>
            <w:tcBorders>
              <w:top w:val="single" w:sz="4" w:space="0" w:color="000000"/>
              <w:left w:val="single" w:sz="4" w:space="0" w:color="000000"/>
              <w:bottom w:val="single" w:sz="4" w:space="0" w:color="000000"/>
              <w:right w:val="single" w:sz="4" w:space="0" w:color="000000"/>
            </w:tcBorders>
            <w:shd w:val="clear" w:color="auto" w:fill="0E4E7A"/>
            <w:tcMar>
              <w:top w:w="0" w:type="dxa"/>
              <w:left w:w="108" w:type="dxa"/>
              <w:bottom w:w="0" w:type="dxa"/>
              <w:right w:w="108" w:type="dxa"/>
            </w:tcMar>
            <w:vAlign w:val="center"/>
          </w:tcPr>
          <w:p w14:paraId="2FCC539F" w14:textId="77777777" w:rsidR="00F2366C" w:rsidRDefault="00F2366C" w:rsidP="00294162">
            <w:pPr>
              <w:jc w:val="center"/>
              <w:rPr>
                <w:color w:val="FFFFFF"/>
                <w:sz w:val="18"/>
                <w:szCs w:val="18"/>
                <w:lang w:eastAsia="es-MX"/>
              </w:rPr>
            </w:pPr>
            <w:r>
              <w:rPr>
                <w:color w:val="FFFFFF"/>
                <w:sz w:val="18"/>
                <w:szCs w:val="18"/>
                <w:lang w:eastAsia="es-MX"/>
              </w:rPr>
              <w:t>Año de creación</w:t>
            </w:r>
          </w:p>
        </w:tc>
        <w:tc>
          <w:tcPr>
            <w:tcW w:w="918" w:type="pct"/>
            <w:tcBorders>
              <w:top w:val="single" w:sz="4" w:space="0" w:color="000000"/>
              <w:left w:val="single" w:sz="4" w:space="0" w:color="000000"/>
              <w:bottom w:val="single" w:sz="4" w:space="0" w:color="000000"/>
              <w:right w:val="single" w:sz="4" w:space="0" w:color="000000"/>
            </w:tcBorders>
            <w:shd w:val="clear" w:color="auto" w:fill="0E4E7A"/>
            <w:tcMar>
              <w:top w:w="0" w:type="dxa"/>
              <w:left w:w="108" w:type="dxa"/>
              <w:bottom w:w="0" w:type="dxa"/>
              <w:right w:w="108" w:type="dxa"/>
            </w:tcMar>
            <w:vAlign w:val="center"/>
          </w:tcPr>
          <w:p w14:paraId="4CB0D234" w14:textId="77777777" w:rsidR="00F2366C" w:rsidRDefault="00F2366C" w:rsidP="00294162">
            <w:pPr>
              <w:jc w:val="center"/>
              <w:rPr>
                <w:color w:val="FFFFFF"/>
                <w:sz w:val="18"/>
                <w:szCs w:val="18"/>
                <w:lang w:eastAsia="es-MX"/>
              </w:rPr>
            </w:pPr>
            <w:r>
              <w:rPr>
                <w:color w:val="FFFFFF"/>
                <w:sz w:val="18"/>
                <w:szCs w:val="18"/>
                <w:lang w:eastAsia="es-MX"/>
              </w:rPr>
              <w:t>Dependencia coordinadora</w:t>
            </w:r>
          </w:p>
        </w:tc>
      </w:tr>
      <w:tr w:rsidR="00F2366C" w14:paraId="4B178680" w14:textId="77777777" w:rsidTr="000C13C0">
        <w:trPr>
          <w:trHeight w:val="669"/>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9EF49" w14:textId="77777777" w:rsidR="00F2366C" w:rsidRDefault="00F2366C" w:rsidP="001E68F1">
            <w:pPr>
              <w:jc w:val="center"/>
              <w:rPr>
                <w:sz w:val="16"/>
                <w:szCs w:val="16"/>
                <w:lang w:eastAsia="es-MX"/>
              </w:rPr>
            </w:pPr>
            <w:r>
              <w:rPr>
                <w:sz w:val="16"/>
                <w:szCs w:val="16"/>
                <w:lang w:eastAsia="es-MX"/>
              </w:rPr>
              <w:t>*Fondo de Aportaciones para la Nómina Educativa y Gasto Operativo (FONE)</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DAC20" w14:textId="77777777" w:rsidR="00F2366C" w:rsidRDefault="00F2366C" w:rsidP="0069371D">
            <w:pPr>
              <w:jc w:val="center"/>
              <w:rPr>
                <w:sz w:val="16"/>
                <w:szCs w:val="16"/>
                <w:lang w:eastAsia="es-MX"/>
              </w:rPr>
            </w:pPr>
            <w:r>
              <w:rPr>
                <w:sz w:val="16"/>
                <w:szCs w:val="16"/>
                <w:lang w:eastAsia="es-MX"/>
              </w:rPr>
              <w:t>Educación Básica</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0EA9D" w14:textId="77777777" w:rsidR="00F2366C" w:rsidRDefault="00F2366C" w:rsidP="0069371D">
            <w:pPr>
              <w:jc w:val="center"/>
              <w:rPr>
                <w:sz w:val="16"/>
                <w:szCs w:val="16"/>
                <w:lang w:eastAsia="es-MX"/>
              </w:rPr>
            </w:pPr>
            <w:r>
              <w:rPr>
                <w:sz w:val="16"/>
                <w:szCs w:val="16"/>
                <w:lang w:eastAsia="es-MX"/>
              </w:rPr>
              <w:t>*Fondo de Aportaciones para la Educación Básica (FAEB)</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58292" w14:textId="77777777" w:rsidR="00F2366C" w:rsidRDefault="00F2366C" w:rsidP="0069371D">
            <w:pPr>
              <w:jc w:val="center"/>
              <w:rPr>
                <w:sz w:val="16"/>
                <w:szCs w:val="16"/>
                <w:lang w:eastAsia="es-MX"/>
              </w:rPr>
            </w:pPr>
            <w:r>
              <w:rPr>
                <w:sz w:val="16"/>
                <w:szCs w:val="16"/>
                <w:lang w:eastAsia="es-MX"/>
              </w:rPr>
              <w:t>*2014</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EE658" w14:textId="77777777" w:rsidR="00F2366C" w:rsidRDefault="00F2366C" w:rsidP="0069371D">
            <w:pPr>
              <w:jc w:val="center"/>
              <w:rPr>
                <w:sz w:val="16"/>
                <w:szCs w:val="16"/>
                <w:lang w:eastAsia="es-MX"/>
              </w:rPr>
            </w:pPr>
            <w:r>
              <w:rPr>
                <w:sz w:val="16"/>
                <w:szCs w:val="16"/>
                <w:lang w:eastAsia="es-MX"/>
              </w:rPr>
              <w:t>Secretaría de Educación  Pública (SEP)</w:t>
            </w:r>
          </w:p>
        </w:tc>
      </w:tr>
      <w:tr w:rsidR="00F2366C" w14:paraId="6F4AA7C7" w14:textId="77777777" w:rsidTr="000C13C0">
        <w:trPr>
          <w:trHeight w:val="694"/>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FAFBE" w14:textId="77777777" w:rsidR="00F2366C" w:rsidRDefault="00F2366C" w:rsidP="001E68F1">
            <w:pPr>
              <w:jc w:val="center"/>
              <w:rPr>
                <w:sz w:val="16"/>
                <w:szCs w:val="16"/>
                <w:lang w:eastAsia="es-MX"/>
              </w:rPr>
            </w:pPr>
            <w:r>
              <w:rPr>
                <w:sz w:val="16"/>
                <w:szCs w:val="16"/>
                <w:lang w:eastAsia="es-MX"/>
              </w:rPr>
              <w:t>Fondo de Aportaciones para los Servicios de Salud (FASSA)</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604A9" w14:textId="77777777" w:rsidR="00F2366C" w:rsidRDefault="00F2366C" w:rsidP="0069371D">
            <w:pPr>
              <w:jc w:val="center"/>
              <w:rPr>
                <w:sz w:val="16"/>
                <w:szCs w:val="16"/>
                <w:lang w:eastAsia="es-MX"/>
              </w:rPr>
            </w:pPr>
            <w:r>
              <w:rPr>
                <w:sz w:val="16"/>
                <w:szCs w:val="16"/>
                <w:lang w:eastAsia="es-MX"/>
              </w:rPr>
              <w:t>Servicios de salud a la población abierta</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D8BCF" w14:textId="77777777" w:rsidR="00F2366C" w:rsidRDefault="00F2366C" w:rsidP="0069371D">
            <w:pPr>
              <w:jc w:val="center"/>
              <w:rPr>
                <w:sz w:val="16"/>
                <w:szCs w:val="16"/>
                <w:lang w:eastAsia="es-MX"/>
              </w:rPr>
            </w:pPr>
            <w:r>
              <w:rPr>
                <w:sz w:val="16"/>
                <w:szCs w:val="16"/>
                <w:lang w:eastAsia="es-MX"/>
              </w:rPr>
              <w:t>Acuerdo Nacional para la Descentralización de los Servicios de Salud</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93175" w14:textId="77777777" w:rsidR="00F2366C" w:rsidRDefault="00F2366C" w:rsidP="0069371D">
            <w:pPr>
              <w:jc w:val="center"/>
              <w:rPr>
                <w:sz w:val="16"/>
                <w:szCs w:val="16"/>
                <w:lang w:eastAsia="es-MX"/>
              </w:rPr>
            </w:pPr>
            <w:r>
              <w:rPr>
                <w:sz w:val="16"/>
                <w:szCs w:val="16"/>
                <w:lang w:eastAsia="es-MX"/>
              </w:rPr>
              <w:t>1998</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B2442" w14:textId="77777777" w:rsidR="00F2366C" w:rsidRDefault="00F2366C" w:rsidP="0069371D">
            <w:pPr>
              <w:jc w:val="center"/>
              <w:rPr>
                <w:sz w:val="16"/>
                <w:szCs w:val="16"/>
                <w:lang w:eastAsia="es-MX"/>
              </w:rPr>
            </w:pPr>
            <w:r>
              <w:rPr>
                <w:sz w:val="16"/>
                <w:szCs w:val="16"/>
                <w:lang w:eastAsia="es-MX"/>
              </w:rPr>
              <w:t>Secretaría de Salud (SALUD)</w:t>
            </w:r>
          </w:p>
        </w:tc>
      </w:tr>
      <w:tr w:rsidR="00F2366C" w14:paraId="305AF63F" w14:textId="77777777" w:rsidTr="000C13C0">
        <w:trPr>
          <w:trHeight w:val="444"/>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37927" w14:textId="77777777" w:rsidR="00F2366C" w:rsidRDefault="00F2366C" w:rsidP="001E68F1">
            <w:pPr>
              <w:jc w:val="center"/>
              <w:rPr>
                <w:sz w:val="16"/>
                <w:szCs w:val="16"/>
                <w:lang w:eastAsia="es-MX"/>
              </w:rPr>
            </w:pPr>
            <w:r>
              <w:rPr>
                <w:sz w:val="16"/>
                <w:szCs w:val="16"/>
                <w:lang w:eastAsia="es-MX"/>
              </w:rPr>
              <w:t>Fondo de Aportaciones para la Infraestructura Social (FAIS)</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B8A62" w14:textId="77777777" w:rsidR="00F2366C" w:rsidRDefault="00F2366C" w:rsidP="0069371D">
            <w:pPr>
              <w:jc w:val="center"/>
              <w:rPr>
                <w:sz w:val="16"/>
                <w:szCs w:val="16"/>
                <w:lang w:eastAsia="es-MX"/>
              </w:rPr>
            </w:pPr>
            <w:r>
              <w:rPr>
                <w:sz w:val="16"/>
                <w:szCs w:val="16"/>
                <w:lang w:eastAsia="es-MX"/>
              </w:rPr>
              <w:t>Infraestructura social básica</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8BACC" w14:textId="77777777" w:rsidR="00F2366C" w:rsidRDefault="00F2366C" w:rsidP="0069371D">
            <w:pPr>
              <w:jc w:val="center"/>
              <w:rPr>
                <w:sz w:val="16"/>
                <w:szCs w:val="16"/>
                <w:lang w:eastAsia="es-MX"/>
              </w:rPr>
            </w:pPr>
            <w:r>
              <w:rPr>
                <w:sz w:val="16"/>
                <w:szCs w:val="16"/>
                <w:lang w:eastAsia="es-MX"/>
              </w:rPr>
              <w:t>Recursos del Ramo 26. Programa Nacional de Solidaridad</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32536" w14:textId="77777777" w:rsidR="00F2366C" w:rsidRDefault="00F2366C" w:rsidP="0069371D">
            <w:pPr>
              <w:jc w:val="center"/>
              <w:rPr>
                <w:sz w:val="16"/>
                <w:szCs w:val="16"/>
                <w:lang w:eastAsia="es-MX"/>
              </w:rPr>
            </w:pPr>
            <w:r>
              <w:rPr>
                <w:sz w:val="16"/>
                <w:szCs w:val="16"/>
                <w:lang w:eastAsia="es-MX"/>
              </w:rPr>
              <w:t>1998</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76141" w14:textId="77777777" w:rsidR="00F2366C" w:rsidRDefault="00F2366C" w:rsidP="0069371D">
            <w:pPr>
              <w:jc w:val="center"/>
              <w:rPr>
                <w:sz w:val="16"/>
                <w:szCs w:val="16"/>
                <w:lang w:eastAsia="es-MX"/>
              </w:rPr>
            </w:pPr>
            <w:r>
              <w:rPr>
                <w:sz w:val="16"/>
                <w:szCs w:val="16"/>
                <w:lang w:eastAsia="es-MX"/>
              </w:rPr>
              <w:t>Secretaría de Desarrollo Social (SEDESOL)</w:t>
            </w:r>
          </w:p>
        </w:tc>
      </w:tr>
      <w:tr w:rsidR="00F2366C" w14:paraId="6393EB1C" w14:textId="77777777" w:rsidTr="000C13C0">
        <w:trPr>
          <w:trHeight w:val="1408"/>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59D7D" w14:textId="77777777" w:rsidR="00F2366C" w:rsidRDefault="00F2366C" w:rsidP="001E68F1">
            <w:pPr>
              <w:jc w:val="center"/>
              <w:rPr>
                <w:sz w:val="16"/>
                <w:szCs w:val="16"/>
                <w:lang w:eastAsia="es-MX"/>
              </w:rPr>
            </w:pPr>
            <w:r>
              <w:rPr>
                <w:sz w:val="16"/>
                <w:szCs w:val="16"/>
                <w:lang w:eastAsia="es-MX"/>
              </w:rPr>
              <w:t>Fondo de Aportaciones para el Fortalecimiento de los Municipios y de las Demarcaciones Territoriales del Distrito Federal *(FORTAMUN-DF)</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78CA4" w14:textId="77777777" w:rsidR="00F2366C" w:rsidRDefault="00F2366C" w:rsidP="0069371D">
            <w:pPr>
              <w:jc w:val="center"/>
              <w:rPr>
                <w:sz w:val="16"/>
                <w:szCs w:val="16"/>
                <w:lang w:eastAsia="es-MX"/>
              </w:rPr>
            </w:pPr>
            <w:r>
              <w:rPr>
                <w:sz w:val="16"/>
                <w:szCs w:val="16"/>
                <w:lang w:eastAsia="es-MX"/>
              </w:rPr>
              <w:t>Obligaciones financieras y desarrollo municipal</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B4D51" w14:textId="77777777" w:rsidR="00F2366C" w:rsidRDefault="00F2366C" w:rsidP="0069371D">
            <w:pPr>
              <w:jc w:val="center"/>
              <w:rPr>
                <w:sz w:val="16"/>
                <w:szCs w:val="16"/>
                <w:lang w:eastAsia="es-MX"/>
              </w:rPr>
            </w:pPr>
            <w:r>
              <w:rPr>
                <w:sz w:val="16"/>
                <w:szCs w:val="16"/>
                <w:lang w:eastAsia="es-MX"/>
              </w:rPr>
              <w:t>Fondos de Desarrollo Municipal</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D8D1" w14:textId="77777777" w:rsidR="00F2366C" w:rsidRDefault="00F2366C" w:rsidP="0069371D">
            <w:pPr>
              <w:jc w:val="center"/>
              <w:rPr>
                <w:sz w:val="16"/>
                <w:szCs w:val="16"/>
                <w:lang w:eastAsia="es-MX"/>
              </w:rPr>
            </w:pPr>
            <w:r>
              <w:rPr>
                <w:sz w:val="16"/>
                <w:szCs w:val="16"/>
                <w:lang w:eastAsia="es-MX"/>
              </w:rPr>
              <w:t>1998</w:t>
            </w:r>
          </w:p>
          <w:p w14:paraId="3C77B333" w14:textId="77777777" w:rsidR="00F2366C" w:rsidRDefault="00F2366C" w:rsidP="0069371D">
            <w:pPr>
              <w:jc w:val="center"/>
              <w:rPr>
                <w:sz w:val="16"/>
                <w:szCs w:val="16"/>
                <w:lang w:eastAsia="es-MX"/>
              </w:rPr>
            </w:pPr>
            <w:r>
              <w:rPr>
                <w:sz w:val="16"/>
                <w:szCs w:val="16"/>
                <w:lang w:eastAsia="es-MX"/>
              </w:rPr>
              <w:t>*(En 2001 se incorpora la figura de DF)</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28D4F" w14:textId="77777777" w:rsidR="00F2366C" w:rsidRDefault="00F2366C" w:rsidP="0069371D">
            <w:pPr>
              <w:jc w:val="center"/>
              <w:rPr>
                <w:sz w:val="16"/>
                <w:szCs w:val="16"/>
                <w:lang w:eastAsia="es-MX"/>
              </w:rPr>
            </w:pPr>
            <w:r>
              <w:rPr>
                <w:sz w:val="16"/>
                <w:szCs w:val="16"/>
                <w:lang w:eastAsia="es-MX"/>
              </w:rPr>
              <w:t>Secretaría de Hacienda y Crédito Público (SHCP)</w:t>
            </w:r>
          </w:p>
        </w:tc>
      </w:tr>
      <w:tr w:rsidR="00F2366C" w14:paraId="786AB9F6" w14:textId="77777777" w:rsidTr="000C13C0">
        <w:trPr>
          <w:trHeight w:val="284"/>
          <w:jc w:val="center"/>
        </w:trPr>
        <w:tc>
          <w:tcPr>
            <w:tcW w:w="118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F8217" w14:textId="77777777" w:rsidR="00F2366C" w:rsidRDefault="00F2366C" w:rsidP="001E68F1">
            <w:pPr>
              <w:jc w:val="center"/>
              <w:rPr>
                <w:sz w:val="16"/>
                <w:szCs w:val="16"/>
                <w:lang w:eastAsia="es-MX"/>
              </w:rPr>
            </w:pPr>
            <w:r>
              <w:rPr>
                <w:sz w:val="16"/>
                <w:szCs w:val="16"/>
                <w:lang w:eastAsia="es-MX"/>
              </w:rPr>
              <w:t>Fondo de Aportaciones Múltiples (FAM)</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E7BEE" w14:textId="77777777" w:rsidR="00F2366C" w:rsidRDefault="00F2366C" w:rsidP="0069371D">
            <w:pPr>
              <w:jc w:val="center"/>
              <w:rPr>
                <w:sz w:val="16"/>
                <w:szCs w:val="16"/>
                <w:lang w:eastAsia="es-MX"/>
              </w:rPr>
            </w:pPr>
            <w:r>
              <w:rPr>
                <w:sz w:val="16"/>
                <w:szCs w:val="16"/>
                <w:lang w:eastAsia="es-MX"/>
              </w:rPr>
              <w:t>Desayunos escolares y acciones de asistencia social</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52F8F" w14:textId="77777777" w:rsidR="00F2366C" w:rsidRDefault="00F2366C" w:rsidP="0069371D">
            <w:pPr>
              <w:jc w:val="center"/>
              <w:rPr>
                <w:sz w:val="16"/>
                <w:szCs w:val="16"/>
                <w:lang w:eastAsia="es-MX"/>
              </w:rPr>
            </w:pPr>
            <w:r>
              <w:rPr>
                <w:sz w:val="16"/>
                <w:szCs w:val="16"/>
                <w:lang w:eastAsia="es-MX"/>
              </w:rPr>
              <w:t>Desayunos escolares</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E291C" w14:textId="77777777" w:rsidR="00F2366C" w:rsidRDefault="00F2366C" w:rsidP="0069371D">
            <w:pPr>
              <w:jc w:val="center"/>
              <w:rPr>
                <w:sz w:val="16"/>
                <w:szCs w:val="16"/>
                <w:lang w:eastAsia="es-MX"/>
              </w:rPr>
            </w:pPr>
            <w:r>
              <w:rPr>
                <w:sz w:val="16"/>
                <w:szCs w:val="16"/>
                <w:lang w:eastAsia="es-MX"/>
              </w:rPr>
              <w:t>1998</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BFECC" w14:textId="77777777" w:rsidR="00F2366C" w:rsidRDefault="00F2366C" w:rsidP="0069371D">
            <w:pPr>
              <w:jc w:val="center"/>
              <w:rPr>
                <w:sz w:val="16"/>
                <w:szCs w:val="16"/>
                <w:lang w:eastAsia="es-MX"/>
              </w:rPr>
            </w:pPr>
            <w:r>
              <w:rPr>
                <w:sz w:val="16"/>
                <w:szCs w:val="16"/>
                <w:lang w:eastAsia="es-MX"/>
              </w:rPr>
              <w:t>Secretaría de Salud (SALUD)</w:t>
            </w:r>
          </w:p>
        </w:tc>
      </w:tr>
      <w:tr w:rsidR="00F2366C" w14:paraId="2E62E0BE" w14:textId="77777777" w:rsidTr="000C13C0">
        <w:trPr>
          <w:trHeight w:val="284"/>
          <w:jc w:val="center"/>
        </w:trPr>
        <w:tc>
          <w:tcPr>
            <w:tcW w:w="118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D1B1D" w14:textId="77777777" w:rsidR="00F2366C" w:rsidRDefault="00F2366C" w:rsidP="001E68F1">
            <w:pPr>
              <w:jc w:val="center"/>
              <w:rPr>
                <w:sz w:val="16"/>
                <w:szCs w:val="16"/>
                <w:lang w:eastAsia="es-MX"/>
              </w:rPr>
            </w:pP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5EE0B" w14:textId="77777777" w:rsidR="00F2366C" w:rsidRDefault="00F2366C" w:rsidP="0069371D">
            <w:pPr>
              <w:jc w:val="center"/>
              <w:rPr>
                <w:sz w:val="16"/>
                <w:szCs w:val="16"/>
                <w:lang w:eastAsia="es-MX"/>
              </w:rPr>
            </w:pPr>
            <w:r>
              <w:rPr>
                <w:sz w:val="16"/>
                <w:szCs w:val="16"/>
                <w:lang w:eastAsia="es-MX"/>
              </w:rPr>
              <w:t>Construcción, equipamiento y rehabilitación de infraestructura física de educación básica y superior</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9F2E9" w14:textId="77777777" w:rsidR="00F2366C" w:rsidRDefault="00F2366C" w:rsidP="0069371D">
            <w:pPr>
              <w:jc w:val="center"/>
              <w:rPr>
                <w:sz w:val="16"/>
                <w:szCs w:val="16"/>
                <w:lang w:eastAsia="es-MX"/>
              </w:rPr>
            </w:pPr>
            <w:r>
              <w:rPr>
                <w:sz w:val="16"/>
                <w:szCs w:val="16"/>
                <w:lang w:eastAsia="es-MX"/>
              </w:rPr>
              <w:t>Programa Federal de Construcción de Escuelas (CAPCE): infraestructura educativa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8C976" w14:textId="77777777" w:rsidR="00F2366C" w:rsidRDefault="00F2366C" w:rsidP="0069371D">
            <w:pPr>
              <w:jc w:val="center"/>
              <w:rPr>
                <w:sz w:val="16"/>
                <w:szCs w:val="16"/>
                <w:lang w:eastAsia="es-MX"/>
              </w:rPr>
            </w:pPr>
            <w:r>
              <w:rPr>
                <w:sz w:val="16"/>
                <w:szCs w:val="16"/>
                <w:lang w:eastAsia="es-MX"/>
              </w:rPr>
              <w:t>1998</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56E3D" w14:textId="77777777" w:rsidR="00F2366C" w:rsidRDefault="00F2366C" w:rsidP="0069371D">
            <w:pPr>
              <w:jc w:val="center"/>
              <w:rPr>
                <w:sz w:val="16"/>
                <w:szCs w:val="16"/>
                <w:lang w:eastAsia="es-MX"/>
              </w:rPr>
            </w:pPr>
            <w:r>
              <w:rPr>
                <w:sz w:val="16"/>
                <w:szCs w:val="16"/>
                <w:lang w:eastAsia="es-MX"/>
              </w:rPr>
              <w:t>Secretaría de Educación Pública (SEP)</w:t>
            </w:r>
          </w:p>
        </w:tc>
      </w:tr>
      <w:tr w:rsidR="00F2366C" w14:paraId="4DE7F48D" w14:textId="77777777" w:rsidTr="000C13C0">
        <w:trPr>
          <w:trHeight w:val="817"/>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4B6E9" w14:textId="77777777" w:rsidR="00F2366C" w:rsidRDefault="00F2366C" w:rsidP="001E68F1">
            <w:pPr>
              <w:jc w:val="center"/>
              <w:rPr>
                <w:sz w:val="16"/>
                <w:szCs w:val="16"/>
                <w:lang w:eastAsia="es-MX"/>
              </w:rPr>
            </w:pPr>
            <w:r>
              <w:rPr>
                <w:sz w:val="16"/>
                <w:szCs w:val="16"/>
                <w:lang w:eastAsia="es-MX"/>
              </w:rPr>
              <w:t>Fondo de Aportaciones para la Educación Tecnológica y de Adultos (FAETA)</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9D2FA" w14:textId="77777777" w:rsidR="00F2366C" w:rsidRDefault="00F2366C" w:rsidP="0069371D">
            <w:pPr>
              <w:jc w:val="center"/>
              <w:rPr>
                <w:sz w:val="16"/>
                <w:szCs w:val="16"/>
                <w:lang w:eastAsia="es-MX"/>
              </w:rPr>
            </w:pPr>
            <w:r>
              <w:rPr>
                <w:sz w:val="16"/>
                <w:szCs w:val="16"/>
                <w:lang w:eastAsia="es-MX"/>
              </w:rPr>
              <w:t>Educación tecnológica y educación para adultos</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F7B7D" w14:textId="77777777" w:rsidR="00F2366C" w:rsidRDefault="00F2366C" w:rsidP="0069371D">
            <w:pPr>
              <w:jc w:val="center"/>
              <w:rPr>
                <w:sz w:val="16"/>
                <w:szCs w:val="16"/>
                <w:lang w:eastAsia="es-MX"/>
              </w:rPr>
            </w:pPr>
            <w:r>
              <w:rPr>
                <w:sz w:val="16"/>
                <w:szCs w:val="16"/>
                <w:lang w:eastAsia="es-MX"/>
              </w:rPr>
              <w:t>Convenios de coordinación CONALEP e INEA</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14CDE" w14:textId="77777777" w:rsidR="00F2366C" w:rsidRDefault="00F2366C" w:rsidP="0069371D">
            <w:pPr>
              <w:jc w:val="center"/>
              <w:rPr>
                <w:sz w:val="16"/>
                <w:szCs w:val="16"/>
                <w:lang w:eastAsia="es-MX"/>
              </w:rPr>
            </w:pPr>
            <w:r>
              <w:rPr>
                <w:sz w:val="16"/>
                <w:szCs w:val="16"/>
                <w:lang w:eastAsia="es-MX"/>
              </w:rPr>
              <w:t>1998</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EAE0D" w14:textId="77777777" w:rsidR="00F2366C" w:rsidRDefault="00F2366C" w:rsidP="0069371D">
            <w:pPr>
              <w:jc w:val="center"/>
              <w:rPr>
                <w:sz w:val="16"/>
                <w:szCs w:val="16"/>
                <w:lang w:eastAsia="es-MX"/>
              </w:rPr>
            </w:pPr>
            <w:r>
              <w:rPr>
                <w:sz w:val="16"/>
                <w:szCs w:val="16"/>
                <w:lang w:eastAsia="es-MX"/>
              </w:rPr>
              <w:t>Secretaría de Educación Pública (SEP)</w:t>
            </w:r>
          </w:p>
        </w:tc>
      </w:tr>
      <w:tr w:rsidR="00F2366C" w14:paraId="647E5550" w14:textId="77777777" w:rsidTr="000C13C0">
        <w:trPr>
          <w:trHeight w:val="557"/>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D982B" w14:textId="77777777" w:rsidR="00F2366C" w:rsidRDefault="00F2366C" w:rsidP="001E68F1">
            <w:pPr>
              <w:jc w:val="center"/>
              <w:rPr>
                <w:sz w:val="16"/>
                <w:szCs w:val="16"/>
                <w:lang w:eastAsia="es-MX"/>
              </w:rPr>
            </w:pPr>
            <w:r>
              <w:rPr>
                <w:sz w:val="16"/>
                <w:szCs w:val="16"/>
                <w:lang w:eastAsia="es-MX"/>
              </w:rPr>
              <w:t>Fondo de Aportaciones para la Seguridad Pública de los Estados y del Distrito Federal (FASP)</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38661" w14:textId="77777777" w:rsidR="00F2366C" w:rsidRDefault="00F2366C" w:rsidP="0069371D">
            <w:pPr>
              <w:jc w:val="center"/>
              <w:rPr>
                <w:sz w:val="16"/>
                <w:szCs w:val="16"/>
                <w:lang w:eastAsia="es-MX"/>
              </w:rPr>
            </w:pPr>
            <w:r>
              <w:rPr>
                <w:sz w:val="16"/>
                <w:szCs w:val="16"/>
                <w:lang w:eastAsia="es-MX"/>
              </w:rPr>
              <w:t>Seguridad pública</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73280" w14:textId="77777777" w:rsidR="00F2366C" w:rsidRDefault="00F2366C" w:rsidP="0069371D">
            <w:pPr>
              <w:jc w:val="center"/>
              <w:rPr>
                <w:sz w:val="16"/>
                <w:szCs w:val="16"/>
                <w:lang w:eastAsia="es-MX"/>
              </w:rPr>
            </w:pPr>
            <w:r>
              <w:rPr>
                <w:sz w:val="16"/>
                <w:szCs w:val="16"/>
                <w:lang w:eastAsia="es-MX"/>
              </w:rPr>
              <w:t>Convenio de coordinación en materia de seguridad pública</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90455" w14:textId="77777777" w:rsidR="00F2366C" w:rsidRDefault="00F2366C" w:rsidP="0069371D">
            <w:pPr>
              <w:jc w:val="center"/>
              <w:rPr>
                <w:sz w:val="16"/>
                <w:szCs w:val="16"/>
                <w:lang w:eastAsia="es-MX"/>
              </w:rPr>
            </w:pPr>
            <w:r>
              <w:rPr>
                <w:sz w:val="16"/>
                <w:szCs w:val="16"/>
                <w:lang w:eastAsia="es-MX"/>
              </w:rPr>
              <w:t>1998</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814AF" w14:textId="77777777" w:rsidR="00F2366C" w:rsidRDefault="00F2366C" w:rsidP="0069371D">
            <w:pPr>
              <w:jc w:val="center"/>
              <w:rPr>
                <w:sz w:val="16"/>
                <w:szCs w:val="16"/>
                <w:lang w:eastAsia="es-MX"/>
              </w:rPr>
            </w:pPr>
            <w:r>
              <w:rPr>
                <w:sz w:val="16"/>
                <w:szCs w:val="16"/>
                <w:lang w:eastAsia="es-MX"/>
              </w:rPr>
              <w:t>Secretaría de Seguridad Pública (SSP)</w:t>
            </w:r>
          </w:p>
        </w:tc>
      </w:tr>
      <w:tr w:rsidR="00F2366C" w14:paraId="0E902542" w14:textId="77777777" w:rsidTr="000C13C0">
        <w:trPr>
          <w:trHeight w:val="768"/>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BD2CD" w14:textId="77777777" w:rsidR="00F2366C" w:rsidRDefault="00F2366C" w:rsidP="001E68F1">
            <w:pPr>
              <w:jc w:val="center"/>
              <w:rPr>
                <w:sz w:val="16"/>
                <w:szCs w:val="16"/>
                <w:lang w:eastAsia="es-MX"/>
              </w:rPr>
            </w:pPr>
            <w:r>
              <w:rPr>
                <w:sz w:val="16"/>
                <w:szCs w:val="16"/>
                <w:lang w:eastAsia="es-MX"/>
              </w:rPr>
              <w:t>Fondo de Aportaciones para el Fortalecimiento de las Entidades Federativas (FAFEF)</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2DC2A" w14:textId="77777777" w:rsidR="00F2366C" w:rsidRDefault="00F2366C" w:rsidP="0069371D">
            <w:pPr>
              <w:jc w:val="center"/>
              <w:rPr>
                <w:sz w:val="16"/>
                <w:szCs w:val="16"/>
                <w:lang w:eastAsia="es-MX"/>
              </w:rPr>
            </w:pPr>
            <w:r>
              <w:rPr>
                <w:sz w:val="16"/>
                <w:szCs w:val="16"/>
                <w:lang w:eastAsia="es-MX"/>
              </w:rPr>
              <w:t>Infraestructura física y saneamiento financiero</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4FAFF" w14:textId="77777777" w:rsidR="00F2366C" w:rsidRDefault="00F2366C" w:rsidP="0069371D">
            <w:pPr>
              <w:jc w:val="center"/>
              <w:rPr>
                <w:sz w:val="16"/>
                <w:szCs w:val="16"/>
                <w:lang w:eastAsia="es-MX"/>
              </w:rPr>
            </w:pPr>
            <w:r>
              <w:rPr>
                <w:sz w:val="16"/>
                <w:szCs w:val="16"/>
                <w:lang w:eastAsia="es-MX"/>
              </w:rPr>
              <w:t xml:space="preserve">Ramo 23 </w:t>
            </w:r>
          </w:p>
          <w:p w14:paraId="594DC3E7" w14:textId="77777777" w:rsidR="00F2366C" w:rsidRDefault="00F2366C" w:rsidP="0069371D">
            <w:pPr>
              <w:jc w:val="center"/>
              <w:rPr>
                <w:sz w:val="16"/>
                <w:szCs w:val="16"/>
                <w:lang w:eastAsia="es-MX"/>
              </w:rPr>
            </w:pPr>
            <w:r>
              <w:rPr>
                <w:sz w:val="16"/>
                <w:szCs w:val="16"/>
                <w:lang w:eastAsia="es-MX"/>
              </w:rPr>
              <w:t>*Programa de Apoyos para el Fortalecimiento de las Entidades Federativas (PAFEF)</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168C3" w14:textId="77777777" w:rsidR="00F2366C" w:rsidRDefault="00F2366C" w:rsidP="0069371D">
            <w:pPr>
              <w:jc w:val="center"/>
              <w:rPr>
                <w:sz w:val="16"/>
                <w:szCs w:val="16"/>
                <w:lang w:eastAsia="es-MX"/>
              </w:rPr>
            </w:pPr>
            <w:r>
              <w:rPr>
                <w:sz w:val="16"/>
                <w:szCs w:val="16"/>
                <w:lang w:eastAsia="es-MX"/>
              </w:rPr>
              <w:t>2006</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CAD47" w14:textId="77777777" w:rsidR="00F2366C" w:rsidRDefault="00F2366C" w:rsidP="0069371D">
            <w:pPr>
              <w:jc w:val="center"/>
              <w:rPr>
                <w:sz w:val="16"/>
                <w:szCs w:val="16"/>
                <w:lang w:eastAsia="es-MX"/>
              </w:rPr>
            </w:pPr>
            <w:r>
              <w:rPr>
                <w:sz w:val="16"/>
                <w:szCs w:val="16"/>
                <w:lang w:eastAsia="es-MX"/>
              </w:rPr>
              <w:t>Secretaría de Hacienda y Crédito Público (SHCP)</w:t>
            </w:r>
          </w:p>
        </w:tc>
      </w:tr>
      <w:tr w:rsidR="00F2366C" w14:paraId="42B9961F" w14:textId="77777777" w:rsidTr="00294162">
        <w:trPr>
          <w:trHeight w:val="224"/>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20BC0" w14:textId="77777777" w:rsidR="00F2366C" w:rsidRDefault="00F2366C" w:rsidP="0069371D">
            <w:pPr>
              <w:rPr>
                <w:sz w:val="16"/>
                <w:szCs w:val="16"/>
                <w:lang w:eastAsia="es-MX"/>
              </w:rPr>
            </w:pPr>
            <w:r>
              <w:rPr>
                <w:sz w:val="16"/>
                <w:szCs w:val="16"/>
              </w:rPr>
              <w:t>Fuente: CONEVAL, 2011. *Modificaciones y actualización propias.</w:t>
            </w:r>
          </w:p>
        </w:tc>
      </w:tr>
    </w:tbl>
    <w:p w14:paraId="64C10724" w14:textId="77777777" w:rsidR="00F2366C" w:rsidRPr="00A32D52" w:rsidRDefault="00F2366C" w:rsidP="00F2366C">
      <w:pPr>
        <w:spacing w:after="240" w:line="276" w:lineRule="auto"/>
        <w:jc w:val="both"/>
        <w:rPr>
          <w:rFonts w:ascii="Century Gothic" w:hAnsi="Century Gothic"/>
          <w:color w:val="000000"/>
          <w:sz w:val="2"/>
        </w:rPr>
      </w:pPr>
    </w:p>
    <w:p w14:paraId="5C3BCEC9" w14:textId="77777777" w:rsidR="001E68F1" w:rsidRDefault="005B3642" w:rsidP="00F2366C">
      <w:pPr>
        <w:spacing w:after="240" w:line="276" w:lineRule="auto"/>
        <w:jc w:val="both"/>
        <w:rPr>
          <w:rFonts w:ascii="Century Gothic" w:hAnsi="Century Gothic"/>
          <w:color w:val="000000"/>
        </w:rPr>
      </w:pPr>
      <w:r w:rsidRPr="005B3642">
        <w:rPr>
          <w:rFonts w:ascii="Century Gothic" w:hAnsi="Century Gothic"/>
          <w:color w:val="000000"/>
        </w:rPr>
        <w:t>El Fondo de Aportaciones para la Infraestructura Social (FAIS) es uno</w:t>
      </w:r>
      <w:r>
        <w:rPr>
          <w:rFonts w:ascii="Century Gothic" w:hAnsi="Century Gothic"/>
          <w:color w:val="000000"/>
        </w:rPr>
        <w:t xml:space="preserve"> </w:t>
      </w:r>
      <w:r w:rsidRPr="005B3642">
        <w:rPr>
          <w:rFonts w:ascii="Century Gothic" w:hAnsi="Century Gothic"/>
          <w:color w:val="000000"/>
        </w:rPr>
        <w:t xml:space="preserve">de los ochos fondos del Ramo 33 surgido </w:t>
      </w:r>
      <w:r>
        <w:rPr>
          <w:rFonts w:ascii="Century Gothic" w:hAnsi="Century Gothic"/>
          <w:color w:val="000000"/>
        </w:rPr>
        <w:t xml:space="preserve">de los cambios a la LFC en 1997, el cual se </w:t>
      </w:r>
      <w:r w:rsidRPr="005B3642">
        <w:rPr>
          <w:rFonts w:ascii="Century Gothic" w:hAnsi="Century Gothic"/>
          <w:color w:val="000000"/>
        </w:rPr>
        <w:t xml:space="preserve"> divide en dos fondos: </w:t>
      </w:r>
      <w:r w:rsidRPr="005B3642">
        <w:rPr>
          <w:rFonts w:ascii="Century Gothic" w:hAnsi="Century Gothic"/>
          <w:b/>
          <w:color w:val="000000"/>
        </w:rPr>
        <w:t>El Fondo de Infraestructura Social Estatal (FISE</w:t>
      </w:r>
      <w:r w:rsidRPr="005B3642">
        <w:rPr>
          <w:rFonts w:ascii="Century Gothic" w:hAnsi="Century Gothic"/>
          <w:color w:val="000000"/>
        </w:rPr>
        <w:t>), y el Fondo de Infraestructura Social Municipal y de las demarcaciones territoriales del Distrito Federal (FISMDF).</w:t>
      </w:r>
      <w:r>
        <w:rPr>
          <w:rFonts w:ascii="Century Gothic" w:hAnsi="Century Gothic"/>
          <w:color w:val="000000"/>
        </w:rPr>
        <w:t xml:space="preserve"> Dicho Fondo </w:t>
      </w:r>
      <w:r w:rsidR="001E68F1">
        <w:rPr>
          <w:rFonts w:ascii="Century Gothic" w:hAnsi="Century Gothic"/>
          <w:color w:val="000000"/>
        </w:rPr>
        <w:t>t</w:t>
      </w:r>
      <w:r>
        <w:rPr>
          <w:rFonts w:ascii="Century Gothic" w:hAnsi="Century Gothic"/>
          <w:color w:val="000000"/>
        </w:rPr>
        <w:t>iene como objeto fundamental</w:t>
      </w:r>
      <w:r w:rsidR="00294162">
        <w:rPr>
          <w:rFonts w:ascii="Century Gothic" w:hAnsi="Century Gothic"/>
          <w:color w:val="000000"/>
        </w:rPr>
        <w:t>:</w:t>
      </w:r>
    </w:p>
    <w:p w14:paraId="7D78E5A2" w14:textId="77777777" w:rsidR="00F2366C" w:rsidRDefault="001E68F1" w:rsidP="001E68F1">
      <w:pPr>
        <w:spacing w:after="240" w:line="276" w:lineRule="auto"/>
        <w:ind w:left="284" w:right="283"/>
        <w:jc w:val="both"/>
        <w:rPr>
          <w:rFonts w:ascii="Century Gothic" w:hAnsi="Century Gothic"/>
          <w:color w:val="000000"/>
        </w:rPr>
      </w:pPr>
      <w:r>
        <w:rPr>
          <w:rFonts w:ascii="Century Gothic" w:hAnsi="Century Gothic"/>
          <w:color w:val="000000"/>
        </w:rPr>
        <w:t>F</w:t>
      </w:r>
      <w:r w:rsidR="00F2366C">
        <w:rPr>
          <w:rFonts w:ascii="Century Gothic" w:hAnsi="Century Gothic"/>
          <w:i/>
          <w:color w:val="000000"/>
        </w:rPr>
        <w:t xml:space="preserve">inanciamiento de </w:t>
      </w:r>
      <w:r w:rsidR="00F2366C" w:rsidRPr="00175E1A">
        <w:rPr>
          <w:rFonts w:ascii="Century Gothic" w:hAnsi="Century Gothic"/>
          <w:b/>
          <w:i/>
          <w:color w:val="000000"/>
        </w:rPr>
        <w:t>obras, acciones sociales básicas y a inversiones que beneficien directamente a población en pobreza extrema, localidades con alto o muy alto nivel de rezago social</w:t>
      </w:r>
      <w:r w:rsidR="00F2366C">
        <w:rPr>
          <w:rFonts w:ascii="Century Gothic" w:hAnsi="Century Gothic"/>
          <w:i/>
          <w:color w:val="000000"/>
        </w:rPr>
        <w:t xml:space="preserve"> conforme a lo previsto en la Ley </w:t>
      </w:r>
      <w:r w:rsidR="00F2366C" w:rsidRPr="00F6465D">
        <w:rPr>
          <w:rFonts w:ascii="Century Gothic" w:hAnsi="Century Gothic"/>
          <w:color w:val="000000"/>
        </w:rPr>
        <w:t>General de Desarrollo Social, y en las zonas de atención prioritaria</w:t>
      </w:r>
      <w:r w:rsidRPr="00F6465D">
        <w:rPr>
          <w:rFonts w:ascii="Century Gothic" w:hAnsi="Century Gothic"/>
          <w:color w:val="000000"/>
        </w:rPr>
        <w:t>.</w:t>
      </w:r>
      <w:r w:rsidR="00F2366C">
        <w:rPr>
          <w:rFonts w:ascii="Century Gothic" w:hAnsi="Century Gothic"/>
          <w:color w:val="000000"/>
        </w:rPr>
        <w:t xml:space="preserve"> (SEDESOL, 2017a).</w:t>
      </w:r>
    </w:p>
    <w:p w14:paraId="220E7848" w14:textId="77777777" w:rsidR="00F2366C" w:rsidRPr="00F6465D" w:rsidRDefault="005B3642" w:rsidP="00F6465D">
      <w:pPr>
        <w:spacing w:after="240" w:line="276" w:lineRule="auto"/>
        <w:jc w:val="both"/>
        <w:rPr>
          <w:rFonts w:ascii="Century Gothic" w:hAnsi="Century Gothic"/>
          <w:color w:val="000000"/>
        </w:rPr>
      </w:pPr>
      <w:r>
        <w:rPr>
          <w:rFonts w:ascii="Century Gothic" w:hAnsi="Century Gothic"/>
          <w:color w:val="000000"/>
        </w:rPr>
        <w:lastRenderedPageBreak/>
        <w:t>Así, el FISE, como expresión estatal del FAIS se debe</w:t>
      </w:r>
      <w:r w:rsidR="00F6465D" w:rsidRPr="00F6465D">
        <w:rPr>
          <w:rFonts w:ascii="Century Gothic" w:hAnsi="Century Gothic"/>
          <w:color w:val="000000"/>
        </w:rPr>
        <w:t xml:space="preserve"> destinar a los rubros de:</w:t>
      </w:r>
    </w:p>
    <w:p w14:paraId="20292286" w14:textId="77777777" w:rsidR="00294162" w:rsidRDefault="00F6465D" w:rsidP="00294162">
      <w:pPr>
        <w:spacing w:after="240" w:line="276" w:lineRule="auto"/>
        <w:ind w:left="284" w:right="283"/>
        <w:jc w:val="both"/>
        <w:rPr>
          <w:rFonts w:ascii="Century Gothic" w:hAnsi="Century Gothic"/>
          <w:color w:val="000000"/>
        </w:rPr>
      </w:pPr>
      <w:r w:rsidRPr="00F6465D">
        <w:rPr>
          <w:rFonts w:ascii="Century Gothic" w:hAnsi="Century Gothic"/>
          <w:color w:val="000000"/>
        </w:rPr>
        <w:t xml:space="preserve">Obras y acciones que beneficien preferentemente a la población de los </w:t>
      </w:r>
      <w:r w:rsidRPr="00175E1A">
        <w:rPr>
          <w:rFonts w:ascii="Century Gothic" w:hAnsi="Century Gothic"/>
          <w:color w:val="000000"/>
        </w:rPr>
        <w:t>municipios, demarcaciones territoriales y localidades que presenten mayores niveles de rezago social y pobreza extrem</w:t>
      </w:r>
      <w:r w:rsidR="000C13C0">
        <w:rPr>
          <w:rFonts w:ascii="Century Gothic" w:hAnsi="Century Gothic"/>
          <w:color w:val="000000"/>
        </w:rPr>
        <w:t>a en la entidad. (LCF, Artículo 33, Numeral II)</w:t>
      </w:r>
      <w:r w:rsidRPr="00175E1A">
        <w:rPr>
          <w:rFonts w:ascii="Century Gothic" w:hAnsi="Century Gothic"/>
          <w:color w:val="000000"/>
        </w:rPr>
        <w:t>.</w:t>
      </w:r>
      <w:bookmarkStart w:id="11" w:name="_Toc437784054"/>
      <w:bookmarkStart w:id="12" w:name="_Toc464206545"/>
      <w:bookmarkStart w:id="13" w:name="_Toc466910738"/>
      <w:bookmarkStart w:id="14" w:name="_Toc478667633"/>
      <w:bookmarkStart w:id="15" w:name="_Toc486597066"/>
      <w:bookmarkStart w:id="16" w:name="_Toc488158782"/>
      <w:bookmarkStart w:id="17" w:name="_Toc488267680"/>
      <w:bookmarkStart w:id="18" w:name="_Toc488411662"/>
      <w:bookmarkStart w:id="19" w:name="_Toc488753790"/>
      <w:bookmarkStart w:id="20" w:name="_Toc503362420"/>
    </w:p>
    <w:p w14:paraId="651E2347" w14:textId="77777777" w:rsidR="000C13C0" w:rsidRDefault="000C13C0" w:rsidP="0073116F">
      <w:pPr>
        <w:spacing w:after="240" w:line="276" w:lineRule="auto"/>
        <w:ind w:right="283"/>
        <w:jc w:val="both"/>
        <w:rPr>
          <w:rFonts w:ascii="Century Gothic" w:hAnsi="Century Gothic"/>
          <w:color w:val="000000"/>
        </w:rPr>
      </w:pPr>
      <w:r>
        <w:rPr>
          <w:rFonts w:ascii="Century Gothic" w:hAnsi="Century Gothic"/>
          <w:color w:val="000000"/>
        </w:rPr>
        <w:t xml:space="preserve">Hasta el año 2013, la LCF fue la principal normatividad que regulaba el uso de los recursos del FISE, hasta que en febrero de 2014 se publican los primeros </w:t>
      </w:r>
      <w:r w:rsidRPr="000C13C0">
        <w:rPr>
          <w:rFonts w:ascii="Century Gothic" w:hAnsi="Century Gothic"/>
          <w:color w:val="000000"/>
        </w:rPr>
        <w:t>Lineamientos Generales para la operación del FAIS, con la finalidad de orientar los recursos del fondo y que estos se destinaran a la disminución de las carencias sociales de la medición de pobreza.</w:t>
      </w:r>
    </w:p>
    <w:p w14:paraId="503C4843" w14:textId="77777777" w:rsidR="003C764C" w:rsidRDefault="003C764C" w:rsidP="0073116F">
      <w:pPr>
        <w:spacing w:after="240" w:line="276" w:lineRule="auto"/>
        <w:ind w:right="283"/>
        <w:jc w:val="both"/>
        <w:rPr>
          <w:rFonts w:ascii="Century Gothic" w:hAnsi="Century Gothic"/>
          <w:color w:val="000000"/>
        </w:rPr>
      </w:pPr>
      <w:r>
        <w:rPr>
          <w:rFonts w:ascii="Century Gothic" w:hAnsi="Century Gothic"/>
          <w:color w:val="000000"/>
        </w:rPr>
        <w:t>En e</w:t>
      </w:r>
      <w:r w:rsidR="006C2D40">
        <w:rPr>
          <w:rFonts w:ascii="Century Gothic" w:hAnsi="Century Gothic"/>
          <w:color w:val="000000"/>
        </w:rPr>
        <w:t>l siguiente apartado se presenta</w:t>
      </w:r>
      <w:r>
        <w:rPr>
          <w:rFonts w:ascii="Century Gothic" w:hAnsi="Century Gothic"/>
          <w:color w:val="000000"/>
        </w:rPr>
        <w:t xml:space="preserve"> un contexto de la creación de dichos lineamientos y de las modificaciones que han tenido a la fecha.</w:t>
      </w:r>
    </w:p>
    <w:p w14:paraId="33AD1AA4" w14:textId="77777777" w:rsidR="00175E1A" w:rsidRPr="00294162" w:rsidRDefault="00175E1A" w:rsidP="00294162">
      <w:pPr>
        <w:pStyle w:val="Ttulo2"/>
        <w:spacing w:before="0" w:after="240"/>
        <w:rPr>
          <w:rFonts w:ascii="Century Gothic" w:hAnsi="Century Gothic"/>
          <w:color w:val="0E4E7A"/>
          <w:sz w:val="24"/>
        </w:rPr>
      </w:pPr>
      <w:bookmarkStart w:id="21" w:name="_Toc511236519"/>
      <w:r w:rsidRPr="00294162">
        <w:rPr>
          <w:rFonts w:ascii="Century Gothic" w:hAnsi="Century Gothic"/>
          <w:color w:val="0E4E7A"/>
          <w:sz w:val="24"/>
        </w:rPr>
        <w:t>2.2. Creación de los Lineamientos generales para la operación del Fondo de Aportaciones para la Infraestructura Social</w:t>
      </w:r>
      <w:bookmarkEnd w:id="11"/>
      <w:bookmarkEnd w:id="12"/>
      <w:bookmarkEnd w:id="13"/>
      <w:bookmarkEnd w:id="14"/>
      <w:bookmarkEnd w:id="15"/>
      <w:bookmarkEnd w:id="16"/>
      <w:bookmarkEnd w:id="17"/>
      <w:r w:rsidRPr="00294162">
        <w:rPr>
          <w:rFonts w:ascii="Century Gothic" w:hAnsi="Century Gothic"/>
          <w:color w:val="0E4E7A"/>
          <w:sz w:val="24"/>
          <w:vertAlign w:val="superscript"/>
        </w:rPr>
        <w:footnoteReference w:id="4"/>
      </w:r>
      <w:bookmarkEnd w:id="18"/>
      <w:bookmarkEnd w:id="19"/>
      <w:bookmarkEnd w:id="20"/>
      <w:bookmarkEnd w:id="21"/>
    </w:p>
    <w:p w14:paraId="12E3D96D" w14:textId="77777777" w:rsidR="00175E1A" w:rsidRDefault="00175E1A" w:rsidP="00175E1A">
      <w:pPr>
        <w:autoSpaceDE w:val="0"/>
        <w:spacing w:after="240" w:line="276" w:lineRule="auto"/>
        <w:jc w:val="both"/>
        <w:rPr>
          <w:rFonts w:ascii="Century Gothic" w:hAnsi="Century Gothic"/>
          <w:color w:val="000000"/>
        </w:rPr>
      </w:pPr>
      <w:r w:rsidRPr="00175E1A">
        <w:rPr>
          <w:rFonts w:ascii="Century Gothic" w:hAnsi="Century Gothic"/>
          <w:color w:val="000000"/>
        </w:rPr>
        <w:t>La evolución de la orientación del ejercicio presupuestario hacia su contribución</w:t>
      </w:r>
      <w:r>
        <w:rPr>
          <w:rFonts w:ascii="Century Gothic" w:hAnsi="Century Gothic"/>
          <w:color w:val="000000"/>
        </w:rPr>
        <w:t xml:space="preserve"> al desarrollo social ha sido una de las características principales en la exigencia por garantizar los derechos humanos de la población. La creación del FISE, en el contexto del Ramo 33, marca un hito en establecimiento de políticas públicas orientadas a mejorar las condiciones de vida la población. La evolución de este fondo, muestra que el espíritu inaugurado por la LCF en 1980, en donde se resaltaba que el proceso presupuestario debe orientarse al desarrollo social, continúa profundizándose. </w:t>
      </w:r>
    </w:p>
    <w:p w14:paraId="4A18E7E4" w14:textId="77777777" w:rsidR="00175E1A" w:rsidRDefault="00175E1A" w:rsidP="00175E1A">
      <w:pPr>
        <w:autoSpaceDE w:val="0"/>
        <w:spacing w:after="240" w:line="276" w:lineRule="auto"/>
        <w:jc w:val="both"/>
        <w:rPr>
          <w:rFonts w:ascii="Century Gothic" w:hAnsi="Century Gothic"/>
          <w:color w:val="000000"/>
        </w:rPr>
      </w:pPr>
      <w:r>
        <w:rPr>
          <w:rFonts w:ascii="Century Gothic" w:hAnsi="Century Gothic"/>
          <w:color w:val="000000"/>
        </w:rPr>
        <w:t xml:space="preserve">En el momento de creación del FISE, no se establecieron criterios específicos para su regulación, pues, estos solo se referenciaban en los artículos del 32 al 35 de la Ley de Coordinación Fiscal  y en algunos lineamientos generales que incluían a  todo el Ramo 33. </w:t>
      </w:r>
    </w:p>
    <w:p w14:paraId="3884DFA2" w14:textId="77777777" w:rsidR="00175E1A" w:rsidRDefault="00175E1A" w:rsidP="00175E1A">
      <w:pPr>
        <w:autoSpaceDE w:val="0"/>
        <w:spacing w:after="240" w:line="276" w:lineRule="auto"/>
        <w:jc w:val="both"/>
      </w:pPr>
      <w:r>
        <w:rPr>
          <w:rFonts w:ascii="Century Gothic" w:hAnsi="Century Gothic"/>
          <w:iCs/>
          <w:color w:val="000000"/>
        </w:rPr>
        <w:t>L</w:t>
      </w:r>
      <w:r>
        <w:rPr>
          <w:rFonts w:ascii="Century Gothic" w:hAnsi="Century Gothic"/>
          <w:color w:val="000000"/>
        </w:rPr>
        <w:t xml:space="preserve">a ausencia de una normatividad provocó graves problemas en la ejecución de las obras y propició divergencias entre los distintos niveles de gobierno en </w:t>
      </w:r>
      <w:r>
        <w:rPr>
          <w:rFonts w:ascii="Century Gothic" w:hAnsi="Century Gothic"/>
          <w:color w:val="000000"/>
        </w:rPr>
        <w:lastRenderedPageBreak/>
        <w:t>la interpretación de la Ley; pero, sobre todo, dificultó el cumplimiento de los objetivos para los cuales fueron creados los fondos, disminuyendo el impacto en el abatimiento de la pobreza e, incluso, desalentando la realización de proyectos y obras de escala regional, acciones sustantivas para el desarrollo integral del país. En consecuencia, no se trata solamente de un asunto de finanzas públicas estatales o municipales, sino de un aspecto eminentemente social y político.</w:t>
      </w:r>
    </w:p>
    <w:p w14:paraId="5C842078" w14:textId="77777777" w:rsidR="00175E1A" w:rsidRDefault="00175E1A" w:rsidP="00175E1A">
      <w:pPr>
        <w:autoSpaceDE w:val="0"/>
        <w:spacing w:after="240" w:line="276" w:lineRule="auto"/>
        <w:jc w:val="both"/>
      </w:pPr>
      <w:r>
        <w:rPr>
          <w:rFonts w:ascii="Century Gothic" w:hAnsi="Century Gothic"/>
          <w:color w:val="000000"/>
        </w:rPr>
        <w:t xml:space="preserve">Esta situación se mantuvo hasta el </w:t>
      </w:r>
      <w:r>
        <w:rPr>
          <w:rFonts w:ascii="Century Gothic" w:hAnsi="Century Gothic"/>
          <w:b/>
          <w:bCs/>
          <w:color w:val="000000"/>
        </w:rPr>
        <w:t>14 de febrero de 2014</w:t>
      </w:r>
      <w:r>
        <w:rPr>
          <w:rFonts w:ascii="Century Gothic" w:hAnsi="Century Gothic"/>
          <w:bCs/>
          <w:color w:val="000000"/>
        </w:rPr>
        <w:t xml:space="preserve">, </w:t>
      </w:r>
      <w:r>
        <w:rPr>
          <w:rFonts w:ascii="Century Gothic" w:hAnsi="Century Gothic"/>
          <w:color w:val="000000"/>
        </w:rPr>
        <w:t xml:space="preserve">fecha en que se publican en el Diario Oficial de la Federación, los primeros </w:t>
      </w:r>
      <w:r>
        <w:rPr>
          <w:rFonts w:ascii="Century Gothic" w:hAnsi="Century Gothic"/>
          <w:b/>
          <w:bCs/>
          <w:i/>
          <w:iCs/>
          <w:color w:val="000000"/>
        </w:rPr>
        <w:t>Lineamientos Generales para la Operación del Fondo de Aportaciones para la Infraestructura Social</w:t>
      </w:r>
      <w:r>
        <w:rPr>
          <w:rFonts w:ascii="Century Gothic" w:hAnsi="Century Gothic"/>
        </w:rPr>
        <w:t>. En estos se especifican</w:t>
      </w:r>
      <w:r>
        <w:rPr>
          <w:rFonts w:ascii="Century Gothic" w:hAnsi="Century Gothic"/>
          <w:color w:val="000000"/>
        </w:rPr>
        <w:t xml:space="preserve"> principios, ámbito de aplicación, uso, población objetivo y tipos de proyectos bajo los que deberá regirse la operación del fondo, así como las obligaciones de cada dependencia involucrada y los procedimientos de seguimiento y evaluación.</w:t>
      </w:r>
    </w:p>
    <w:p w14:paraId="53DE7488" w14:textId="77777777" w:rsidR="00175E1A" w:rsidRDefault="00175E1A" w:rsidP="00175E1A">
      <w:pPr>
        <w:autoSpaceDE w:val="0"/>
        <w:spacing w:after="240" w:line="276" w:lineRule="auto"/>
        <w:jc w:val="both"/>
      </w:pPr>
      <w:r>
        <w:rPr>
          <w:rFonts w:ascii="Century Gothic" w:hAnsi="Century Gothic"/>
          <w:color w:val="000000"/>
        </w:rPr>
        <w:t xml:space="preserve">De esta forma, el FAIS y, por ende, el FISE ha pasado de tener una regulación mínima en la LCF y los lineamientos del Ramo 33, a una normatividad detallada y específica en unos Lineamientos generales que desarrollan instrumentos específicos para que los entes involucrados en la operación de estos recursos sean capaces de orientar con mayor asertividad la inversión para combatir la pobreza. </w:t>
      </w:r>
    </w:p>
    <w:p w14:paraId="1829768D" w14:textId="77777777" w:rsidR="00175E1A" w:rsidRDefault="00175E1A" w:rsidP="00175E1A">
      <w:pPr>
        <w:autoSpaceDE w:val="0"/>
        <w:spacing w:after="240" w:line="276" w:lineRule="auto"/>
        <w:jc w:val="both"/>
      </w:pPr>
      <w:r>
        <w:rPr>
          <w:rFonts w:ascii="Century Gothic" w:hAnsi="Century Gothic"/>
          <w:color w:val="000000"/>
        </w:rPr>
        <w:t xml:space="preserve">En consonancia a la exigencia que orienta al ejercicio presupuestario a contribuir al desarrollo social,  y de conformidad con el artículo 33 de la Ley de Coordinación Fiscal, los recursos que con cargo al Fondo de Aportaciones para la Infraestructura Social —que contiene a los fondos de carácter estatal (FISE) y los de carácter municipal (FISM)— reciban las entidades, los municipios y las demarcaciones territoriales, se destinarán exclusivamente al financiamiento de obras, acciones sociales básicas y a inversiones </w:t>
      </w:r>
      <w:r>
        <w:rPr>
          <w:rFonts w:ascii="Century Gothic" w:hAnsi="Century Gothic"/>
          <w:b/>
          <w:bCs/>
          <w:i/>
          <w:color w:val="000000"/>
        </w:rPr>
        <w:t>que beneficien directamente a población en pobreza extrema, localidades con alto o muy alto nivel de rezago social</w:t>
      </w:r>
      <w:r>
        <w:rPr>
          <w:rFonts w:ascii="Century Gothic" w:hAnsi="Century Gothic"/>
          <w:color w:val="000000"/>
        </w:rPr>
        <w:t xml:space="preserve"> conforme a lo previsto en la Ley General de Desarrollo Social y en las Zonas de Atención Prioritaria (ZAP).</w:t>
      </w:r>
    </w:p>
    <w:p w14:paraId="09B5BD58" w14:textId="77777777" w:rsidR="00175E1A" w:rsidRPr="00A12582" w:rsidRDefault="00175E1A" w:rsidP="00175E1A">
      <w:pPr>
        <w:autoSpaceDE w:val="0"/>
        <w:spacing w:after="240" w:line="276" w:lineRule="auto"/>
        <w:jc w:val="both"/>
        <w:rPr>
          <w:rFonts w:ascii="Century Gothic" w:hAnsi="Century Gothic"/>
          <w:color w:val="000000"/>
        </w:rPr>
      </w:pPr>
      <w:r>
        <w:rPr>
          <w:rFonts w:ascii="Century Gothic" w:hAnsi="Century Gothic"/>
          <w:color w:val="000000"/>
        </w:rPr>
        <w:t xml:space="preserve">En </w:t>
      </w:r>
      <w:r w:rsidRPr="00A12582">
        <w:rPr>
          <w:rFonts w:ascii="Century Gothic" w:hAnsi="Century Gothic"/>
          <w:color w:val="000000"/>
        </w:rPr>
        <w:t xml:space="preserve">conformidad con el artículo 33 de la LCF, los rubros de </w:t>
      </w:r>
      <w:r w:rsidR="00A12582" w:rsidRPr="00A12582">
        <w:rPr>
          <w:rFonts w:ascii="Century Gothic" w:hAnsi="Century Gothic"/>
          <w:color w:val="000000"/>
        </w:rPr>
        <w:t>inversión previstos para el FISE</w:t>
      </w:r>
      <w:r w:rsidRPr="00A12582">
        <w:rPr>
          <w:rFonts w:ascii="Century Gothic" w:hAnsi="Century Gothic"/>
          <w:color w:val="000000"/>
        </w:rPr>
        <w:t xml:space="preserve"> son: </w:t>
      </w:r>
      <w:r w:rsidR="00A12582" w:rsidRPr="00A12582">
        <w:rPr>
          <w:rFonts w:ascii="Century Gothic" w:hAnsi="Century Gothic"/>
          <w:b/>
          <w:color w:val="000000"/>
        </w:rPr>
        <w:t>obras y acciones que beneficien</w:t>
      </w:r>
      <w:r w:rsidR="00A12582" w:rsidRPr="00A12582">
        <w:rPr>
          <w:rFonts w:ascii="Century Gothic" w:hAnsi="Century Gothic"/>
          <w:color w:val="000000"/>
        </w:rPr>
        <w:t xml:space="preserve"> preferentemente a la población de los municipios, demarcaciones territoriales y localidades que presenten </w:t>
      </w:r>
      <w:r w:rsidR="00A12582" w:rsidRPr="00A12582">
        <w:rPr>
          <w:rFonts w:ascii="Century Gothic" w:hAnsi="Century Gothic"/>
          <w:b/>
          <w:color w:val="000000"/>
        </w:rPr>
        <w:t>mayores niveles de rezago social y pobreza extrema</w:t>
      </w:r>
      <w:r w:rsidR="00A12582" w:rsidRPr="00A12582">
        <w:rPr>
          <w:rFonts w:ascii="Century Gothic" w:hAnsi="Century Gothic"/>
          <w:color w:val="000000"/>
        </w:rPr>
        <w:t xml:space="preserve"> en la entidad</w:t>
      </w:r>
      <w:r w:rsidRPr="00A12582">
        <w:rPr>
          <w:rFonts w:ascii="Century Gothic" w:hAnsi="Century Gothic"/>
          <w:color w:val="000000"/>
        </w:rPr>
        <w:t>.</w:t>
      </w:r>
      <w:r w:rsidR="00A12582">
        <w:rPr>
          <w:rFonts w:ascii="Century Gothic" w:hAnsi="Century Gothic"/>
          <w:color w:val="000000"/>
        </w:rPr>
        <w:t xml:space="preserve"> (LCF, 2016).</w:t>
      </w:r>
    </w:p>
    <w:p w14:paraId="1C2D7C56" w14:textId="77777777" w:rsidR="00175E1A" w:rsidRDefault="00175E1A" w:rsidP="00175E1A">
      <w:pPr>
        <w:autoSpaceDE w:val="0"/>
        <w:spacing w:after="240" w:line="276" w:lineRule="auto"/>
        <w:jc w:val="both"/>
      </w:pPr>
      <w:r>
        <w:rPr>
          <w:rFonts w:ascii="Century Gothic" w:hAnsi="Century Gothic"/>
          <w:bCs/>
          <w:color w:val="000000"/>
        </w:rPr>
        <w:lastRenderedPageBreak/>
        <w:t xml:space="preserve">Además, </w:t>
      </w:r>
      <w:r>
        <w:rPr>
          <w:rFonts w:ascii="Century Gothic" w:hAnsi="Century Gothic"/>
          <w:color w:val="000000"/>
        </w:rPr>
        <w:t>los lineamientos del FAIS se caracterizan por establecer criterios claros y específicos para la correcta focalización de la inversión, en este sentido, el Informe Anual sobre la Situación de Pobreza y Rezago Social (IASSPRZ) es el instrumento que orienta la planificación de la inversión.</w:t>
      </w:r>
    </w:p>
    <w:p w14:paraId="1807BEE5" w14:textId="77777777" w:rsidR="00175E1A" w:rsidRDefault="00175E1A" w:rsidP="00175E1A">
      <w:pPr>
        <w:autoSpaceDE w:val="0"/>
        <w:spacing w:after="240" w:line="276" w:lineRule="auto"/>
        <w:jc w:val="both"/>
        <w:rPr>
          <w:rFonts w:ascii="Century Gothic" w:hAnsi="Century Gothic"/>
          <w:color w:val="000000"/>
        </w:rPr>
      </w:pPr>
      <w:r>
        <w:rPr>
          <w:rFonts w:ascii="Century Gothic" w:hAnsi="Century Gothic"/>
          <w:color w:val="000000"/>
        </w:rPr>
        <w:t xml:space="preserve">El informe sintetiza información estadística oficial reciente de cada entidad federativa, municipios y demarcaciones territoriales que componen el país, sobre: evolución de los indicadores de pobreza asociados a las carencias sociales, resultados en materia de rezago social y cambios en la determinación de las Zonas de Atención Prioritaria. </w:t>
      </w:r>
    </w:p>
    <w:p w14:paraId="7C330DE3" w14:textId="77777777" w:rsidR="00175E1A" w:rsidRDefault="00175E1A" w:rsidP="00175E1A">
      <w:pPr>
        <w:autoSpaceDE w:val="0"/>
        <w:spacing w:after="240" w:line="276" w:lineRule="auto"/>
        <w:jc w:val="both"/>
      </w:pPr>
      <w:r>
        <w:rPr>
          <w:rFonts w:ascii="Century Gothic" w:hAnsi="Century Gothic"/>
          <w:color w:val="000000"/>
        </w:rPr>
        <w:t>Éste debe ser publicado por SEDESOL, a más tardar el último día hábil de Enero del año fiscal correspondiente</w:t>
      </w:r>
      <w:r>
        <w:rPr>
          <w:rFonts w:ascii="Century Gothic" w:hAnsi="Century Gothic"/>
          <w:color w:val="000000"/>
          <w:vertAlign w:val="superscript"/>
        </w:rPr>
        <w:footnoteReference w:id="5"/>
      </w:r>
      <w:r>
        <w:rPr>
          <w:rFonts w:ascii="Century Gothic" w:hAnsi="Century Gothic"/>
          <w:color w:val="000000"/>
        </w:rPr>
        <w:t>.</w:t>
      </w:r>
    </w:p>
    <w:p w14:paraId="4DA8AE3B" w14:textId="77777777" w:rsidR="00175E1A" w:rsidRDefault="00175E1A" w:rsidP="008723D4">
      <w:pPr>
        <w:spacing w:after="240" w:line="276" w:lineRule="auto"/>
        <w:jc w:val="both"/>
      </w:pPr>
      <w:r>
        <w:rPr>
          <w:rFonts w:ascii="Century Gothic" w:hAnsi="Century Gothic"/>
          <w:color w:val="000000"/>
        </w:rPr>
        <w:t xml:space="preserve">La creación de los Lineamientos Generales para la Operación del Fondo de Aportaciones para la Infraestructura Social es un hito dentro de los esfuerzos de la Federación por elaborar una legislación completa y precisa para la correcta y adecuada operación de los fondos que componen las </w:t>
      </w:r>
      <w:r>
        <w:rPr>
          <w:rFonts w:ascii="Century Gothic" w:hAnsi="Century Gothic"/>
          <w:i/>
          <w:iCs/>
          <w:color w:val="000000"/>
        </w:rPr>
        <w:t xml:space="preserve">aportaciones a entidades federativas y municipios. </w:t>
      </w:r>
    </w:p>
    <w:p w14:paraId="5B30F582" w14:textId="77777777" w:rsidR="008723D4" w:rsidRPr="008723D4" w:rsidRDefault="008723D4" w:rsidP="008723D4">
      <w:pPr>
        <w:pStyle w:val="Ttulo2"/>
        <w:spacing w:before="0" w:after="240" w:line="276" w:lineRule="auto"/>
        <w:rPr>
          <w:rFonts w:ascii="Century Gothic" w:hAnsi="Century Gothic"/>
          <w:color w:val="0E4E7A"/>
          <w:sz w:val="24"/>
        </w:rPr>
      </w:pPr>
      <w:bookmarkStart w:id="22" w:name="_Toc437784055"/>
      <w:bookmarkStart w:id="23" w:name="_Toc464206546"/>
      <w:bookmarkStart w:id="24" w:name="_Toc466910739"/>
      <w:bookmarkStart w:id="25" w:name="_Toc478667634"/>
      <w:bookmarkStart w:id="26" w:name="_Toc486597067"/>
      <w:bookmarkStart w:id="27" w:name="_Toc488158783"/>
      <w:bookmarkStart w:id="28" w:name="_Toc488267681"/>
      <w:bookmarkStart w:id="29" w:name="_Toc488411663"/>
      <w:bookmarkStart w:id="30" w:name="_Toc488753791"/>
      <w:bookmarkStart w:id="31" w:name="_Toc503362421"/>
      <w:bookmarkStart w:id="32" w:name="_Toc511236520"/>
      <w:r>
        <w:rPr>
          <w:rFonts w:ascii="Century Gothic" w:hAnsi="Century Gothic"/>
          <w:color w:val="0E4E7A"/>
          <w:sz w:val="24"/>
        </w:rPr>
        <w:t>2</w:t>
      </w:r>
      <w:r w:rsidRPr="008723D4">
        <w:rPr>
          <w:rFonts w:ascii="Century Gothic" w:hAnsi="Century Gothic"/>
          <w:color w:val="0E4E7A"/>
          <w:sz w:val="24"/>
        </w:rPr>
        <w:t>.3. Evolución de los Lineamientos del FAIS (2014-2016)</w:t>
      </w:r>
      <w:bookmarkEnd w:id="22"/>
      <w:bookmarkEnd w:id="23"/>
      <w:bookmarkEnd w:id="24"/>
      <w:bookmarkEnd w:id="25"/>
      <w:bookmarkEnd w:id="26"/>
      <w:bookmarkEnd w:id="27"/>
      <w:bookmarkEnd w:id="28"/>
      <w:bookmarkEnd w:id="29"/>
      <w:bookmarkEnd w:id="30"/>
      <w:bookmarkEnd w:id="31"/>
      <w:bookmarkEnd w:id="32"/>
    </w:p>
    <w:p w14:paraId="00476189" w14:textId="77777777" w:rsidR="00CB1B72" w:rsidRDefault="00CB1B72" w:rsidP="00676826">
      <w:pPr>
        <w:autoSpaceDE w:val="0"/>
        <w:spacing w:after="240" w:line="276" w:lineRule="auto"/>
        <w:jc w:val="both"/>
        <w:rPr>
          <w:rFonts w:ascii="Century Gothic" w:hAnsi="Century Gothic"/>
          <w:color w:val="000000"/>
        </w:rPr>
      </w:pPr>
      <w:r>
        <w:rPr>
          <w:rFonts w:ascii="Century Gothic" w:hAnsi="Century Gothic"/>
          <w:color w:val="000000"/>
        </w:rPr>
        <w:t xml:space="preserve">El 14 de febrero, se publican en el DOF, los primero Lineamientos Generales para la Operación del FAIS, sin embargo el </w:t>
      </w:r>
      <w:r>
        <w:rPr>
          <w:rFonts w:ascii="Century Gothic" w:hAnsi="Century Gothic"/>
          <w:b/>
          <w:bCs/>
          <w:color w:val="000000"/>
        </w:rPr>
        <w:t>13 de mayo de 2014</w:t>
      </w:r>
      <w:r>
        <w:rPr>
          <w:rFonts w:ascii="Century Gothic" w:hAnsi="Century Gothic"/>
          <w:color w:val="000000"/>
        </w:rPr>
        <w:t xml:space="preserve"> se publicó una </w:t>
      </w:r>
      <w:r>
        <w:rPr>
          <w:rFonts w:ascii="Century Gothic" w:hAnsi="Century Gothic"/>
          <w:b/>
          <w:bCs/>
          <w:color w:val="000000"/>
        </w:rPr>
        <w:t xml:space="preserve">modificación, </w:t>
      </w:r>
      <w:r>
        <w:rPr>
          <w:rFonts w:ascii="Century Gothic" w:hAnsi="Century Gothic"/>
        </w:rPr>
        <w:t xml:space="preserve">que afectó elementos muy precisos en cuanto al destino de los recursos, pues estos eran más </w:t>
      </w:r>
      <w:r>
        <w:rPr>
          <w:rFonts w:ascii="Century Gothic" w:hAnsi="Century Gothic"/>
          <w:color w:val="000000"/>
        </w:rPr>
        <w:t>específicos en algunos temas referentes a utilización de los recursos, realización, clasificación, revisión y seguimiento de los proyectos y de las responsabilidades de las entidades y municipios.</w:t>
      </w:r>
    </w:p>
    <w:p w14:paraId="4D75680F" w14:textId="77777777" w:rsidR="00A22359" w:rsidRDefault="00A22359" w:rsidP="00676826">
      <w:pPr>
        <w:autoSpaceDE w:val="0"/>
        <w:spacing w:after="240" w:line="276" w:lineRule="auto"/>
        <w:jc w:val="both"/>
        <w:rPr>
          <w:rFonts w:ascii="Century Gothic" w:hAnsi="Century Gothic"/>
          <w:color w:val="000000"/>
        </w:rPr>
      </w:pPr>
      <w:r>
        <w:rPr>
          <w:rFonts w:ascii="Century Gothic" w:hAnsi="Century Gothic"/>
          <w:color w:val="000000"/>
        </w:rPr>
        <w:t>El dinamismo en los cambios de estos lineamientos manifiesta un esfuerzo por acotar con la mayor precisión posible el uso de los recursos de este Fondo. De tal modo que estos cambios, más que señalar innovaciones legales, son ajustes de precisión que sugieren un seguimiento puntual por parte de las autoridades responsa</w:t>
      </w:r>
      <w:r w:rsidR="00DD3150">
        <w:rPr>
          <w:rFonts w:ascii="Century Gothic" w:hAnsi="Century Gothic"/>
          <w:color w:val="000000"/>
        </w:rPr>
        <w:t>bles del funcionamiento del FISE</w:t>
      </w:r>
      <w:r>
        <w:rPr>
          <w:rFonts w:ascii="Century Gothic" w:hAnsi="Century Gothic"/>
          <w:color w:val="000000"/>
        </w:rPr>
        <w:t>.</w:t>
      </w:r>
    </w:p>
    <w:p w14:paraId="2C25F67F" w14:textId="77777777" w:rsidR="00CB1B72" w:rsidRPr="00676826" w:rsidRDefault="00676826" w:rsidP="00CB1B72">
      <w:pPr>
        <w:autoSpaceDE w:val="0"/>
        <w:spacing w:after="240" w:line="276" w:lineRule="auto"/>
        <w:jc w:val="both"/>
        <w:rPr>
          <w:rFonts w:ascii="Century Gothic" w:hAnsi="Century Gothic"/>
          <w:color w:val="000000"/>
        </w:rPr>
      </w:pPr>
      <w:r w:rsidRPr="00676826">
        <w:rPr>
          <w:rFonts w:ascii="Century Gothic" w:hAnsi="Century Gothic"/>
          <w:color w:val="000000"/>
        </w:rPr>
        <w:lastRenderedPageBreak/>
        <w:t>En el siguiente cuadro podemos observar cuales fueron los principales cambios que se han dado en los lineamientos en lo que respecta al FISE de 2014 a 2016:</w:t>
      </w:r>
    </w:p>
    <w:tbl>
      <w:tblPr>
        <w:tblStyle w:val="Tablaconcuadrcula"/>
        <w:tblW w:w="0" w:type="auto"/>
        <w:tblLook w:val="04A0" w:firstRow="1" w:lastRow="0" w:firstColumn="1" w:lastColumn="0" w:noHBand="0" w:noVBand="1"/>
      </w:tblPr>
      <w:tblGrid>
        <w:gridCol w:w="1668"/>
        <w:gridCol w:w="2976"/>
        <w:gridCol w:w="2694"/>
        <w:gridCol w:w="1716"/>
      </w:tblGrid>
      <w:tr w:rsidR="00676826" w:rsidRPr="00676826" w14:paraId="691B0833" w14:textId="77777777" w:rsidTr="007877B1">
        <w:trPr>
          <w:trHeight w:val="342"/>
          <w:tblHeader/>
        </w:trPr>
        <w:tc>
          <w:tcPr>
            <w:tcW w:w="9054" w:type="dxa"/>
            <w:gridSpan w:val="4"/>
            <w:shd w:val="clear" w:color="auto" w:fill="0E4E7A"/>
            <w:vAlign w:val="center"/>
          </w:tcPr>
          <w:p w14:paraId="476E2F57" w14:textId="77777777" w:rsidR="00676826" w:rsidRPr="00676826" w:rsidRDefault="004D49BD" w:rsidP="005E0431">
            <w:pPr>
              <w:jc w:val="center"/>
              <w:rPr>
                <w:rFonts w:cstheme="minorHAnsi"/>
                <w:b/>
                <w:color w:val="FFFFFF" w:themeColor="background1"/>
                <w:sz w:val="20"/>
                <w:szCs w:val="20"/>
              </w:rPr>
            </w:pPr>
            <w:r>
              <w:rPr>
                <w:rFonts w:cstheme="minorHAnsi"/>
                <w:b/>
                <w:color w:val="FFFFFF" w:themeColor="background1"/>
                <w:szCs w:val="20"/>
              </w:rPr>
              <w:t>Cuadro 2.2</w:t>
            </w:r>
            <w:r w:rsidR="00676826" w:rsidRPr="00676826">
              <w:rPr>
                <w:rFonts w:cstheme="minorHAnsi"/>
                <w:b/>
                <w:color w:val="FFFFFF" w:themeColor="background1"/>
                <w:szCs w:val="20"/>
              </w:rPr>
              <w:t xml:space="preserve">. Principales cambios en los Lineamientos del FAIS 2014 </w:t>
            </w:r>
            <w:r>
              <w:rPr>
                <w:rFonts w:cstheme="minorHAnsi"/>
                <w:b/>
                <w:color w:val="FFFFFF" w:themeColor="background1"/>
                <w:szCs w:val="20"/>
              </w:rPr>
              <w:t>–</w:t>
            </w:r>
            <w:r w:rsidR="00676826" w:rsidRPr="00676826">
              <w:rPr>
                <w:rFonts w:cstheme="minorHAnsi"/>
                <w:b/>
                <w:color w:val="FFFFFF" w:themeColor="background1"/>
                <w:szCs w:val="20"/>
              </w:rPr>
              <w:t xml:space="preserve"> 2016</w:t>
            </w:r>
          </w:p>
        </w:tc>
      </w:tr>
      <w:tr w:rsidR="00676826" w:rsidRPr="00676826" w14:paraId="7278A550" w14:textId="77777777" w:rsidTr="007877B1">
        <w:trPr>
          <w:trHeight w:val="290"/>
          <w:tblHeader/>
        </w:trPr>
        <w:tc>
          <w:tcPr>
            <w:tcW w:w="1668" w:type="dxa"/>
            <w:shd w:val="clear" w:color="auto" w:fill="0E4E7A"/>
            <w:vAlign w:val="center"/>
          </w:tcPr>
          <w:p w14:paraId="4D16866F" w14:textId="77777777" w:rsidR="00676826" w:rsidRPr="00676826" w:rsidRDefault="00676826" w:rsidP="005E0431">
            <w:pPr>
              <w:jc w:val="center"/>
              <w:rPr>
                <w:rFonts w:cstheme="minorHAnsi"/>
                <w:b/>
                <w:color w:val="FFFFFF" w:themeColor="background1"/>
                <w:sz w:val="20"/>
                <w:szCs w:val="20"/>
              </w:rPr>
            </w:pPr>
            <w:r w:rsidRPr="00676826">
              <w:rPr>
                <w:rFonts w:cstheme="minorHAnsi"/>
                <w:b/>
                <w:color w:val="FFFFFF" w:themeColor="background1"/>
                <w:sz w:val="20"/>
                <w:szCs w:val="20"/>
              </w:rPr>
              <w:t>Numeral</w:t>
            </w:r>
          </w:p>
        </w:tc>
        <w:tc>
          <w:tcPr>
            <w:tcW w:w="2976" w:type="dxa"/>
            <w:shd w:val="clear" w:color="auto" w:fill="0E4E7A"/>
            <w:vAlign w:val="center"/>
          </w:tcPr>
          <w:p w14:paraId="74303E77" w14:textId="77777777" w:rsidR="00676826" w:rsidRPr="00676826" w:rsidRDefault="00676826" w:rsidP="005E0431">
            <w:pPr>
              <w:jc w:val="center"/>
              <w:rPr>
                <w:rFonts w:cstheme="minorHAnsi"/>
                <w:b/>
                <w:color w:val="FFFFFF" w:themeColor="background1"/>
                <w:sz w:val="20"/>
                <w:szCs w:val="20"/>
              </w:rPr>
            </w:pPr>
            <w:r w:rsidRPr="00676826">
              <w:rPr>
                <w:rFonts w:cstheme="minorHAnsi"/>
                <w:b/>
                <w:color w:val="FFFFFF" w:themeColor="background1"/>
                <w:sz w:val="20"/>
                <w:szCs w:val="20"/>
              </w:rPr>
              <w:t>2014 (Mayo)</w:t>
            </w:r>
          </w:p>
        </w:tc>
        <w:tc>
          <w:tcPr>
            <w:tcW w:w="2694" w:type="dxa"/>
            <w:shd w:val="clear" w:color="auto" w:fill="0E4E7A"/>
            <w:vAlign w:val="center"/>
          </w:tcPr>
          <w:p w14:paraId="79D95BE1" w14:textId="77777777" w:rsidR="00676826" w:rsidRPr="00676826" w:rsidRDefault="00676826" w:rsidP="005E0431">
            <w:pPr>
              <w:jc w:val="center"/>
              <w:rPr>
                <w:rFonts w:cstheme="minorHAnsi"/>
                <w:b/>
                <w:color w:val="FFFFFF" w:themeColor="background1"/>
                <w:sz w:val="20"/>
                <w:szCs w:val="20"/>
              </w:rPr>
            </w:pPr>
            <w:r w:rsidRPr="00676826">
              <w:rPr>
                <w:rFonts w:cstheme="minorHAnsi"/>
                <w:b/>
                <w:color w:val="FFFFFF" w:themeColor="background1"/>
                <w:sz w:val="20"/>
                <w:szCs w:val="20"/>
              </w:rPr>
              <w:t>2015</w:t>
            </w:r>
          </w:p>
        </w:tc>
        <w:tc>
          <w:tcPr>
            <w:tcW w:w="1716" w:type="dxa"/>
            <w:shd w:val="clear" w:color="auto" w:fill="0E4E7A"/>
            <w:vAlign w:val="center"/>
          </w:tcPr>
          <w:p w14:paraId="22A6C24C" w14:textId="77777777" w:rsidR="00676826" w:rsidRPr="00676826" w:rsidRDefault="00676826" w:rsidP="005E0431">
            <w:pPr>
              <w:jc w:val="center"/>
              <w:rPr>
                <w:rFonts w:cstheme="minorHAnsi"/>
                <w:b/>
                <w:color w:val="FFFFFF" w:themeColor="background1"/>
                <w:sz w:val="20"/>
                <w:szCs w:val="20"/>
              </w:rPr>
            </w:pPr>
            <w:r w:rsidRPr="00676826">
              <w:rPr>
                <w:rFonts w:cstheme="minorHAnsi"/>
                <w:b/>
                <w:color w:val="FFFFFF" w:themeColor="background1"/>
                <w:sz w:val="20"/>
                <w:szCs w:val="20"/>
              </w:rPr>
              <w:t>2016</w:t>
            </w:r>
          </w:p>
        </w:tc>
      </w:tr>
      <w:tr w:rsidR="00676826" w:rsidRPr="00676826" w14:paraId="7054FF1C" w14:textId="77777777" w:rsidTr="005E0431">
        <w:tc>
          <w:tcPr>
            <w:tcW w:w="1668" w:type="dxa"/>
          </w:tcPr>
          <w:p w14:paraId="196AE7C0" w14:textId="77777777" w:rsidR="00676826" w:rsidRPr="00676826" w:rsidRDefault="00676826" w:rsidP="005E0431">
            <w:pPr>
              <w:rPr>
                <w:rFonts w:cstheme="minorHAnsi"/>
                <w:sz w:val="20"/>
                <w:szCs w:val="20"/>
              </w:rPr>
            </w:pPr>
            <w:r w:rsidRPr="00676826">
              <w:rPr>
                <w:rFonts w:cstheme="minorHAnsi"/>
                <w:sz w:val="20"/>
                <w:szCs w:val="20"/>
              </w:rPr>
              <w:t>2.2 Uso de los Recursos del FAIS</w:t>
            </w:r>
          </w:p>
        </w:tc>
        <w:tc>
          <w:tcPr>
            <w:tcW w:w="2976" w:type="dxa"/>
            <w:vAlign w:val="center"/>
          </w:tcPr>
          <w:p w14:paraId="354963A1" w14:textId="77777777" w:rsidR="00676826" w:rsidRPr="00676826" w:rsidRDefault="00676826" w:rsidP="005E0431">
            <w:pPr>
              <w:jc w:val="both"/>
              <w:rPr>
                <w:rFonts w:cstheme="minorHAnsi"/>
                <w:sz w:val="20"/>
                <w:szCs w:val="20"/>
              </w:rPr>
            </w:pPr>
            <w:r w:rsidRPr="00676826">
              <w:rPr>
                <w:rFonts w:cstheme="minorHAnsi"/>
                <w:sz w:val="20"/>
                <w:szCs w:val="20"/>
              </w:rPr>
              <w:t>Uso del Informe Anual</w:t>
            </w:r>
          </w:p>
        </w:tc>
        <w:tc>
          <w:tcPr>
            <w:tcW w:w="2694" w:type="dxa"/>
            <w:vAlign w:val="center"/>
          </w:tcPr>
          <w:p w14:paraId="5B7FD7C7" w14:textId="77777777" w:rsidR="00676826" w:rsidRPr="00676826" w:rsidRDefault="00676826" w:rsidP="00676826">
            <w:pPr>
              <w:pStyle w:val="Prrafodelista"/>
              <w:numPr>
                <w:ilvl w:val="0"/>
                <w:numId w:val="10"/>
              </w:numPr>
              <w:jc w:val="center"/>
              <w:rPr>
                <w:rFonts w:cstheme="minorHAnsi"/>
                <w:sz w:val="20"/>
                <w:szCs w:val="20"/>
              </w:rPr>
            </w:pPr>
          </w:p>
        </w:tc>
        <w:tc>
          <w:tcPr>
            <w:tcW w:w="1716" w:type="dxa"/>
            <w:vAlign w:val="center"/>
          </w:tcPr>
          <w:p w14:paraId="5285C149" w14:textId="77777777" w:rsidR="00676826" w:rsidRPr="00676826" w:rsidRDefault="00676826" w:rsidP="00676826">
            <w:pPr>
              <w:pStyle w:val="Prrafodelista"/>
              <w:numPr>
                <w:ilvl w:val="0"/>
                <w:numId w:val="10"/>
              </w:numPr>
              <w:jc w:val="center"/>
              <w:rPr>
                <w:rFonts w:cstheme="minorHAnsi"/>
                <w:sz w:val="20"/>
                <w:szCs w:val="20"/>
              </w:rPr>
            </w:pPr>
          </w:p>
        </w:tc>
      </w:tr>
      <w:tr w:rsidR="00676826" w:rsidRPr="00676826" w14:paraId="123A0870" w14:textId="77777777" w:rsidTr="005E0431">
        <w:tc>
          <w:tcPr>
            <w:tcW w:w="1668" w:type="dxa"/>
            <w:vMerge w:val="restart"/>
            <w:vAlign w:val="center"/>
          </w:tcPr>
          <w:p w14:paraId="07CBBD1A" w14:textId="77777777" w:rsidR="00676826" w:rsidRPr="00676826" w:rsidRDefault="00676826" w:rsidP="005E0431">
            <w:pPr>
              <w:jc w:val="center"/>
              <w:rPr>
                <w:rFonts w:cstheme="minorHAnsi"/>
                <w:sz w:val="20"/>
                <w:szCs w:val="20"/>
              </w:rPr>
            </w:pPr>
            <w:r w:rsidRPr="00676826">
              <w:rPr>
                <w:rFonts w:cstheme="minorHAnsi"/>
                <w:sz w:val="20"/>
                <w:szCs w:val="20"/>
              </w:rPr>
              <w:t>2.3. Proyectos FAIS</w:t>
            </w:r>
          </w:p>
          <w:p w14:paraId="2E223F86" w14:textId="77777777" w:rsidR="00676826" w:rsidRPr="00676826" w:rsidRDefault="00676826" w:rsidP="005E0431">
            <w:pPr>
              <w:jc w:val="center"/>
              <w:rPr>
                <w:rFonts w:cstheme="minorHAnsi"/>
                <w:sz w:val="20"/>
                <w:szCs w:val="20"/>
              </w:rPr>
            </w:pPr>
            <w:r w:rsidRPr="00676826">
              <w:rPr>
                <w:rFonts w:cstheme="minorHAnsi"/>
                <w:sz w:val="20"/>
                <w:szCs w:val="20"/>
              </w:rPr>
              <w:t>A. Para la realización de proyectos con recursos del FISE</w:t>
            </w:r>
          </w:p>
        </w:tc>
        <w:tc>
          <w:tcPr>
            <w:tcW w:w="2976" w:type="dxa"/>
          </w:tcPr>
          <w:p w14:paraId="72EBD08B" w14:textId="77777777" w:rsidR="00676826" w:rsidRPr="00676826" w:rsidRDefault="00676826" w:rsidP="005E0431">
            <w:pPr>
              <w:jc w:val="both"/>
              <w:rPr>
                <w:rFonts w:cstheme="minorHAnsi"/>
                <w:sz w:val="20"/>
                <w:szCs w:val="20"/>
              </w:rPr>
            </w:pPr>
            <w:r w:rsidRPr="00676826">
              <w:rPr>
                <w:rFonts w:cstheme="minorHAnsi"/>
                <w:sz w:val="20"/>
                <w:szCs w:val="20"/>
              </w:rPr>
              <w:t xml:space="preserve">I. Al menos el </w:t>
            </w:r>
            <w:r w:rsidRPr="00676826">
              <w:rPr>
                <w:rFonts w:cstheme="minorHAnsi"/>
                <w:b/>
                <w:sz w:val="20"/>
                <w:szCs w:val="20"/>
              </w:rPr>
              <w:t>70%</w:t>
            </w:r>
            <w:r w:rsidRPr="00676826">
              <w:rPr>
                <w:rFonts w:cstheme="minorHAnsi"/>
                <w:sz w:val="20"/>
                <w:szCs w:val="20"/>
              </w:rPr>
              <w:t xml:space="preserve"> de los recursos del FISE deberán invertirse en las </w:t>
            </w:r>
            <w:r w:rsidRPr="00676826">
              <w:rPr>
                <w:rFonts w:cstheme="minorHAnsi"/>
                <w:b/>
                <w:sz w:val="20"/>
                <w:szCs w:val="20"/>
              </w:rPr>
              <w:t>ZAP</w:t>
            </w:r>
            <w:r w:rsidRPr="00676826">
              <w:rPr>
                <w:rFonts w:cstheme="minorHAnsi"/>
                <w:sz w:val="20"/>
                <w:szCs w:val="20"/>
              </w:rPr>
              <w:t>, ya sean urbanas o rurales</w:t>
            </w:r>
          </w:p>
        </w:tc>
        <w:tc>
          <w:tcPr>
            <w:tcW w:w="2694" w:type="dxa"/>
          </w:tcPr>
          <w:p w14:paraId="5BAC4EAB" w14:textId="77777777" w:rsidR="00676826" w:rsidRPr="00676826" w:rsidRDefault="00676826" w:rsidP="005E0431">
            <w:pPr>
              <w:jc w:val="both"/>
              <w:rPr>
                <w:rFonts w:cstheme="minorHAnsi"/>
                <w:sz w:val="20"/>
                <w:szCs w:val="20"/>
              </w:rPr>
            </w:pPr>
            <w:r w:rsidRPr="00676826">
              <w:rPr>
                <w:rFonts w:cstheme="minorHAnsi"/>
                <w:sz w:val="20"/>
                <w:szCs w:val="20"/>
              </w:rPr>
              <w:t xml:space="preserve">I. Al menos el </w:t>
            </w:r>
            <w:r w:rsidRPr="00676826">
              <w:rPr>
                <w:rFonts w:cstheme="minorHAnsi"/>
                <w:b/>
                <w:sz w:val="20"/>
                <w:szCs w:val="20"/>
              </w:rPr>
              <w:t xml:space="preserve">50% </w:t>
            </w:r>
            <w:r w:rsidRPr="00676826">
              <w:rPr>
                <w:rFonts w:cstheme="minorHAnsi"/>
                <w:sz w:val="20"/>
                <w:szCs w:val="20"/>
              </w:rPr>
              <w:t xml:space="preserve">de los recursos del FISE deberán invertirse en las </w:t>
            </w:r>
            <w:r w:rsidRPr="00676826">
              <w:rPr>
                <w:rFonts w:cstheme="minorHAnsi"/>
                <w:b/>
                <w:sz w:val="20"/>
                <w:szCs w:val="20"/>
              </w:rPr>
              <w:t>ZAP</w:t>
            </w:r>
            <w:r w:rsidRPr="00676826">
              <w:rPr>
                <w:rFonts w:cstheme="minorHAnsi"/>
                <w:sz w:val="20"/>
                <w:szCs w:val="20"/>
              </w:rPr>
              <w:t>, ya sean urbanas o rurales.</w:t>
            </w:r>
          </w:p>
        </w:tc>
        <w:tc>
          <w:tcPr>
            <w:tcW w:w="1716" w:type="dxa"/>
            <w:vAlign w:val="center"/>
          </w:tcPr>
          <w:p w14:paraId="7C52DECB" w14:textId="77777777" w:rsidR="00676826" w:rsidRPr="00676826" w:rsidRDefault="00676826" w:rsidP="00676826">
            <w:pPr>
              <w:pStyle w:val="Prrafodelista"/>
              <w:numPr>
                <w:ilvl w:val="0"/>
                <w:numId w:val="10"/>
              </w:numPr>
              <w:jc w:val="center"/>
              <w:rPr>
                <w:rFonts w:cstheme="minorHAnsi"/>
                <w:sz w:val="20"/>
                <w:szCs w:val="20"/>
              </w:rPr>
            </w:pPr>
          </w:p>
        </w:tc>
      </w:tr>
      <w:tr w:rsidR="00676826" w:rsidRPr="00676826" w14:paraId="5DBEB5B8" w14:textId="77777777" w:rsidTr="005E0431">
        <w:tc>
          <w:tcPr>
            <w:tcW w:w="1668" w:type="dxa"/>
            <w:vMerge/>
          </w:tcPr>
          <w:p w14:paraId="5762595F" w14:textId="77777777" w:rsidR="00676826" w:rsidRPr="00676826" w:rsidRDefault="00676826" w:rsidP="005E0431">
            <w:pPr>
              <w:rPr>
                <w:rFonts w:cstheme="minorHAnsi"/>
                <w:sz w:val="20"/>
                <w:szCs w:val="20"/>
              </w:rPr>
            </w:pPr>
          </w:p>
        </w:tc>
        <w:tc>
          <w:tcPr>
            <w:tcW w:w="2976" w:type="dxa"/>
          </w:tcPr>
          <w:p w14:paraId="730B838D" w14:textId="77777777" w:rsidR="00676826" w:rsidRPr="00676826" w:rsidRDefault="00676826" w:rsidP="005E0431">
            <w:pPr>
              <w:jc w:val="both"/>
              <w:rPr>
                <w:rFonts w:cstheme="minorHAnsi"/>
                <w:sz w:val="20"/>
                <w:szCs w:val="20"/>
              </w:rPr>
            </w:pPr>
            <w:r w:rsidRPr="00676826">
              <w:rPr>
                <w:rFonts w:cstheme="minorHAnsi"/>
                <w:sz w:val="20"/>
                <w:szCs w:val="20"/>
              </w:rPr>
              <w:t xml:space="preserve">II. El resto de los recursos se invertirá en los municipios con </w:t>
            </w:r>
            <w:r w:rsidRPr="00676826">
              <w:rPr>
                <w:rFonts w:cstheme="minorHAnsi"/>
                <w:b/>
                <w:sz w:val="20"/>
                <w:szCs w:val="20"/>
              </w:rPr>
              <w:t>los dos grados de rezago social más altos</w:t>
            </w:r>
            <w:r w:rsidRPr="00676826">
              <w:rPr>
                <w:rFonts w:cstheme="minorHAnsi"/>
                <w:sz w:val="20"/>
                <w:szCs w:val="20"/>
              </w:rPr>
              <w:t>, o bien, utilizando el criterio de pobreza extrema.</w:t>
            </w:r>
          </w:p>
        </w:tc>
        <w:tc>
          <w:tcPr>
            <w:tcW w:w="2694" w:type="dxa"/>
          </w:tcPr>
          <w:p w14:paraId="1BC2A399" w14:textId="77777777" w:rsidR="00676826" w:rsidRPr="00676826" w:rsidRDefault="00676826" w:rsidP="005E0431">
            <w:pPr>
              <w:jc w:val="both"/>
              <w:rPr>
                <w:rFonts w:cstheme="minorHAnsi"/>
                <w:sz w:val="20"/>
                <w:szCs w:val="20"/>
              </w:rPr>
            </w:pPr>
            <w:r w:rsidRPr="00676826">
              <w:rPr>
                <w:rFonts w:cstheme="minorHAnsi"/>
                <w:sz w:val="20"/>
                <w:szCs w:val="20"/>
              </w:rPr>
              <w:t xml:space="preserve">II. El resto de los recursos se invertirá en los municipios con los </w:t>
            </w:r>
            <w:r w:rsidRPr="00676826">
              <w:rPr>
                <w:rFonts w:cstheme="minorHAnsi"/>
                <w:b/>
                <w:sz w:val="20"/>
                <w:szCs w:val="20"/>
              </w:rPr>
              <w:t>dos mayores grados de rezago</w:t>
            </w:r>
            <w:r w:rsidRPr="00676826">
              <w:rPr>
                <w:rFonts w:cstheme="minorHAnsi"/>
                <w:sz w:val="20"/>
                <w:szCs w:val="20"/>
              </w:rPr>
              <w:t xml:space="preserve"> social, o bien, utilizando el criterio de pobreza extrema</w:t>
            </w:r>
          </w:p>
        </w:tc>
        <w:tc>
          <w:tcPr>
            <w:tcW w:w="1716" w:type="dxa"/>
            <w:vAlign w:val="center"/>
          </w:tcPr>
          <w:p w14:paraId="150AE34D" w14:textId="77777777" w:rsidR="00676826" w:rsidRPr="00676826" w:rsidRDefault="00676826" w:rsidP="00676826">
            <w:pPr>
              <w:pStyle w:val="Prrafodelista"/>
              <w:numPr>
                <w:ilvl w:val="0"/>
                <w:numId w:val="11"/>
              </w:numPr>
              <w:jc w:val="center"/>
              <w:rPr>
                <w:rFonts w:cstheme="minorHAnsi"/>
                <w:sz w:val="20"/>
                <w:szCs w:val="20"/>
              </w:rPr>
            </w:pPr>
          </w:p>
        </w:tc>
      </w:tr>
      <w:tr w:rsidR="00676826" w:rsidRPr="00676826" w14:paraId="2D1B38B3" w14:textId="77777777" w:rsidTr="005E0431">
        <w:tc>
          <w:tcPr>
            <w:tcW w:w="1668" w:type="dxa"/>
            <w:vMerge w:val="restart"/>
            <w:vAlign w:val="center"/>
          </w:tcPr>
          <w:p w14:paraId="784E4F3F" w14:textId="77777777" w:rsidR="00676826" w:rsidRPr="00676826" w:rsidRDefault="00676826" w:rsidP="005E0431">
            <w:pPr>
              <w:jc w:val="center"/>
              <w:rPr>
                <w:rFonts w:cstheme="minorHAnsi"/>
                <w:sz w:val="20"/>
                <w:szCs w:val="20"/>
              </w:rPr>
            </w:pPr>
            <w:r w:rsidRPr="00676826">
              <w:rPr>
                <w:rFonts w:cstheme="minorHAnsi"/>
                <w:sz w:val="20"/>
                <w:szCs w:val="20"/>
              </w:rPr>
              <w:t>2.3.1. Clasificación de los proyectos del FAIS</w:t>
            </w:r>
          </w:p>
        </w:tc>
        <w:tc>
          <w:tcPr>
            <w:tcW w:w="2976" w:type="dxa"/>
          </w:tcPr>
          <w:p w14:paraId="6F432A4E" w14:textId="77777777" w:rsidR="00676826" w:rsidRPr="00676826" w:rsidRDefault="00676826" w:rsidP="005E0431">
            <w:pPr>
              <w:jc w:val="both"/>
              <w:rPr>
                <w:rFonts w:cstheme="minorHAnsi"/>
                <w:sz w:val="20"/>
                <w:szCs w:val="20"/>
              </w:rPr>
            </w:pPr>
            <w:r w:rsidRPr="00676826">
              <w:rPr>
                <w:rFonts w:cstheme="minorHAnsi"/>
                <w:sz w:val="20"/>
                <w:szCs w:val="20"/>
              </w:rPr>
              <w:t>Directa</w:t>
            </w:r>
          </w:p>
          <w:p w14:paraId="7EBAED71" w14:textId="77777777" w:rsidR="00676826" w:rsidRPr="00676826" w:rsidRDefault="00676826" w:rsidP="005E0431">
            <w:pPr>
              <w:jc w:val="both"/>
              <w:rPr>
                <w:rFonts w:cstheme="minorHAnsi"/>
                <w:sz w:val="20"/>
                <w:szCs w:val="20"/>
              </w:rPr>
            </w:pPr>
            <w:r w:rsidRPr="00676826">
              <w:rPr>
                <w:rFonts w:cstheme="minorHAnsi"/>
                <w:sz w:val="20"/>
                <w:szCs w:val="20"/>
              </w:rPr>
              <w:t>Indirecta</w:t>
            </w:r>
          </w:p>
          <w:p w14:paraId="6433F2AC" w14:textId="77777777" w:rsidR="00676826" w:rsidRPr="00676826" w:rsidRDefault="00676826" w:rsidP="005E0431">
            <w:pPr>
              <w:jc w:val="both"/>
              <w:rPr>
                <w:rFonts w:cstheme="minorHAnsi"/>
                <w:sz w:val="20"/>
                <w:szCs w:val="20"/>
              </w:rPr>
            </w:pPr>
            <w:r w:rsidRPr="00676826">
              <w:rPr>
                <w:rFonts w:cstheme="minorHAnsi"/>
                <w:sz w:val="20"/>
                <w:szCs w:val="20"/>
              </w:rPr>
              <w:t>Complementarios</w:t>
            </w:r>
          </w:p>
          <w:p w14:paraId="37F19C9B" w14:textId="77777777" w:rsidR="00676826" w:rsidRPr="00676826" w:rsidRDefault="00676826" w:rsidP="005E0431">
            <w:pPr>
              <w:jc w:val="both"/>
              <w:rPr>
                <w:rFonts w:cstheme="minorHAnsi"/>
                <w:sz w:val="20"/>
                <w:szCs w:val="20"/>
              </w:rPr>
            </w:pPr>
            <w:r w:rsidRPr="00676826">
              <w:rPr>
                <w:rFonts w:cstheme="minorHAnsi"/>
                <w:sz w:val="20"/>
                <w:szCs w:val="20"/>
              </w:rPr>
              <w:t>Especiales</w:t>
            </w:r>
          </w:p>
        </w:tc>
        <w:tc>
          <w:tcPr>
            <w:tcW w:w="2694" w:type="dxa"/>
            <w:vAlign w:val="center"/>
          </w:tcPr>
          <w:p w14:paraId="4B11C445" w14:textId="77777777" w:rsidR="00676826" w:rsidRPr="00676826" w:rsidRDefault="00676826" w:rsidP="00676826">
            <w:pPr>
              <w:pStyle w:val="Prrafodelista"/>
              <w:numPr>
                <w:ilvl w:val="0"/>
                <w:numId w:val="11"/>
              </w:numPr>
              <w:jc w:val="center"/>
              <w:rPr>
                <w:rFonts w:cstheme="minorHAnsi"/>
                <w:sz w:val="20"/>
                <w:szCs w:val="20"/>
              </w:rPr>
            </w:pPr>
          </w:p>
        </w:tc>
        <w:tc>
          <w:tcPr>
            <w:tcW w:w="1716" w:type="dxa"/>
            <w:vAlign w:val="center"/>
          </w:tcPr>
          <w:p w14:paraId="03A35C5E" w14:textId="77777777" w:rsidR="00676826" w:rsidRPr="00676826" w:rsidRDefault="00676826" w:rsidP="00676826">
            <w:pPr>
              <w:pStyle w:val="Prrafodelista"/>
              <w:numPr>
                <w:ilvl w:val="0"/>
                <w:numId w:val="11"/>
              </w:numPr>
              <w:jc w:val="center"/>
              <w:rPr>
                <w:rFonts w:cstheme="minorHAnsi"/>
                <w:sz w:val="20"/>
                <w:szCs w:val="20"/>
              </w:rPr>
            </w:pPr>
          </w:p>
        </w:tc>
      </w:tr>
      <w:tr w:rsidR="00676826" w:rsidRPr="00676826" w14:paraId="1B2DB5A7" w14:textId="77777777" w:rsidTr="00E721BA">
        <w:tc>
          <w:tcPr>
            <w:tcW w:w="1668" w:type="dxa"/>
            <w:vMerge/>
          </w:tcPr>
          <w:p w14:paraId="085AE780" w14:textId="77777777" w:rsidR="00676826" w:rsidRPr="00676826" w:rsidRDefault="00676826" w:rsidP="005E0431">
            <w:pPr>
              <w:rPr>
                <w:rFonts w:cstheme="minorHAnsi"/>
                <w:sz w:val="20"/>
                <w:szCs w:val="20"/>
              </w:rPr>
            </w:pPr>
          </w:p>
        </w:tc>
        <w:tc>
          <w:tcPr>
            <w:tcW w:w="2976" w:type="dxa"/>
            <w:vAlign w:val="center"/>
          </w:tcPr>
          <w:p w14:paraId="226FBD05" w14:textId="77777777" w:rsidR="00676826" w:rsidRDefault="00676826" w:rsidP="00E721BA">
            <w:pPr>
              <w:jc w:val="both"/>
              <w:rPr>
                <w:rFonts w:cstheme="minorHAnsi"/>
                <w:sz w:val="20"/>
                <w:szCs w:val="20"/>
              </w:rPr>
            </w:pPr>
            <w:r w:rsidRPr="00676826">
              <w:rPr>
                <w:rFonts w:cstheme="minorHAnsi"/>
                <w:sz w:val="20"/>
                <w:szCs w:val="20"/>
              </w:rPr>
              <w:t xml:space="preserve">I. … deberán destinar por lo menos el </w:t>
            </w:r>
            <w:r w:rsidRPr="00676826">
              <w:rPr>
                <w:rFonts w:cstheme="minorHAnsi"/>
                <w:b/>
                <w:sz w:val="20"/>
                <w:szCs w:val="20"/>
              </w:rPr>
              <w:t>40%</w:t>
            </w:r>
            <w:r w:rsidRPr="00676826">
              <w:rPr>
                <w:rFonts w:cstheme="minorHAnsi"/>
                <w:sz w:val="20"/>
                <w:szCs w:val="20"/>
              </w:rPr>
              <w:t xml:space="preserve"> de los recursos en los proyectos clasificados como </w:t>
            </w:r>
            <w:r w:rsidRPr="00676826">
              <w:rPr>
                <w:rFonts w:cstheme="minorHAnsi"/>
                <w:b/>
                <w:sz w:val="20"/>
                <w:szCs w:val="20"/>
              </w:rPr>
              <w:t>de incidencia directa</w:t>
            </w:r>
            <w:r w:rsidRPr="00676826">
              <w:rPr>
                <w:rFonts w:cstheme="minorHAnsi"/>
                <w:sz w:val="20"/>
                <w:szCs w:val="20"/>
              </w:rPr>
              <w:t xml:space="preserve"> conforme al Catálogo del FAIS.</w:t>
            </w:r>
          </w:p>
          <w:p w14:paraId="33B3200A" w14:textId="77777777" w:rsidR="00DD3150" w:rsidRPr="00676826" w:rsidRDefault="00E721BA" w:rsidP="00E721BA">
            <w:pPr>
              <w:jc w:val="both"/>
              <w:rPr>
                <w:rFonts w:cstheme="minorHAnsi"/>
                <w:sz w:val="20"/>
                <w:szCs w:val="20"/>
              </w:rPr>
            </w:pPr>
            <w:r>
              <w:rPr>
                <w:rFonts w:cstheme="minorHAnsi"/>
                <w:sz w:val="20"/>
                <w:szCs w:val="20"/>
              </w:rPr>
              <w:t>III. A los proyectos complementarios o proyectos especiales podrá destinarse en su conjunto como máximo el 15% de los recursos del FISE.</w:t>
            </w:r>
          </w:p>
        </w:tc>
        <w:tc>
          <w:tcPr>
            <w:tcW w:w="2694" w:type="dxa"/>
            <w:vAlign w:val="center"/>
          </w:tcPr>
          <w:p w14:paraId="79E0F473" w14:textId="77777777" w:rsidR="00676826" w:rsidRDefault="00676826" w:rsidP="00E721BA">
            <w:pPr>
              <w:jc w:val="both"/>
              <w:rPr>
                <w:rFonts w:cstheme="minorHAnsi"/>
                <w:sz w:val="20"/>
                <w:szCs w:val="20"/>
              </w:rPr>
            </w:pPr>
            <w:r w:rsidRPr="00676826">
              <w:rPr>
                <w:rFonts w:cstheme="minorHAnsi"/>
                <w:sz w:val="20"/>
                <w:szCs w:val="20"/>
              </w:rPr>
              <w:t xml:space="preserve">I. Deberán destinar por lo menos el </w:t>
            </w:r>
            <w:r w:rsidRPr="00676826">
              <w:rPr>
                <w:rFonts w:cstheme="minorHAnsi"/>
                <w:b/>
                <w:sz w:val="20"/>
                <w:szCs w:val="20"/>
              </w:rPr>
              <w:t xml:space="preserve">70% </w:t>
            </w:r>
            <w:r w:rsidRPr="00676826">
              <w:rPr>
                <w:rFonts w:cstheme="minorHAnsi"/>
                <w:sz w:val="20"/>
                <w:szCs w:val="20"/>
              </w:rPr>
              <w:t xml:space="preserve">de los recursos en los proyectos clasificados como de </w:t>
            </w:r>
            <w:r w:rsidRPr="00676826">
              <w:rPr>
                <w:rFonts w:cstheme="minorHAnsi"/>
                <w:b/>
                <w:sz w:val="20"/>
                <w:szCs w:val="20"/>
              </w:rPr>
              <w:t xml:space="preserve">incidencia directa </w:t>
            </w:r>
            <w:r w:rsidRPr="00676826">
              <w:rPr>
                <w:rFonts w:cstheme="minorHAnsi"/>
                <w:sz w:val="20"/>
                <w:szCs w:val="20"/>
              </w:rPr>
              <w:t>conforme al Catálogo del FAIS</w:t>
            </w:r>
            <w:r w:rsidR="00DD3150">
              <w:rPr>
                <w:rFonts w:cstheme="minorHAnsi"/>
                <w:sz w:val="20"/>
                <w:szCs w:val="20"/>
              </w:rPr>
              <w:t>.</w:t>
            </w:r>
          </w:p>
          <w:p w14:paraId="460ED14B" w14:textId="77777777" w:rsidR="00DD3150" w:rsidRDefault="00DD3150" w:rsidP="00E721BA">
            <w:pPr>
              <w:jc w:val="both"/>
              <w:rPr>
                <w:rFonts w:cstheme="minorHAnsi"/>
                <w:sz w:val="20"/>
                <w:szCs w:val="20"/>
              </w:rPr>
            </w:pPr>
            <w:r>
              <w:rPr>
                <w:rFonts w:cstheme="minorHAnsi"/>
                <w:sz w:val="20"/>
                <w:szCs w:val="20"/>
              </w:rPr>
              <w:t>II. Podrán destinar como</w:t>
            </w:r>
            <w:r w:rsidR="00E721BA">
              <w:rPr>
                <w:rFonts w:cstheme="minorHAnsi"/>
                <w:sz w:val="20"/>
                <w:szCs w:val="20"/>
              </w:rPr>
              <w:t xml:space="preserve"> </w:t>
            </w:r>
            <w:r>
              <w:rPr>
                <w:rFonts w:cstheme="minorHAnsi"/>
                <w:sz w:val="20"/>
                <w:szCs w:val="20"/>
              </w:rPr>
              <w:t xml:space="preserve">máximo </w:t>
            </w:r>
            <w:r w:rsidR="00E721BA">
              <w:rPr>
                <w:rFonts w:cstheme="minorHAnsi"/>
                <w:sz w:val="20"/>
                <w:szCs w:val="20"/>
              </w:rPr>
              <w:t>hasta un 30% en proyectos clasificados como de incidencia complementaria y/o en proyectos especiales.</w:t>
            </w:r>
          </w:p>
          <w:p w14:paraId="41800B47" w14:textId="77777777" w:rsidR="00E721BA" w:rsidRPr="00676826" w:rsidRDefault="00E721BA" w:rsidP="00E721BA">
            <w:pPr>
              <w:jc w:val="both"/>
              <w:rPr>
                <w:rFonts w:cstheme="minorHAnsi"/>
                <w:sz w:val="20"/>
                <w:szCs w:val="20"/>
              </w:rPr>
            </w:pPr>
            <w:r>
              <w:rPr>
                <w:rFonts w:cstheme="minorHAnsi"/>
                <w:sz w:val="20"/>
                <w:szCs w:val="20"/>
              </w:rPr>
              <w:t>En el caso de los proyectos de infraestructura carretera, caminos, pavimentación, revestimiento, guarniciones y banquetas, sólo podrá destinarse hasta un 15% delos recursos del FISE, y hasta un 15% adicional en caso de que haya sido dañada por un desastre natural.</w:t>
            </w:r>
          </w:p>
        </w:tc>
        <w:tc>
          <w:tcPr>
            <w:tcW w:w="1716" w:type="dxa"/>
            <w:vAlign w:val="center"/>
          </w:tcPr>
          <w:p w14:paraId="683D853F" w14:textId="77777777" w:rsidR="00676826" w:rsidRPr="00676826" w:rsidRDefault="00676826" w:rsidP="00E721BA">
            <w:pPr>
              <w:pStyle w:val="Prrafodelista"/>
              <w:numPr>
                <w:ilvl w:val="0"/>
                <w:numId w:val="12"/>
              </w:numPr>
              <w:jc w:val="both"/>
              <w:rPr>
                <w:rFonts w:cstheme="minorHAnsi"/>
                <w:sz w:val="20"/>
                <w:szCs w:val="20"/>
              </w:rPr>
            </w:pPr>
          </w:p>
        </w:tc>
      </w:tr>
      <w:tr w:rsidR="00676826" w:rsidRPr="00676826" w14:paraId="719425D3" w14:textId="77777777" w:rsidTr="005E0431">
        <w:tc>
          <w:tcPr>
            <w:tcW w:w="1668" w:type="dxa"/>
          </w:tcPr>
          <w:p w14:paraId="439E937F" w14:textId="77777777" w:rsidR="00676826" w:rsidRPr="00676826" w:rsidRDefault="00676826" w:rsidP="005E0431">
            <w:pPr>
              <w:rPr>
                <w:rFonts w:cstheme="minorHAnsi"/>
                <w:sz w:val="20"/>
                <w:szCs w:val="20"/>
              </w:rPr>
            </w:pPr>
            <w:r w:rsidRPr="00676826">
              <w:rPr>
                <w:rFonts w:cstheme="minorHAnsi"/>
                <w:sz w:val="20"/>
                <w:szCs w:val="20"/>
              </w:rPr>
              <w:t>2.5. Gastos indirectos</w:t>
            </w:r>
          </w:p>
        </w:tc>
        <w:tc>
          <w:tcPr>
            <w:tcW w:w="2976" w:type="dxa"/>
          </w:tcPr>
          <w:p w14:paraId="358D4215" w14:textId="77777777" w:rsidR="00676826" w:rsidRPr="00676826" w:rsidRDefault="00676826" w:rsidP="005E0431">
            <w:pPr>
              <w:rPr>
                <w:rFonts w:cstheme="minorHAnsi"/>
                <w:sz w:val="20"/>
                <w:szCs w:val="20"/>
              </w:rPr>
            </w:pPr>
            <w:r w:rsidRPr="00676826">
              <w:rPr>
                <w:rFonts w:cstheme="minorHAnsi"/>
                <w:sz w:val="20"/>
                <w:szCs w:val="20"/>
              </w:rPr>
              <w:t xml:space="preserve">… podrán destinar una parte proporcional equivalente al </w:t>
            </w:r>
            <w:r w:rsidRPr="00676826">
              <w:rPr>
                <w:rFonts w:cstheme="minorHAnsi"/>
                <w:b/>
                <w:sz w:val="20"/>
                <w:szCs w:val="20"/>
              </w:rPr>
              <w:t>3%</w:t>
            </w:r>
            <w:r w:rsidRPr="00676826">
              <w:rPr>
                <w:rFonts w:cstheme="minorHAnsi"/>
                <w:sz w:val="20"/>
                <w:szCs w:val="20"/>
              </w:rPr>
              <w:t xml:space="preserve"> de los recursos del FISE … </w:t>
            </w:r>
          </w:p>
        </w:tc>
        <w:tc>
          <w:tcPr>
            <w:tcW w:w="2694" w:type="dxa"/>
            <w:vAlign w:val="center"/>
          </w:tcPr>
          <w:p w14:paraId="072CFC65" w14:textId="77777777" w:rsidR="00676826" w:rsidRPr="00676826" w:rsidRDefault="00676826" w:rsidP="00676826">
            <w:pPr>
              <w:pStyle w:val="Prrafodelista"/>
              <w:numPr>
                <w:ilvl w:val="0"/>
                <w:numId w:val="12"/>
              </w:numPr>
              <w:jc w:val="center"/>
              <w:rPr>
                <w:rFonts w:cstheme="minorHAnsi"/>
                <w:sz w:val="20"/>
                <w:szCs w:val="20"/>
              </w:rPr>
            </w:pPr>
          </w:p>
        </w:tc>
        <w:tc>
          <w:tcPr>
            <w:tcW w:w="1716" w:type="dxa"/>
            <w:vAlign w:val="center"/>
          </w:tcPr>
          <w:p w14:paraId="63DB5D38" w14:textId="77777777" w:rsidR="00676826" w:rsidRPr="00676826" w:rsidRDefault="00676826" w:rsidP="00676826">
            <w:pPr>
              <w:pStyle w:val="Prrafodelista"/>
              <w:numPr>
                <w:ilvl w:val="0"/>
                <w:numId w:val="12"/>
              </w:numPr>
              <w:jc w:val="center"/>
              <w:rPr>
                <w:rFonts w:cstheme="minorHAnsi"/>
                <w:sz w:val="20"/>
                <w:szCs w:val="20"/>
              </w:rPr>
            </w:pPr>
          </w:p>
        </w:tc>
      </w:tr>
      <w:tr w:rsidR="00676826" w:rsidRPr="00676826" w14:paraId="384C5474" w14:textId="77777777" w:rsidTr="005E0431">
        <w:tc>
          <w:tcPr>
            <w:tcW w:w="1668" w:type="dxa"/>
          </w:tcPr>
          <w:p w14:paraId="5B7C12DA" w14:textId="77777777" w:rsidR="00676826" w:rsidRPr="00676826" w:rsidRDefault="00676826" w:rsidP="005E0431">
            <w:pPr>
              <w:rPr>
                <w:rFonts w:cstheme="minorHAnsi"/>
                <w:sz w:val="20"/>
                <w:szCs w:val="20"/>
              </w:rPr>
            </w:pPr>
            <w:r w:rsidRPr="00676826">
              <w:rPr>
                <w:rFonts w:cstheme="minorHAnsi"/>
                <w:sz w:val="20"/>
                <w:szCs w:val="20"/>
              </w:rPr>
              <w:t>2.5.1 Gastos indirectos para la verificación y seguimiento del uso de los recursos del FAIS</w:t>
            </w:r>
          </w:p>
        </w:tc>
        <w:tc>
          <w:tcPr>
            <w:tcW w:w="2976" w:type="dxa"/>
            <w:vAlign w:val="center"/>
          </w:tcPr>
          <w:p w14:paraId="41EC1122" w14:textId="77777777" w:rsidR="00676826" w:rsidRPr="00676826" w:rsidRDefault="00676826" w:rsidP="005E0431">
            <w:pPr>
              <w:jc w:val="center"/>
              <w:rPr>
                <w:rFonts w:cstheme="minorHAnsi"/>
                <w:sz w:val="20"/>
                <w:szCs w:val="20"/>
              </w:rPr>
            </w:pPr>
            <w:r w:rsidRPr="00676826">
              <w:rPr>
                <w:rFonts w:cstheme="minorHAnsi"/>
                <w:sz w:val="20"/>
                <w:szCs w:val="20"/>
              </w:rPr>
              <w:t>X</w:t>
            </w:r>
          </w:p>
        </w:tc>
        <w:tc>
          <w:tcPr>
            <w:tcW w:w="2694" w:type="dxa"/>
            <w:vAlign w:val="center"/>
          </w:tcPr>
          <w:p w14:paraId="185A1A53" w14:textId="77777777" w:rsidR="00676826" w:rsidRPr="00676826" w:rsidRDefault="00676826" w:rsidP="005E0431">
            <w:pPr>
              <w:jc w:val="center"/>
              <w:rPr>
                <w:rFonts w:cstheme="minorHAnsi"/>
                <w:sz w:val="20"/>
                <w:szCs w:val="20"/>
              </w:rPr>
            </w:pPr>
            <w:r w:rsidRPr="00676826">
              <w:rPr>
                <w:rFonts w:cstheme="minorHAnsi"/>
                <w:sz w:val="20"/>
                <w:szCs w:val="20"/>
              </w:rPr>
              <w:t>X</w:t>
            </w:r>
          </w:p>
        </w:tc>
        <w:tc>
          <w:tcPr>
            <w:tcW w:w="1716" w:type="dxa"/>
          </w:tcPr>
          <w:p w14:paraId="53B094E1" w14:textId="77777777" w:rsidR="00676826" w:rsidRPr="00676826" w:rsidRDefault="00676826" w:rsidP="005E0431">
            <w:pPr>
              <w:rPr>
                <w:rFonts w:cstheme="minorHAnsi"/>
                <w:sz w:val="20"/>
                <w:szCs w:val="20"/>
              </w:rPr>
            </w:pPr>
            <w:r w:rsidRPr="00676826">
              <w:rPr>
                <w:rFonts w:cstheme="minorHAnsi"/>
                <w:sz w:val="20"/>
                <w:szCs w:val="20"/>
              </w:rPr>
              <w:t xml:space="preserve"> Agentes para el Desarrollo Local FAIS … haciendo uso de hasta el 3% de los gastos indirectos</w:t>
            </w:r>
          </w:p>
        </w:tc>
      </w:tr>
      <w:tr w:rsidR="00676826" w:rsidRPr="00676826" w14:paraId="34AF02D0" w14:textId="77777777" w:rsidTr="005E0431">
        <w:tc>
          <w:tcPr>
            <w:tcW w:w="1668" w:type="dxa"/>
            <w:vAlign w:val="center"/>
          </w:tcPr>
          <w:p w14:paraId="6350C260" w14:textId="77777777" w:rsidR="00676826" w:rsidRPr="00676826" w:rsidRDefault="00676826" w:rsidP="005E0431">
            <w:pPr>
              <w:jc w:val="center"/>
              <w:rPr>
                <w:rFonts w:cstheme="minorHAnsi"/>
                <w:sz w:val="20"/>
                <w:szCs w:val="20"/>
              </w:rPr>
            </w:pPr>
            <w:r w:rsidRPr="00676826">
              <w:rPr>
                <w:rFonts w:cstheme="minorHAnsi"/>
                <w:sz w:val="20"/>
                <w:szCs w:val="20"/>
              </w:rPr>
              <w:lastRenderedPageBreak/>
              <w:t>Anexo I. Catálogo</w:t>
            </w:r>
          </w:p>
        </w:tc>
        <w:tc>
          <w:tcPr>
            <w:tcW w:w="2976" w:type="dxa"/>
            <w:vAlign w:val="center"/>
          </w:tcPr>
          <w:p w14:paraId="2C3DCDB8" w14:textId="77777777" w:rsidR="00676826" w:rsidRPr="00676826" w:rsidRDefault="00676826" w:rsidP="005E0431">
            <w:pPr>
              <w:rPr>
                <w:rFonts w:cstheme="minorHAnsi"/>
                <w:sz w:val="20"/>
                <w:szCs w:val="20"/>
              </w:rPr>
            </w:pPr>
            <w:r w:rsidRPr="00676826">
              <w:rPr>
                <w:rFonts w:cstheme="minorHAnsi"/>
                <w:sz w:val="20"/>
                <w:szCs w:val="20"/>
              </w:rPr>
              <w:t xml:space="preserve">I. Catálogo del FAIS </w:t>
            </w:r>
            <w:r w:rsidRPr="00676826">
              <w:rPr>
                <w:rFonts w:cstheme="minorHAnsi"/>
                <w:b/>
                <w:sz w:val="20"/>
                <w:szCs w:val="20"/>
              </w:rPr>
              <w:t xml:space="preserve">Entidades </w:t>
            </w:r>
          </w:p>
          <w:p w14:paraId="5A09D473" w14:textId="77777777" w:rsidR="00676826" w:rsidRPr="00676826" w:rsidRDefault="00676826" w:rsidP="005E0431">
            <w:pPr>
              <w:rPr>
                <w:rFonts w:cstheme="minorHAnsi"/>
                <w:sz w:val="20"/>
                <w:szCs w:val="20"/>
              </w:rPr>
            </w:pPr>
            <w:r w:rsidRPr="00676826">
              <w:rPr>
                <w:rFonts w:cstheme="minorHAnsi"/>
                <w:sz w:val="20"/>
                <w:szCs w:val="20"/>
              </w:rPr>
              <w:t xml:space="preserve">II. Catálogo del FAIS  </w:t>
            </w:r>
            <w:r w:rsidRPr="00676826">
              <w:rPr>
                <w:rFonts w:cstheme="minorHAnsi"/>
                <w:b/>
                <w:sz w:val="20"/>
                <w:szCs w:val="20"/>
              </w:rPr>
              <w:t>Municipal</w:t>
            </w:r>
            <w:r w:rsidRPr="00676826">
              <w:rPr>
                <w:rFonts w:cstheme="minorHAnsi"/>
                <w:sz w:val="20"/>
                <w:szCs w:val="20"/>
              </w:rPr>
              <w:t xml:space="preserve"> y de las Demarcaciones territoriales del distrito federal</w:t>
            </w:r>
          </w:p>
          <w:p w14:paraId="462819FE" w14:textId="77777777" w:rsidR="00676826" w:rsidRPr="00676826" w:rsidRDefault="00676826" w:rsidP="005E0431">
            <w:pPr>
              <w:rPr>
                <w:rFonts w:cstheme="minorHAnsi"/>
                <w:sz w:val="20"/>
                <w:szCs w:val="20"/>
              </w:rPr>
            </w:pPr>
            <w:r w:rsidRPr="00676826">
              <w:rPr>
                <w:rFonts w:cstheme="minorHAnsi"/>
                <w:sz w:val="20"/>
                <w:szCs w:val="20"/>
              </w:rPr>
              <w:t xml:space="preserve">A.1.2 Catálogo del FAIS para los </w:t>
            </w:r>
            <w:r w:rsidRPr="00676826">
              <w:rPr>
                <w:rFonts w:cstheme="minorHAnsi"/>
                <w:b/>
                <w:sz w:val="20"/>
                <w:szCs w:val="20"/>
              </w:rPr>
              <w:t>ocho estados con mayor nivel de rezago social</w:t>
            </w:r>
            <w:r w:rsidRPr="00676826">
              <w:rPr>
                <w:rFonts w:cstheme="minorHAnsi"/>
                <w:sz w:val="20"/>
                <w:szCs w:val="20"/>
              </w:rPr>
              <w:t xml:space="preserve"> de acuerdo a CONEVAL</w:t>
            </w:r>
          </w:p>
        </w:tc>
        <w:tc>
          <w:tcPr>
            <w:tcW w:w="2694" w:type="dxa"/>
            <w:vAlign w:val="center"/>
          </w:tcPr>
          <w:p w14:paraId="0B79F36D" w14:textId="77777777" w:rsidR="00676826" w:rsidRPr="00676826" w:rsidRDefault="00676826" w:rsidP="005E0431">
            <w:pPr>
              <w:rPr>
                <w:rFonts w:cstheme="minorHAnsi"/>
                <w:sz w:val="20"/>
                <w:szCs w:val="20"/>
              </w:rPr>
            </w:pPr>
            <w:r w:rsidRPr="00676826">
              <w:rPr>
                <w:rFonts w:cstheme="minorHAnsi"/>
                <w:sz w:val="20"/>
                <w:szCs w:val="20"/>
              </w:rPr>
              <w:t>Anexo I. Catálogo del FAIS</w:t>
            </w:r>
          </w:p>
          <w:p w14:paraId="607C6161" w14:textId="77777777" w:rsidR="00676826" w:rsidRPr="00676826" w:rsidRDefault="00676826" w:rsidP="005E0431">
            <w:pPr>
              <w:rPr>
                <w:rFonts w:cstheme="minorHAnsi"/>
                <w:sz w:val="20"/>
                <w:szCs w:val="20"/>
              </w:rPr>
            </w:pPr>
            <w:r w:rsidRPr="00676826">
              <w:rPr>
                <w:rFonts w:cstheme="minorHAnsi"/>
                <w:sz w:val="20"/>
                <w:szCs w:val="20"/>
              </w:rPr>
              <w:t>A I.1 Catálogo para el Programa de Desarrollo Institucional Municipal</w:t>
            </w:r>
          </w:p>
          <w:p w14:paraId="1EB0BCB4" w14:textId="77777777" w:rsidR="00676826" w:rsidRPr="00676826" w:rsidRDefault="00676826" w:rsidP="005E0431">
            <w:pPr>
              <w:rPr>
                <w:rFonts w:cstheme="minorHAnsi"/>
                <w:sz w:val="20"/>
                <w:szCs w:val="20"/>
              </w:rPr>
            </w:pPr>
            <w:r w:rsidRPr="00676826">
              <w:rPr>
                <w:rFonts w:cstheme="minorHAnsi"/>
                <w:sz w:val="20"/>
                <w:szCs w:val="20"/>
              </w:rPr>
              <w:t>A.I.2 Gastos indirectos</w:t>
            </w:r>
          </w:p>
        </w:tc>
        <w:tc>
          <w:tcPr>
            <w:tcW w:w="1716" w:type="dxa"/>
          </w:tcPr>
          <w:p w14:paraId="7D43FF88" w14:textId="77777777" w:rsidR="00676826" w:rsidRPr="00676826" w:rsidRDefault="00676826" w:rsidP="005E0431">
            <w:pPr>
              <w:rPr>
                <w:rFonts w:cstheme="minorHAnsi"/>
                <w:sz w:val="20"/>
                <w:szCs w:val="20"/>
              </w:rPr>
            </w:pPr>
          </w:p>
        </w:tc>
      </w:tr>
      <w:tr w:rsidR="00676826" w:rsidRPr="00676826" w14:paraId="0F7349DB" w14:textId="77777777" w:rsidTr="005E0431">
        <w:tc>
          <w:tcPr>
            <w:tcW w:w="9054" w:type="dxa"/>
            <w:gridSpan w:val="4"/>
          </w:tcPr>
          <w:p w14:paraId="390BA986" w14:textId="77777777" w:rsidR="00676826" w:rsidRPr="00676826" w:rsidRDefault="00676826" w:rsidP="005E0431">
            <w:pPr>
              <w:rPr>
                <w:rFonts w:cstheme="minorHAnsi"/>
                <w:sz w:val="20"/>
                <w:szCs w:val="20"/>
              </w:rPr>
            </w:pPr>
            <w:r w:rsidRPr="00676826">
              <w:rPr>
                <w:rFonts w:cstheme="minorHAnsi"/>
                <w:sz w:val="20"/>
                <w:szCs w:val="20"/>
              </w:rPr>
              <w:t>Fuente: Elaboración propia con base a los Lineamientos Generales para la Operación del FAIS 2015 a 2016.</w:t>
            </w:r>
          </w:p>
        </w:tc>
      </w:tr>
    </w:tbl>
    <w:p w14:paraId="54E517AC" w14:textId="77777777" w:rsidR="00676826" w:rsidRPr="00676826" w:rsidRDefault="00676826" w:rsidP="00676826">
      <w:pPr>
        <w:rPr>
          <w:sz w:val="20"/>
        </w:rPr>
      </w:pPr>
    </w:p>
    <w:p w14:paraId="73C9F567" w14:textId="77777777" w:rsidR="00676826" w:rsidRDefault="00676826" w:rsidP="00676826">
      <w:pPr>
        <w:autoSpaceDE w:val="0"/>
        <w:spacing w:after="240" w:line="276" w:lineRule="auto"/>
        <w:jc w:val="both"/>
        <w:rPr>
          <w:rFonts w:ascii="Century Gothic" w:hAnsi="Century Gothic"/>
          <w:bCs/>
          <w:color w:val="000000"/>
        </w:rPr>
      </w:pPr>
      <w:r>
        <w:rPr>
          <w:rFonts w:ascii="Century Gothic" w:hAnsi="Century Gothic"/>
          <w:color w:val="000000"/>
        </w:rPr>
        <w:t xml:space="preserve">Es importante destacar, los cambios referidos a la </w:t>
      </w:r>
      <w:r w:rsidRPr="00F34F15">
        <w:rPr>
          <w:rFonts w:ascii="Century Gothic" w:hAnsi="Century Gothic"/>
          <w:color w:val="000000"/>
        </w:rPr>
        <w:t>focal</w:t>
      </w:r>
      <w:r w:rsidR="00F34F15" w:rsidRPr="00F34F15">
        <w:rPr>
          <w:rFonts w:ascii="Century Gothic" w:hAnsi="Century Gothic"/>
          <w:color w:val="000000"/>
        </w:rPr>
        <w:t>ización de la inversión del FISE</w:t>
      </w:r>
      <w:r>
        <w:rPr>
          <w:rFonts w:ascii="Century Gothic" w:hAnsi="Century Gothic"/>
          <w:color w:val="000000"/>
        </w:rPr>
        <w:t xml:space="preserve">. El </w:t>
      </w:r>
      <w:r w:rsidRPr="00F34F15">
        <w:rPr>
          <w:rFonts w:ascii="Century Gothic" w:hAnsi="Century Gothic"/>
          <w:b/>
          <w:color w:val="000000"/>
        </w:rPr>
        <w:t>numeral 2.2</w:t>
      </w:r>
      <w:r>
        <w:rPr>
          <w:rFonts w:ascii="Century Gothic" w:hAnsi="Century Gothic"/>
          <w:color w:val="000000"/>
        </w:rPr>
        <w:t xml:space="preserve"> constituye al I</w:t>
      </w:r>
      <w:r>
        <w:rPr>
          <w:rFonts w:ascii="Century Gothic" w:hAnsi="Century Gothic"/>
          <w:b/>
          <w:color w:val="000000"/>
        </w:rPr>
        <w:t>nforme anual</w:t>
      </w:r>
      <w:r>
        <w:rPr>
          <w:rFonts w:ascii="Century Gothic" w:hAnsi="Century Gothic"/>
          <w:color w:val="000000"/>
        </w:rPr>
        <w:t xml:space="preserve"> en </w:t>
      </w:r>
      <w:r>
        <w:rPr>
          <w:rFonts w:ascii="Century Gothic" w:hAnsi="Century Gothic"/>
          <w:b/>
          <w:i/>
          <w:color w:val="000000"/>
        </w:rPr>
        <w:t>instrumento</w:t>
      </w:r>
      <w:r>
        <w:rPr>
          <w:rFonts w:ascii="Century Gothic" w:hAnsi="Century Gothic"/>
          <w:color w:val="000000"/>
        </w:rPr>
        <w:t xml:space="preserve"> de referencia para la </w:t>
      </w:r>
      <w:r>
        <w:rPr>
          <w:rFonts w:ascii="Century Gothic" w:hAnsi="Century Gothic"/>
          <w:b/>
          <w:color w:val="000000"/>
        </w:rPr>
        <w:t>planeación</w:t>
      </w:r>
      <w:r>
        <w:rPr>
          <w:rFonts w:ascii="Century Gothic" w:hAnsi="Century Gothic"/>
          <w:color w:val="000000"/>
        </w:rPr>
        <w:t xml:space="preserve"> y </w:t>
      </w:r>
      <w:r>
        <w:rPr>
          <w:rFonts w:ascii="Century Gothic" w:hAnsi="Century Gothic"/>
          <w:b/>
          <w:color w:val="000000"/>
        </w:rPr>
        <w:t>focalización sociodemográfica y territorial</w:t>
      </w:r>
      <w:r>
        <w:rPr>
          <w:rFonts w:ascii="Century Gothic" w:hAnsi="Century Gothic"/>
          <w:color w:val="000000"/>
        </w:rPr>
        <w:t xml:space="preserve"> y obliga a los gobiernos locales a utilizarlo. </w:t>
      </w:r>
      <w:r>
        <w:rPr>
          <w:rFonts w:ascii="Century Gothic" w:hAnsi="Century Gothic"/>
          <w:bCs/>
          <w:color w:val="000000"/>
        </w:rPr>
        <w:t xml:space="preserve">En los lineamientos el Informe Anual aparece en dos usos como: </w:t>
      </w:r>
    </w:p>
    <w:p w14:paraId="25D85B0B" w14:textId="77777777" w:rsidR="00676826" w:rsidRDefault="00676826" w:rsidP="00676826">
      <w:pPr>
        <w:numPr>
          <w:ilvl w:val="0"/>
          <w:numId w:val="9"/>
        </w:numPr>
        <w:suppressAutoHyphens/>
        <w:autoSpaceDE w:val="0"/>
        <w:autoSpaceDN w:val="0"/>
        <w:spacing w:after="240" w:line="276" w:lineRule="auto"/>
        <w:ind w:left="786"/>
        <w:jc w:val="both"/>
        <w:textAlignment w:val="baseline"/>
        <w:rPr>
          <w:rFonts w:ascii="Century Gothic" w:hAnsi="Century Gothic"/>
          <w:lang w:eastAsia="es-ES"/>
        </w:rPr>
      </w:pPr>
      <w:r>
        <w:rPr>
          <w:rFonts w:ascii="Century Gothic" w:hAnsi="Century Gothic"/>
          <w:lang w:eastAsia="es-ES"/>
        </w:rPr>
        <w:t>Instrumento de evaluación que debe usar SEDESOL.</w:t>
      </w:r>
    </w:p>
    <w:p w14:paraId="78297AC0" w14:textId="77777777" w:rsidR="00676826" w:rsidRPr="0047549F" w:rsidRDefault="00676826" w:rsidP="00676826">
      <w:pPr>
        <w:numPr>
          <w:ilvl w:val="0"/>
          <w:numId w:val="9"/>
        </w:numPr>
        <w:suppressAutoHyphens/>
        <w:autoSpaceDE w:val="0"/>
        <w:autoSpaceDN w:val="0"/>
        <w:spacing w:after="240" w:line="276" w:lineRule="auto"/>
        <w:ind w:left="786"/>
        <w:jc w:val="both"/>
        <w:textAlignment w:val="baseline"/>
        <w:rPr>
          <w:rFonts w:ascii="Century Gothic" w:hAnsi="Century Gothic"/>
          <w:lang w:eastAsia="es-ES"/>
        </w:rPr>
      </w:pPr>
      <w:r w:rsidRPr="0047549F">
        <w:rPr>
          <w:rFonts w:ascii="Century Gothic" w:hAnsi="Century Gothic"/>
          <w:lang w:eastAsia="es-ES"/>
        </w:rPr>
        <w:t>Base-insumo para la planeación, seguimiento y evaluación de los proyectos del FAIS, en este sentido, deben utilizarlos las entidades, municipios y DTDF</w:t>
      </w:r>
      <w:r>
        <w:rPr>
          <w:rFonts w:ascii="Century Gothic" w:hAnsi="Century Gothic"/>
          <w:lang w:eastAsia="es-ES"/>
        </w:rPr>
        <w:t>.</w:t>
      </w:r>
    </w:p>
    <w:p w14:paraId="6A571C12" w14:textId="77777777" w:rsidR="00676826" w:rsidRPr="00482F3A" w:rsidRDefault="00676826" w:rsidP="00676826">
      <w:pPr>
        <w:spacing w:after="240" w:line="276" w:lineRule="auto"/>
        <w:jc w:val="both"/>
        <w:rPr>
          <w:rFonts w:ascii="Century Gothic" w:hAnsi="Century Gothic"/>
          <w:color w:val="000000"/>
        </w:rPr>
      </w:pPr>
      <w:r w:rsidRPr="00482F3A">
        <w:rPr>
          <w:rFonts w:ascii="Century Gothic" w:hAnsi="Century Gothic"/>
          <w:color w:val="000000"/>
        </w:rPr>
        <w:t xml:space="preserve">El </w:t>
      </w:r>
      <w:r w:rsidRPr="00482F3A">
        <w:rPr>
          <w:rFonts w:ascii="Century Gothic" w:hAnsi="Century Gothic"/>
          <w:b/>
          <w:color w:val="000000"/>
        </w:rPr>
        <w:t>numeral 2.3, Proyectos FAIS</w:t>
      </w:r>
      <w:r>
        <w:rPr>
          <w:rFonts w:ascii="Century Gothic" w:hAnsi="Century Gothic"/>
          <w:color w:val="000000"/>
        </w:rPr>
        <w:t>,</w:t>
      </w:r>
      <w:r w:rsidRPr="00482F3A">
        <w:rPr>
          <w:rFonts w:ascii="Century Gothic" w:hAnsi="Century Gothic"/>
          <w:color w:val="000000"/>
        </w:rPr>
        <w:t xml:space="preserve"> </w:t>
      </w:r>
      <w:r w:rsidRPr="00482F3A">
        <w:rPr>
          <w:rFonts w:ascii="Century Gothic" w:hAnsi="Century Gothic"/>
          <w:b/>
          <w:color w:val="000000"/>
        </w:rPr>
        <w:t>inciso A</w:t>
      </w:r>
      <w:r w:rsidRPr="00482F3A">
        <w:rPr>
          <w:rFonts w:ascii="Century Gothic" w:hAnsi="Century Gothic"/>
          <w:color w:val="000000"/>
        </w:rPr>
        <w:t>, Para la realización de proyectos con recursos del FISE</w:t>
      </w:r>
      <w:r>
        <w:rPr>
          <w:rFonts w:ascii="Century Gothic" w:hAnsi="Century Gothic"/>
          <w:color w:val="000000"/>
        </w:rPr>
        <w:t xml:space="preserve"> apartado </w:t>
      </w:r>
      <w:r w:rsidRPr="00482F3A">
        <w:rPr>
          <w:rFonts w:ascii="Century Gothic" w:hAnsi="Century Gothic"/>
          <w:color w:val="000000"/>
        </w:rPr>
        <w:t>I</w:t>
      </w:r>
      <w:r>
        <w:rPr>
          <w:rFonts w:ascii="Century Gothic" w:hAnsi="Century Gothic"/>
          <w:color w:val="000000"/>
        </w:rPr>
        <w:t xml:space="preserve"> y II</w:t>
      </w:r>
      <w:r w:rsidR="00F34F15">
        <w:rPr>
          <w:rFonts w:ascii="Century Gothic" w:hAnsi="Century Gothic"/>
          <w:color w:val="000000"/>
        </w:rPr>
        <w:t xml:space="preserve"> precisa los </w:t>
      </w:r>
      <w:r w:rsidRPr="00482F3A">
        <w:rPr>
          <w:rFonts w:ascii="Century Gothic" w:hAnsi="Century Gothic"/>
          <w:color w:val="000000"/>
        </w:rPr>
        <w:t>criterios para la focalización territorial de la inversión (destino)</w:t>
      </w:r>
      <w:r>
        <w:rPr>
          <w:rFonts w:ascii="Century Gothic" w:hAnsi="Century Gothic"/>
          <w:color w:val="000000"/>
        </w:rPr>
        <w:t xml:space="preserve">, donde el principal cambio fue que para </w:t>
      </w:r>
      <w:r w:rsidRPr="00482F3A">
        <w:rPr>
          <w:rFonts w:ascii="Century Gothic" w:hAnsi="Century Gothic"/>
          <w:b/>
          <w:color w:val="000000"/>
        </w:rPr>
        <w:t>2014</w:t>
      </w:r>
      <w:r>
        <w:rPr>
          <w:rFonts w:ascii="Century Gothic" w:hAnsi="Century Gothic"/>
          <w:color w:val="000000"/>
        </w:rPr>
        <w:t xml:space="preserve"> por lo menos </w:t>
      </w:r>
      <w:r w:rsidRPr="00482F3A">
        <w:rPr>
          <w:rFonts w:ascii="Century Gothic" w:hAnsi="Century Gothic"/>
          <w:b/>
          <w:color w:val="000000"/>
        </w:rPr>
        <w:t>el 70%</w:t>
      </w:r>
      <w:r>
        <w:rPr>
          <w:rFonts w:ascii="Century Gothic" w:hAnsi="Century Gothic"/>
          <w:color w:val="000000"/>
        </w:rPr>
        <w:t xml:space="preserve"> delos recursos del FISE </w:t>
      </w:r>
      <w:r w:rsidRPr="00482F3A">
        <w:rPr>
          <w:rFonts w:ascii="Century Gothic" w:hAnsi="Century Gothic"/>
          <w:b/>
          <w:color w:val="000000"/>
        </w:rPr>
        <w:t>deberían invertirse en ZAP</w:t>
      </w:r>
      <w:r>
        <w:rPr>
          <w:rFonts w:ascii="Century Gothic" w:hAnsi="Century Gothic"/>
          <w:color w:val="000000"/>
        </w:rPr>
        <w:t xml:space="preserve">, mientras que para </w:t>
      </w:r>
      <w:r w:rsidRPr="00482F3A">
        <w:rPr>
          <w:rFonts w:ascii="Century Gothic" w:hAnsi="Century Gothic"/>
          <w:b/>
          <w:color w:val="000000"/>
        </w:rPr>
        <w:t>2015 cambia al 50%</w:t>
      </w:r>
      <w:r>
        <w:rPr>
          <w:rFonts w:ascii="Century Gothic" w:hAnsi="Century Gothic"/>
          <w:color w:val="000000"/>
        </w:rPr>
        <w:t xml:space="preserve"> y este se mantiene para 2016.</w:t>
      </w:r>
    </w:p>
    <w:p w14:paraId="2ADCD65A" w14:textId="77777777" w:rsidR="00676826" w:rsidRDefault="00676826" w:rsidP="00676826">
      <w:pPr>
        <w:spacing w:after="240" w:line="276" w:lineRule="auto"/>
        <w:jc w:val="both"/>
        <w:rPr>
          <w:rFonts w:ascii="Century Gothic" w:hAnsi="Century Gothic"/>
          <w:color w:val="000000"/>
        </w:rPr>
      </w:pPr>
      <w:r w:rsidRPr="00482F3A">
        <w:rPr>
          <w:rFonts w:ascii="Century Gothic" w:hAnsi="Century Gothic"/>
          <w:color w:val="000000"/>
        </w:rPr>
        <w:t xml:space="preserve">De igual forma el </w:t>
      </w:r>
      <w:r w:rsidRPr="00482F3A">
        <w:rPr>
          <w:rFonts w:ascii="Century Gothic" w:hAnsi="Century Gothic"/>
          <w:b/>
          <w:color w:val="000000"/>
        </w:rPr>
        <w:t>numeral 2.3.1. Clasificación de los proyectos del FAIS</w:t>
      </w:r>
      <w:r w:rsidRPr="00482F3A">
        <w:rPr>
          <w:rFonts w:ascii="Century Gothic" w:hAnsi="Century Gothic"/>
          <w:color w:val="000000"/>
        </w:rPr>
        <w:t xml:space="preserve">, </w:t>
      </w:r>
      <w:r w:rsidRPr="00482F3A">
        <w:rPr>
          <w:rFonts w:ascii="Century Gothic" w:hAnsi="Century Gothic"/>
          <w:b/>
          <w:color w:val="000000"/>
        </w:rPr>
        <w:t>inciso I</w:t>
      </w:r>
      <w:r w:rsidRPr="00482F3A">
        <w:rPr>
          <w:rFonts w:ascii="Century Gothic" w:hAnsi="Century Gothic"/>
          <w:color w:val="000000"/>
        </w:rPr>
        <w:t xml:space="preserve">, presenta cambios, para 2014 se establecía que “deberán destinar por lo menos el </w:t>
      </w:r>
      <w:r w:rsidRPr="00482F3A">
        <w:rPr>
          <w:rFonts w:ascii="Century Gothic" w:hAnsi="Century Gothic"/>
          <w:b/>
          <w:color w:val="000000"/>
        </w:rPr>
        <w:t>40% de los recursos</w:t>
      </w:r>
      <w:r w:rsidRPr="00482F3A">
        <w:rPr>
          <w:rFonts w:ascii="Century Gothic" w:hAnsi="Century Gothic"/>
          <w:color w:val="000000"/>
        </w:rPr>
        <w:t xml:space="preserve"> en los proyectos clasificados como de </w:t>
      </w:r>
      <w:r w:rsidRPr="00482F3A">
        <w:rPr>
          <w:rFonts w:ascii="Century Gothic" w:hAnsi="Century Gothic"/>
          <w:b/>
          <w:color w:val="000000"/>
        </w:rPr>
        <w:t>incidencia directa</w:t>
      </w:r>
      <w:r w:rsidRPr="00482F3A">
        <w:rPr>
          <w:rFonts w:ascii="Century Gothic" w:hAnsi="Century Gothic"/>
          <w:color w:val="000000"/>
        </w:rPr>
        <w:t xml:space="preserve">”, </w:t>
      </w:r>
      <w:r w:rsidRPr="00482F3A">
        <w:rPr>
          <w:rFonts w:ascii="Century Gothic" w:hAnsi="Century Gothic"/>
          <w:b/>
          <w:color w:val="000000"/>
        </w:rPr>
        <w:t>para 2015</w:t>
      </w:r>
      <w:r w:rsidRPr="00482F3A">
        <w:rPr>
          <w:rFonts w:ascii="Century Gothic" w:hAnsi="Century Gothic"/>
          <w:color w:val="000000"/>
        </w:rPr>
        <w:t xml:space="preserve"> dicho porcentaje </w:t>
      </w:r>
      <w:r w:rsidRPr="00482F3A">
        <w:rPr>
          <w:rFonts w:ascii="Century Gothic" w:hAnsi="Century Gothic"/>
          <w:b/>
          <w:color w:val="000000"/>
        </w:rPr>
        <w:t>cambia al 70%,</w:t>
      </w:r>
      <w:r w:rsidRPr="00482F3A">
        <w:rPr>
          <w:rFonts w:ascii="Century Gothic" w:hAnsi="Century Gothic"/>
          <w:color w:val="000000"/>
        </w:rPr>
        <w:t xml:space="preserve"> y se</w:t>
      </w:r>
      <w:r>
        <w:rPr>
          <w:rFonts w:ascii="Century Gothic" w:hAnsi="Century Gothic"/>
          <w:color w:val="000000"/>
        </w:rPr>
        <w:t xml:space="preserve"> </w:t>
      </w:r>
      <w:r w:rsidRPr="00482F3A">
        <w:rPr>
          <w:rFonts w:ascii="Century Gothic" w:hAnsi="Century Gothic"/>
          <w:color w:val="000000"/>
        </w:rPr>
        <w:t>mantiene en 2016.</w:t>
      </w:r>
    </w:p>
    <w:p w14:paraId="7517FF2D" w14:textId="77777777" w:rsidR="00676826" w:rsidRDefault="00676826" w:rsidP="00676826">
      <w:pPr>
        <w:autoSpaceDE w:val="0"/>
        <w:spacing w:after="240" w:line="276" w:lineRule="auto"/>
        <w:jc w:val="both"/>
        <w:rPr>
          <w:rFonts w:ascii="Century Gothic" w:hAnsi="Century Gothic"/>
          <w:color w:val="000000"/>
        </w:rPr>
      </w:pPr>
      <w:r>
        <w:rPr>
          <w:rFonts w:ascii="Century Gothic" w:hAnsi="Century Gothic"/>
          <w:color w:val="000000"/>
        </w:rPr>
        <w:t xml:space="preserve">Así también en el terreno del uso de los recursos, cambian los porcentajes permitidos de inversión, </w:t>
      </w:r>
      <w:r w:rsidRPr="00F34F15">
        <w:rPr>
          <w:rFonts w:ascii="Century Gothic" w:hAnsi="Century Gothic"/>
          <w:b/>
          <w:color w:val="000000"/>
        </w:rPr>
        <w:t>70% en obras de incidencia directa y 30% a proyectos complementarios y especiales</w:t>
      </w:r>
      <w:r>
        <w:rPr>
          <w:rFonts w:ascii="Century Gothic" w:hAnsi="Century Gothic"/>
          <w:color w:val="000000"/>
        </w:rPr>
        <w:t>, con algunas variaciones específicas muy importantes, como es el caso de las obras en urbanización de calles limitándolo a un máximo de 15%; en el numeral 2.4 se precisan las reglas para justificar y dar seguimiento a los proyectos especiales de inversión.</w:t>
      </w:r>
    </w:p>
    <w:p w14:paraId="34A5624D" w14:textId="77777777" w:rsidR="00676826" w:rsidRDefault="00676826" w:rsidP="00676826">
      <w:pPr>
        <w:spacing w:after="240" w:line="276" w:lineRule="auto"/>
        <w:jc w:val="both"/>
        <w:rPr>
          <w:rFonts w:ascii="Century Gothic" w:hAnsi="Century Gothic"/>
          <w:color w:val="000000"/>
        </w:rPr>
      </w:pPr>
      <w:r>
        <w:rPr>
          <w:rFonts w:ascii="Century Gothic" w:hAnsi="Century Gothic"/>
          <w:color w:val="000000"/>
        </w:rPr>
        <w:lastRenderedPageBreak/>
        <w:t>Un cambio importante que se da en lo lineamientos es en el “</w:t>
      </w:r>
      <w:r w:rsidRPr="00D96E1B">
        <w:rPr>
          <w:rFonts w:ascii="Century Gothic" w:hAnsi="Century Gothic"/>
          <w:b/>
          <w:color w:val="000000"/>
        </w:rPr>
        <w:t>Catalogo de obras</w:t>
      </w:r>
      <w:r>
        <w:rPr>
          <w:rFonts w:ascii="Century Gothic" w:hAnsi="Century Gothic"/>
          <w:color w:val="000000"/>
        </w:rPr>
        <w:t xml:space="preserve">”. </w:t>
      </w:r>
      <w:r>
        <w:rPr>
          <w:rFonts w:ascii="Century Gothic" w:hAnsi="Century Gothic"/>
          <w:b/>
          <w:bCs/>
          <w:color w:val="000000"/>
        </w:rPr>
        <w:t>Este catálogo único precisa los usos a los que se deben destinar los recursos de este fondo y lo combina con el criterio sociodemográfico</w:t>
      </w:r>
      <w:r>
        <w:rPr>
          <w:rFonts w:ascii="Century Gothic" w:hAnsi="Century Gothic"/>
          <w:bCs/>
          <w:color w:val="000000"/>
        </w:rPr>
        <w:t xml:space="preserve"> al definirlo como un “listado de proyectos de infraestructura social básica que se pueden llevar a cabo con recursos del FAIS, el cual permite identificar la incidencia de éstos en los indicadores de carencias sociales que define el CONEVAL para la medición multidimensional de la pobreza y el rezago social” (SEDESOL, 2014a:2).</w:t>
      </w:r>
    </w:p>
    <w:p w14:paraId="47B8EEAD" w14:textId="77777777" w:rsidR="00676826" w:rsidRDefault="00676826" w:rsidP="00676826">
      <w:pPr>
        <w:spacing w:after="240"/>
        <w:jc w:val="both"/>
        <w:rPr>
          <w:rFonts w:ascii="Century Gothic" w:hAnsi="Century Gothic"/>
          <w:color w:val="000000"/>
        </w:rPr>
      </w:pPr>
      <w:r>
        <w:rPr>
          <w:rFonts w:ascii="Century Gothic" w:hAnsi="Century Gothic"/>
          <w:bCs/>
          <w:color w:val="000000"/>
        </w:rPr>
        <w:t>A continuación, con la finalidad de mostrar los saltos cualitativos que se han tenido en materia de clasificación de obras, señalaremos los cambios más significativos de un año respecto al otro.</w:t>
      </w:r>
    </w:p>
    <w:p w14:paraId="1CA9405C" w14:textId="77777777" w:rsidR="00676826" w:rsidRDefault="00676826" w:rsidP="00676826">
      <w:pPr>
        <w:spacing w:after="240"/>
        <w:jc w:val="both"/>
        <w:rPr>
          <w:rFonts w:ascii="Century Gothic" w:hAnsi="Century Gothic"/>
          <w:color w:val="000000"/>
        </w:rPr>
      </w:pPr>
      <w:r>
        <w:rPr>
          <w:rFonts w:ascii="Century Gothic" w:hAnsi="Century Gothic"/>
          <w:color w:val="000000"/>
        </w:rPr>
        <w:t xml:space="preserve">Para el año 2014 se diferenciaban los catálogos entre las entidades y municipios: </w:t>
      </w:r>
    </w:p>
    <w:p w14:paraId="2416D746" w14:textId="77777777" w:rsidR="00676826" w:rsidRPr="00C014EA" w:rsidRDefault="00676826" w:rsidP="00676826">
      <w:pPr>
        <w:pStyle w:val="Prrafodelista"/>
        <w:numPr>
          <w:ilvl w:val="0"/>
          <w:numId w:val="13"/>
        </w:numPr>
        <w:spacing w:after="120" w:line="276" w:lineRule="auto"/>
        <w:ind w:left="714" w:hanging="357"/>
        <w:contextualSpacing w:val="0"/>
        <w:rPr>
          <w:rFonts w:ascii="Century Gothic" w:hAnsi="Century Gothic"/>
          <w:color w:val="000000"/>
        </w:rPr>
      </w:pPr>
      <w:r w:rsidRPr="00C014EA">
        <w:rPr>
          <w:rFonts w:ascii="Century Gothic" w:hAnsi="Century Gothic"/>
          <w:color w:val="000000"/>
        </w:rPr>
        <w:t xml:space="preserve">Catálogo del FAIS </w:t>
      </w:r>
      <w:r>
        <w:rPr>
          <w:rFonts w:ascii="Century Gothic" w:hAnsi="Century Gothic"/>
          <w:color w:val="000000"/>
        </w:rPr>
        <w:t xml:space="preserve">- </w:t>
      </w:r>
      <w:r w:rsidRPr="00EB46B8">
        <w:rPr>
          <w:rFonts w:ascii="Century Gothic" w:hAnsi="Century Gothic"/>
          <w:b/>
          <w:color w:val="000000"/>
        </w:rPr>
        <w:t>Entidades</w:t>
      </w:r>
      <w:r w:rsidRPr="00C014EA">
        <w:rPr>
          <w:rFonts w:ascii="Century Gothic" w:hAnsi="Century Gothic"/>
          <w:color w:val="000000"/>
        </w:rPr>
        <w:t xml:space="preserve"> </w:t>
      </w:r>
    </w:p>
    <w:p w14:paraId="1B4D67B5" w14:textId="77777777" w:rsidR="00676826" w:rsidRPr="00C014EA" w:rsidRDefault="00676826" w:rsidP="00676826">
      <w:pPr>
        <w:pStyle w:val="Prrafodelista"/>
        <w:numPr>
          <w:ilvl w:val="0"/>
          <w:numId w:val="13"/>
        </w:numPr>
        <w:spacing w:after="120" w:line="276" w:lineRule="auto"/>
        <w:ind w:left="714" w:hanging="357"/>
        <w:contextualSpacing w:val="0"/>
        <w:rPr>
          <w:rFonts w:ascii="Century Gothic" w:hAnsi="Century Gothic"/>
          <w:color w:val="000000"/>
        </w:rPr>
      </w:pPr>
      <w:r w:rsidRPr="00C014EA">
        <w:rPr>
          <w:rFonts w:ascii="Century Gothic" w:hAnsi="Century Gothic"/>
          <w:color w:val="000000"/>
        </w:rPr>
        <w:t xml:space="preserve">Catálogo del FAIS  </w:t>
      </w:r>
      <w:r w:rsidRPr="00EB46B8">
        <w:rPr>
          <w:rFonts w:ascii="Century Gothic" w:hAnsi="Century Gothic"/>
          <w:b/>
          <w:color w:val="000000"/>
        </w:rPr>
        <w:t>Municipa</w:t>
      </w:r>
      <w:r w:rsidRPr="00C014EA">
        <w:rPr>
          <w:rFonts w:ascii="Century Gothic" w:hAnsi="Century Gothic"/>
          <w:color w:val="000000"/>
        </w:rPr>
        <w:t>l y de las Demarcaciones territoriales del distrito federal</w:t>
      </w:r>
    </w:p>
    <w:p w14:paraId="039044FA" w14:textId="77777777" w:rsidR="00676826" w:rsidRPr="00C014EA" w:rsidRDefault="00676826" w:rsidP="00676826">
      <w:pPr>
        <w:pStyle w:val="Prrafodelista"/>
        <w:numPr>
          <w:ilvl w:val="0"/>
          <w:numId w:val="13"/>
        </w:numPr>
        <w:spacing w:after="200" w:line="276" w:lineRule="auto"/>
        <w:jc w:val="both"/>
        <w:rPr>
          <w:rFonts w:ascii="Century Gothic" w:hAnsi="Century Gothic"/>
          <w:color w:val="000000"/>
        </w:rPr>
      </w:pPr>
      <w:r w:rsidRPr="00C014EA">
        <w:rPr>
          <w:rFonts w:ascii="Century Gothic" w:hAnsi="Century Gothic"/>
          <w:color w:val="000000"/>
        </w:rPr>
        <w:t xml:space="preserve">Catálogo del FAIS para los </w:t>
      </w:r>
      <w:r w:rsidRPr="00EB46B8">
        <w:rPr>
          <w:rFonts w:ascii="Century Gothic" w:hAnsi="Century Gothic"/>
          <w:b/>
          <w:color w:val="000000"/>
        </w:rPr>
        <w:t>ocho estados con mayor nivel de rezago social</w:t>
      </w:r>
      <w:r w:rsidRPr="00C014EA">
        <w:rPr>
          <w:rFonts w:ascii="Century Gothic" w:hAnsi="Century Gothic"/>
          <w:color w:val="000000"/>
        </w:rPr>
        <w:t xml:space="preserve"> de acuerdo a CONEVAL</w:t>
      </w:r>
    </w:p>
    <w:p w14:paraId="50B2E377" w14:textId="77777777" w:rsidR="00676826" w:rsidRDefault="00676826" w:rsidP="00676826">
      <w:pPr>
        <w:spacing w:after="240" w:line="276" w:lineRule="auto"/>
        <w:jc w:val="both"/>
        <w:rPr>
          <w:rFonts w:ascii="Century Gothic" w:hAnsi="Century Gothic"/>
          <w:color w:val="000000"/>
        </w:rPr>
      </w:pPr>
      <w:r>
        <w:rPr>
          <w:rFonts w:ascii="Century Gothic" w:hAnsi="Century Gothic"/>
          <w:color w:val="000000"/>
        </w:rPr>
        <w:t>Esto permitía tener</w:t>
      </w:r>
      <w:r w:rsidR="00A94FF1">
        <w:rPr>
          <w:rFonts w:ascii="Century Gothic" w:hAnsi="Century Gothic"/>
          <w:color w:val="000000"/>
        </w:rPr>
        <w:t xml:space="preserve"> claridad en las obras que puedan</w:t>
      </w:r>
      <w:r>
        <w:rPr>
          <w:rFonts w:ascii="Century Gothic" w:hAnsi="Century Gothic"/>
          <w:color w:val="000000"/>
        </w:rPr>
        <w:t xml:space="preserve"> realizar la entidad o el municipio según sus atribuciones, y que al combinarlo con la información de las necesidades permitía una planeación más asertiva.</w:t>
      </w:r>
    </w:p>
    <w:p w14:paraId="79CD325B" w14:textId="77777777" w:rsidR="00676826" w:rsidRPr="00F312B0" w:rsidRDefault="00676826" w:rsidP="00676826">
      <w:pPr>
        <w:spacing w:after="240" w:line="276" w:lineRule="auto"/>
        <w:jc w:val="both"/>
        <w:rPr>
          <w:rFonts w:ascii="Century Gothic" w:hAnsi="Century Gothic"/>
          <w:color w:val="000000"/>
        </w:rPr>
      </w:pPr>
      <w:r>
        <w:rPr>
          <w:rFonts w:ascii="Century Gothic" w:hAnsi="Century Gothic"/>
          <w:color w:val="000000"/>
        </w:rPr>
        <w:t>Además en este catálogo clasificaba cada una de las obras por tipo y su contribución de la siguiente forma:</w:t>
      </w:r>
    </w:p>
    <w:p w14:paraId="5011BD00" w14:textId="77777777" w:rsidR="00676826" w:rsidRPr="00F312B0" w:rsidRDefault="00676826" w:rsidP="00676826">
      <w:pPr>
        <w:pStyle w:val="Prrafodelista"/>
        <w:numPr>
          <w:ilvl w:val="0"/>
          <w:numId w:val="14"/>
        </w:numPr>
        <w:spacing w:after="120" w:line="276" w:lineRule="auto"/>
        <w:ind w:left="714" w:hanging="357"/>
        <w:contextualSpacing w:val="0"/>
        <w:rPr>
          <w:rFonts w:ascii="Century Gothic" w:hAnsi="Century Gothic"/>
          <w:color w:val="000000"/>
        </w:rPr>
      </w:pPr>
      <w:r w:rsidRPr="00F312B0">
        <w:rPr>
          <w:rFonts w:ascii="Century Gothic" w:hAnsi="Century Gothic"/>
          <w:color w:val="000000"/>
        </w:rPr>
        <w:t xml:space="preserve">Clasificación del proyecto </w:t>
      </w:r>
    </w:p>
    <w:p w14:paraId="538C9139" w14:textId="77777777" w:rsidR="00676826" w:rsidRPr="00F312B0" w:rsidRDefault="00676826" w:rsidP="00676826">
      <w:pPr>
        <w:pStyle w:val="Prrafodelista"/>
        <w:numPr>
          <w:ilvl w:val="0"/>
          <w:numId w:val="14"/>
        </w:numPr>
        <w:spacing w:after="120" w:line="276" w:lineRule="auto"/>
        <w:ind w:left="714" w:hanging="357"/>
        <w:contextualSpacing w:val="0"/>
        <w:rPr>
          <w:rFonts w:ascii="Century Gothic" w:hAnsi="Century Gothic"/>
          <w:color w:val="000000"/>
        </w:rPr>
      </w:pPr>
      <w:r w:rsidRPr="00F312B0">
        <w:rPr>
          <w:rFonts w:ascii="Century Gothic" w:hAnsi="Century Gothic"/>
          <w:color w:val="000000"/>
        </w:rPr>
        <w:t xml:space="preserve">Subclasificación del proyecto </w:t>
      </w:r>
    </w:p>
    <w:p w14:paraId="52AC2AF2" w14:textId="77777777" w:rsidR="00676826" w:rsidRPr="00F312B0" w:rsidRDefault="00676826" w:rsidP="00676826">
      <w:pPr>
        <w:pStyle w:val="Prrafodelista"/>
        <w:numPr>
          <w:ilvl w:val="0"/>
          <w:numId w:val="14"/>
        </w:numPr>
        <w:spacing w:after="120" w:line="276" w:lineRule="auto"/>
        <w:ind w:left="714" w:hanging="357"/>
        <w:contextualSpacing w:val="0"/>
        <w:rPr>
          <w:rFonts w:ascii="Century Gothic" w:hAnsi="Century Gothic"/>
          <w:color w:val="000000"/>
        </w:rPr>
      </w:pPr>
      <w:r w:rsidRPr="00F312B0">
        <w:rPr>
          <w:rFonts w:ascii="Century Gothic" w:hAnsi="Century Gothic"/>
          <w:color w:val="000000"/>
        </w:rPr>
        <w:t xml:space="preserve">Modalidad del proyecto </w:t>
      </w:r>
    </w:p>
    <w:p w14:paraId="31F86DB1" w14:textId="77777777" w:rsidR="00676826" w:rsidRPr="00F312B0" w:rsidRDefault="00676826" w:rsidP="00676826">
      <w:pPr>
        <w:pStyle w:val="Prrafodelista"/>
        <w:numPr>
          <w:ilvl w:val="0"/>
          <w:numId w:val="14"/>
        </w:numPr>
        <w:spacing w:after="120" w:line="276" w:lineRule="auto"/>
        <w:ind w:left="714" w:hanging="357"/>
        <w:contextualSpacing w:val="0"/>
        <w:rPr>
          <w:rFonts w:ascii="Century Gothic" w:hAnsi="Century Gothic"/>
          <w:color w:val="000000"/>
        </w:rPr>
      </w:pPr>
      <w:r w:rsidRPr="00F312B0">
        <w:rPr>
          <w:rFonts w:ascii="Century Gothic" w:hAnsi="Century Gothic"/>
          <w:color w:val="000000"/>
        </w:rPr>
        <w:t xml:space="preserve">Contribución del proyecto en la pobreza (carencia social) </w:t>
      </w:r>
    </w:p>
    <w:p w14:paraId="2294E8BC" w14:textId="77777777" w:rsidR="00676826" w:rsidRPr="00F312B0" w:rsidRDefault="00676826" w:rsidP="00676826">
      <w:pPr>
        <w:pStyle w:val="Prrafodelista"/>
        <w:numPr>
          <w:ilvl w:val="0"/>
          <w:numId w:val="14"/>
        </w:numPr>
        <w:spacing w:after="120" w:line="276" w:lineRule="auto"/>
        <w:ind w:left="714" w:hanging="357"/>
        <w:contextualSpacing w:val="0"/>
        <w:rPr>
          <w:rFonts w:ascii="Century Gothic" w:hAnsi="Century Gothic"/>
          <w:color w:val="000000"/>
        </w:rPr>
      </w:pPr>
      <w:r w:rsidRPr="00F312B0">
        <w:rPr>
          <w:rFonts w:ascii="Century Gothic" w:hAnsi="Century Gothic"/>
          <w:color w:val="000000"/>
        </w:rPr>
        <w:t xml:space="preserve">Tipo de contribución del proyecto </w:t>
      </w:r>
    </w:p>
    <w:p w14:paraId="45B12813" w14:textId="77777777" w:rsidR="00676826" w:rsidRDefault="00676826" w:rsidP="00676826">
      <w:pPr>
        <w:pStyle w:val="Prrafodelista"/>
        <w:numPr>
          <w:ilvl w:val="0"/>
          <w:numId w:val="14"/>
        </w:numPr>
        <w:spacing w:after="200" w:line="276" w:lineRule="auto"/>
        <w:rPr>
          <w:rFonts w:ascii="Century Gothic" w:hAnsi="Century Gothic"/>
          <w:color w:val="000000"/>
        </w:rPr>
      </w:pPr>
      <w:r w:rsidRPr="008A6330">
        <w:rPr>
          <w:rFonts w:ascii="Century Gothic" w:hAnsi="Century Gothic"/>
          <w:color w:val="000000"/>
        </w:rPr>
        <w:t xml:space="preserve">Tipo de proyecto </w:t>
      </w:r>
    </w:p>
    <w:p w14:paraId="385B2816" w14:textId="77777777" w:rsidR="00676826" w:rsidRPr="008A6330" w:rsidRDefault="00676826" w:rsidP="00676826">
      <w:pPr>
        <w:pStyle w:val="Prrafodelista"/>
        <w:numPr>
          <w:ilvl w:val="0"/>
          <w:numId w:val="14"/>
        </w:numPr>
        <w:spacing w:after="200" w:line="276" w:lineRule="auto"/>
        <w:rPr>
          <w:rFonts w:ascii="Century Gothic" w:hAnsi="Century Gothic"/>
          <w:color w:val="000000"/>
        </w:rPr>
      </w:pPr>
      <w:r w:rsidRPr="008A6330">
        <w:rPr>
          <w:rFonts w:ascii="Century Gothic" w:hAnsi="Century Gothic"/>
          <w:color w:val="000000"/>
        </w:rPr>
        <w:t>Consideraciones</w:t>
      </w:r>
    </w:p>
    <w:p w14:paraId="1C1D9CE6" w14:textId="77777777" w:rsidR="00676826" w:rsidRDefault="00676826" w:rsidP="00676826">
      <w:pPr>
        <w:spacing w:after="240"/>
        <w:jc w:val="both"/>
        <w:rPr>
          <w:rFonts w:ascii="Century Gothic" w:hAnsi="Century Gothic"/>
          <w:bCs/>
          <w:color w:val="000000"/>
        </w:rPr>
      </w:pPr>
      <w:r>
        <w:rPr>
          <w:rFonts w:ascii="Century Gothic" w:hAnsi="Century Gothic"/>
          <w:bCs/>
          <w:color w:val="000000"/>
        </w:rPr>
        <w:t>Por su parte, el catálogo publicado en los lineamientos 2015 es más sintético, se unifica en un solo catálogo y se adiciona el de PRODIM y Gastos indirectos:</w:t>
      </w:r>
    </w:p>
    <w:p w14:paraId="3718F347" w14:textId="77777777" w:rsidR="00676826" w:rsidRPr="00592B8A" w:rsidRDefault="00676826" w:rsidP="00676826">
      <w:pPr>
        <w:pStyle w:val="Prrafodelista"/>
        <w:numPr>
          <w:ilvl w:val="0"/>
          <w:numId w:val="15"/>
        </w:numPr>
        <w:spacing w:after="120" w:line="276" w:lineRule="auto"/>
        <w:ind w:left="714" w:hanging="357"/>
        <w:contextualSpacing w:val="0"/>
        <w:rPr>
          <w:rFonts w:ascii="Century Gothic" w:hAnsi="Century Gothic"/>
          <w:bCs/>
          <w:color w:val="000000"/>
        </w:rPr>
      </w:pPr>
      <w:r w:rsidRPr="00592B8A">
        <w:rPr>
          <w:rFonts w:ascii="Century Gothic" w:hAnsi="Century Gothic"/>
          <w:bCs/>
          <w:color w:val="000000"/>
        </w:rPr>
        <w:lastRenderedPageBreak/>
        <w:t>Catálogo del FAIS</w:t>
      </w:r>
    </w:p>
    <w:p w14:paraId="5339CED2" w14:textId="77777777" w:rsidR="00676826" w:rsidRPr="00592B8A" w:rsidRDefault="00676826" w:rsidP="00676826">
      <w:pPr>
        <w:pStyle w:val="Prrafodelista"/>
        <w:numPr>
          <w:ilvl w:val="0"/>
          <w:numId w:val="15"/>
        </w:numPr>
        <w:spacing w:after="120" w:line="276" w:lineRule="auto"/>
        <w:ind w:left="714" w:hanging="357"/>
        <w:contextualSpacing w:val="0"/>
        <w:rPr>
          <w:rFonts w:ascii="Century Gothic" w:hAnsi="Century Gothic"/>
          <w:bCs/>
          <w:color w:val="000000"/>
        </w:rPr>
      </w:pPr>
      <w:r w:rsidRPr="00592B8A">
        <w:rPr>
          <w:rFonts w:ascii="Century Gothic" w:hAnsi="Century Gothic"/>
          <w:bCs/>
          <w:color w:val="000000"/>
        </w:rPr>
        <w:t>Catálogo para el Programa de Desarrollo Institucional Municipal</w:t>
      </w:r>
    </w:p>
    <w:p w14:paraId="6BC03AEF" w14:textId="77777777" w:rsidR="00676826" w:rsidRPr="00592B8A" w:rsidRDefault="00676826" w:rsidP="00676826">
      <w:pPr>
        <w:pStyle w:val="Prrafodelista"/>
        <w:numPr>
          <w:ilvl w:val="0"/>
          <w:numId w:val="15"/>
        </w:numPr>
        <w:spacing w:after="240" w:line="276" w:lineRule="auto"/>
        <w:jc w:val="both"/>
        <w:rPr>
          <w:rFonts w:ascii="Century Gothic" w:hAnsi="Century Gothic"/>
          <w:bCs/>
          <w:color w:val="000000"/>
        </w:rPr>
      </w:pPr>
      <w:r w:rsidRPr="00592B8A">
        <w:rPr>
          <w:rFonts w:ascii="Century Gothic" w:hAnsi="Century Gothic"/>
          <w:bCs/>
          <w:color w:val="000000"/>
        </w:rPr>
        <w:t>Catálogo Gastos indirectos</w:t>
      </w:r>
      <w:r>
        <w:rPr>
          <w:rFonts w:ascii="Century Gothic" w:hAnsi="Century Gothic"/>
          <w:bCs/>
          <w:color w:val="000000"/>
        </w:rPr>
        <w:t>.</w:t>
      </w:r>
    </w:p>
    <w:p w14:paraId="48A1CB33" w14:textId="77777777" w:rsidR="00676826" w:rsidRPr="008A6330" w:rsidRDefault="00676826" w:rsidP="00676826">
      <w:pPr>
        <w:spacing w:after="240" w:line="276" w:lineRule="auto"/>
        <w:jc w:val="both"/>
        <w:rPr>
          <w:rFonts w:ascii="Century Gothic" w:hAnsi="Century Gothic"/>
        </w:rPr>
      </w:pPr>
      <w:r>
        <w:rPr>
          <w:rFonts w:ascii="Century Gothic" w:hAnsi="Century Gothic"/>
          <w:bCs/>
          <w:color w:val="000000"/>
        </w:rPr>
        <w:t>En cuanto al contenido, desaparece la columna “</w:t>
      </w:r>
      <w:r w:rsidRPr="00592B8A">
        <w:rPr>
          <w:rFonts w:ascii="Century Gothic" w:hAnsi="Century Gothic"/>
          <w:b/>
          <w:bCs/>
          <w:i/>
          <w:color w:val="000000"/>
        </w:rPr>
        <w:t>Contribución del proyecto en la pobreza (carencia social</w:t>
      </w:r>
      <w:r>
        <w:rPr>
          <w:rFonts w:ascii="Century Gothic" w:hAnsi="Century Gothic"/>
          <w:bCs/>
          <w:i/>
          <w:color w:val="000000"/>
        </w:rPr>
        <w:t>)</w:t>
      </w:r>
      <w:r>
        <w:rPr>
          <w:rFonts w:ascii="Century Gothic" w:hAnsi="Century Gothic"/>
          <w:bCs/>
          <w:color w:val="000000"/>
        </w:rPr>
        <w:t>” donde se establece la dimensión social específica a la que el proyecto puede impactar (calidad y espacios de la vivienda, servicios básicos de la vivienda, etc.). Permanece sólo el tipo de contribución a la pobreza multidimensional (Directa y Complementaria). A nuestro parecer, se disminuye la precisión del instrumento en esta materia, ya que, si bien el catálogo es específico en temas de contribución a la pobreza, se pierde un tanto el impacto sobre las carencias sociales al realizar una cla</w:t>
      </w:r>
      <w:r w:rsidR="00A94FF1">
        <w:rPr>
          <w:rFonts w:ascii="Century Gothic" w:hAnsi="Century Gothic"/>
          <w:bCs/>
          <w:color w:val="000000"/>
        </w:rPr>
        <w:t>sificación general del proyecto, además de poca claridad en los tipos de obra que puede llevar a cabo el municipio o el estado según sus atribuciones.</w:t>
      </w:r>
    </w:p>
    <w:p w14:paraId="01FD3E6B" w14:textId="77777777" w:rsidR="00676826" w:rsidRDefault="00676826" w:rsidP="00676826">
      <w:pPr>
        <w:autoSpaceDE w:val="0"/>
        <w:spacing w:after="240" w:line="276" w:lineRule="auto"/>
        <w:jc w:val="both"/>
        <w:rPr>
          <w:rFonts w:ascii="Century Gothic" w:hAnsi="Century Gothic"/>
          <w:bCs/>
          <w:color w:val="000000"/>
        </w:rPr>
      </w:pPr>
      <w:r>
        <w:rPr>
          <w:rFonts w:ascii="Century Gothic" w:hAnsi="Century Gothic"/>
          <w:bCs/>
          <w:color w:val="000000"/>
        </w:rPr>
        <w:t xml:space="preserve">En cuanto a los tipos de proyectos por clasificación, se presentaron los siguientes cambios: </w:t>
      </w:r>
    </w:p>
    <w:p w14:paraId="6B504F02" w14:textId="77777777" w:rsidR="00676826" w:rsidRDefault="00676826" w:rsidP="00676826">
      <w:pPr>
        <w:autoSpaceDE w:val="0"/>
        <w:spacing w:after="240" w:line="276" w:lineRule="auto"/>
        <w:jc w:val="both"/>
      </w:pPr>
      <w:r>
        <w:rPr>
          <w:rFonts w:ascii="Century Gothic" w:hAnsi="Century Gothic"/>
          <w:bCs/>
          <w:color w:val="000000"/>
        </w:rPr>
        <w:t>Como ya se mencionó, en</w:t>
      </w:r>
      <w:r>
        <w:rPr>
          <w:rFonts w:ascii="Century Gothic" w:hAnsi="Century Gothic"/>
          <w:b/>
          <w:bCs/>
          <w:color w:val="000000"/>
        </w:rPr>
        <w:t xml:space="preserve"> </w:t>
      </w:r>
      <w:r>
        <w:rPr>
          <w:rFonts w:ascii="Century Gothic" w:hAnsi="Century Gothic"/>
          <w:bCs/>
          <w:color w:val="000000"/>
        </w:rPr>
        <w:t>el</w:t>
      </w:r>
      <w:r>
        <w:rPr>
          <w:rFonts w:ascii="Century Gothic" w:hAnsi="Century Gothic"/>
          <w:b/>
          <w:bCs/>
          <w:color w:val="000000"/>
        </w:rPr>
        <w:t xml:space="preserve"> rubro Educativo</w:t>
      </w:r>
      <w:r>
        <w:rPr>
          <w:rFonts w:ascii="Century Gothic" w:hAnsi="Century Gothic"/>
          <w:bCs/>
          <w:color w:val="000000"/>
        </w:rPr>
        <w:t xml:space="preserve"> es donde ocurrió el cambio más drástico, ya que todas las obras se clasificaron como de incidencia complementaria. Destaca que el Informe Anual introduce detalladamente el tema de las carencias en infraestructura educativa, no obstante, con el catálogo único de obras del FAIS se limita la inversión en este tema. </w:t>
      </w:r>
    </w:p>
    <w:p w14:paraId="02F3EC27" w14:textId="77777777" w:rsidR="00A94FF1" w:rsidRDefault="00676826" w:rsidP="00676826">
      <w:pPr>
        <w:autoSpaceDE w:val="0"/>
        <w:spacing w:after="240" w:line="276" w:lineRule="auto"/>
        <w:jc w:val="both"/>
        <w:rPr>
          <w:rFonts w:ascii="Century Gothic" w:hAnsi="Century Gothic"/>
          <w:bCs/>
          <w:color w:val="000000"/>
        </w:rPr>
      </w:pPr>
      <w:r>
        <w:rPr>
          <w:rFonts w:ascii="Century Gothic" w:hAnsi="Century Gothic"/>
          <w:bCs/>
          <w:color w:val="000000"/>
        </w:rPr>
        <w:t xml:space="preserve">Contrario a lo anterior, en el </w:t>
      </w:r>
      <w:r>
        <w:rPr>
          <w:rFonts w:ascii="Century Gothic" w:hAnsi="Century Gothic"/>
          <w:b/>
          <w:bCs/>
          <w:color w:val="000000"/>
        </w:rPr>
        <w:t>rubro de salud</w:t>
      </w:r>
      <w:r>
        <w:rPr>
          <w:rFonts w:ascii="Century Gothic" w:hAnsi="Century Gothic"/>
          <w:bCs/>
          <w:color w:val="000000"/>
        </w:rPr>
        <w:t xml:space="preserve">, todas las obras se mantienen clasificadas como de incidencia directa, sin embargo, el Informe Anual, en este tema no detalla el nivel de carencia en este rubro. </w:t>
      </w:r>
    </w:p>
    <w:p w14:paraId="62B75847" w14:textId="77777777" w:rsidR="00676826" w:rsidRDefault="00676826" w:rsidP="00676826">
      <w:pPr>
        <w:autoSpaceDE w:val="0"/>
        <w:spacing w:after="240" w:line="276" w:lineRule="auto"/>
        <w:jc w:val="both"/>
      </w:pPr>
      <w:r>
        <w:rPr>
          <w:rFonts w:ascii="Century Gothic" w:hAnsi="Century Gothic"/>
          <w:bCs/>
          <w:color w:val="000000"/>
        </w:rPr>
        <w:t xml:space="preserve">El cambio principal es que se exige que la </w:t>
      </w:r>
      <w:r w:rsidRPr="00A94FF1">
        <w:rPr>
          <w:rFonts w:ascii="Century Gothic" w:hAnsi="Century Gothic"/>
          <w:b/>
          <w:bCs/>
          <w:color w:val="000000"/>
        </w:rPr>
        <w:t>Secretaría de Salud apruebe previamente los proyectos de infraestructura</w:t>
      </w:r>
      <w:r>
        <w:rPr>
          <w:rFonts w:ascii="Century Gothic" w:hAnsi="Century Gothic"/>
          <w:bCs/>
          <w:color w:val="000000"/>
        </w:rPr>
        <w:t xml:space="preserve"> en su programa maestro y el gobierno local se comprometa a proporcionar los recursos humanos, dicho cambio le da mayor consistencia a la inversión en infraestructura de salud, con el fin de que derive en un incremento real de acceso a los servicios de salud.</w:t>
      </w:r>
    </w:p>
    <w:p w14:paraId="2EC279E8" w14:textId="77777777" w:rsidR="00676826" w:rsidRDefault="00676826" w:rsidP="00676826">
      <w:pPr>
        <w:autoSpaceDE w:val="0"/>
        <w:spacing w:after="240" w:line="276" w:lineRule="auto"/>
        <w:jc w:val="both"/>
      </w:pPr>
      <w:r>
        <w:rPr>
          <w:rFonts w:ascii="Century Gothic" w:hAnsi="Century Gothic"/>
          <w:bCs/>
          <w:color w:val="000000"/>
        </w:rPr>
        <w:t>En materia de</w:t>
      </w:r>
      <w:r>
        <w:rPr>
          <w:rFonts w:ascii="Century Gothic" w:hAnsi="Century Gothic"/>
          <w:b/>
          <w:bCs/>
          <w:color w:val="000000"/>
        </w:rPr>
        <w:t xml:space="preserve"> vivienda</w:t>
      </w:r>
      <w:r>
        <w:rPr>
          <w:rFonts w:ascii="Century Gothic" w:hAnsi="Century Gothic"/>
          <w:bCs/>
          <w:color w:val="000000"/>
        </w:rPr>
        <w:t xml:space="preserve"> la focalización en la inversión se fortalece y se incorporan tipos de obra para servicios básicos, permite, además, el uso de tecnología sustentable (calentadores solares, electrificación no convencional, entre otros). </w:t>
      </w:r>
    </w:p>
    <w:p w14:paraId="75CB8927" w14:textId="77777777" w:rsidR="00A94FF1" w:rsidRDefault="004F75FB" w:rsidP="00676826">
      <w:pPr>
        <w:spacing w:after="240" w:line="276" w:lineRule="auto"/>
        <w:jc w:val="both"/>
        <w:rPr>
          <w:rFonts w:ascii="Century Gothic" w:hAnsi="Century Gothic"/>
          <w:bCs/>
          <w:color w:val="000000"/>
        </w:rPr>
      </w:pPr>
      <w:r>
        <w:rPr>
          <w:rFonts w:ascii="Century Gothic" w:hAnsi="Century Gothic"/>
          <w:bCs/>
          <w:color w:val="000000"/>
        </w:rPr>
        <w:lastRenderedPageBreak/>
        <w:t>P</w:t>
      </w:r>
      <w:r w:rsidR="00676826">
        <w:rPr>
          <w:rFonts w:ascii="Century Gothic" w:hAnsi="Century Gothic"/>
          <w:bCs/>
          <w:color w:val="000000"/>
        </w:rPr>
        <w:t>ara el</w:t>
      </w:r>
      <w:r w:rsidR="00676826">
        <w:rPr>
          <w:rFonts w:ascii="Century Gothic" w:hAnsi="Century Gothic"/>
          <w:b/>
          <w:bCs/>
          <w:color w:val="000000"/>
        </w:rPr>
        <w:t xml:space="preserve"> caso de otros proyectos</w:t>
      </w:r>
      <w:r w:rsidR="00676826">
        <w:rPr>
          <w:rFonts w:ascii="Century Gothic" w:hAnsi="Century Gothic"/>
          <w:bCs/>
          <w:color w:val="000000"/>
        </w:rPr>
        <w:t xml:space="preserve">, destaca que, en el tema de Agua y Saneamiento, se agrega el proyecto: “líneas de conducción”, que permite brindar el servicio de agua potable y no solo redes de agua, clasificando el proyecto como de “incidencia directa. </w:t>
      </w:r>
      <w:r w:rsidR="00A94FF1">
        <w:rPr>
          <w:rFonts w:ascii="Century Gothic" w:hAnsi="Century Gothic"/>
          <w:bCs/>
          <w:color w:val="000000"/>
        </w:rPr>
        <w:t>Ello es aún más importante porque en el caso de Colima la comisión de agua es intermunicipal.</w:t>
      </w:r>
    </w:p>
    <w:p w14:paraId="1C598F23" w14:textId="77777777" w:rsidR="00676826" w:rsidRPr="008A6330" w:rsidRDefault="004F75FB" w:rsidP="00676826">
      <w:pPr>
        <w:spacing w:after="240" w:line="276" w:lineRule="auto"/>
        <w:jc w:val="both"/>
        <w:rPr>
          <w:rFonts w:ascii="Century Gothic" w:hAnsi="Century Gothic"/>
        </w:rPr>
      </w:pPr>
      <w:r>
        <w:rPr>
          <w:rFonts w:ascii="Century Gothic" w:hAnsi="Century Gothic"/>
          <w:bCs/>
          <w:color w:val="000000"/>
        </w:rPr>
        <w:t>Finalmente, o</w:t>
      </w:r>
      <w:r w:rsidR="00676826">
        <w:rPr>
          <w:rFonts w:ascii="Century Gothic" w:hAnsi="Century Gothic"/>
          <w:bCs/>
          <w:color w:val="000000"/>
        </w:rPr>
        <w:t>tro cambio fue que en todos los rubros de proyecto la infraestructura asociada al tema de “acceso a la alimentación” se considera obra de incidencia directa (huertos comunitarios, comedores escolares, etc.).</w:t>
      </w:r>
    </w:p>
    <w:p w14:paraId="32D4EFD5" w14:textId="77777777" w:rsidR="00676826" w:rsidRPr="008A6330" w:rsidRDefault="00676826" w:rsidP="00676826">
      <w:pPr>
        <w:spacing w:after="240" w:line="276" w:lineRule="auto"/>
        <w:jc w:val="both"/>
        <w:rPr>
          <w:rFonts w:ascii="Century Gothic" w:hAnsi="Century Gothic"/>
        </w:rPr>
      </w:pPr>
      <w:r>
        <w:rPr>
          <w:rFonts w:ascii="Century Gothic" w:hAnsi="Century Gothic"/>
          <w:bCs/>
          <w:color w:val="000000"/>
        </w:rPr>
        <w:t>En general s</w:t>
      </w:r>
      <w:r w:rsidRPr="008A6330">
        <w:rPr>
          <w:rFonts w:ascii="Century Gothic" w:hAnsi="Century Gothic"/>
          <w:bCs/>
          <w:color w:val="000000"/>
        </w:rPr>
        <w:t xml:space="preserve">e puede afirmar que los ajustes analizados se encaminan hacia el </w:t>
      </w:r>
      <w:r w:rsidRPr="008A6330">
        <w:rPr>
          <w:rFonts w:ascii="Century Gothic" w:hAnsi="Century Gothic"/>
          <w:b/>
          <w:bCs/>
          <w:color w:val="000000"/>
        </w:rPr>
        <w:t>mejoramiento del destino de los recursos al priorizar el combate a la pobreza,</w:t>
      </w:r>
      <w:r w:rsidRPr="008A6330">
        <w:rPr>
          <w:rFonts w:ascii="Century Gothic" w:hAnsi="Century Gothic"/>
          <w:bCs/>
          <w:color w:val="000000"/>
        </w:rPr>
        <w:t xml:space="preserve"> anteriormente, estos fondos eran vistos como apoyo para obras. Actualmente, en los Lineamientos del FAIS, las </w:t>
      </w:r>
      <w:r w:rsidRPr="008A6330">
        <w:rPr>
          <w:rFonts w:ascii="Century Gothic" w:hAnsi="Century Gothic"/>
          <w:b/>
          <w:bCs/>
          <w:color w:val="000000"/>
        </w:rPr>
        <w:t>obras</w:t>
      </w:r>
      <w:r w:rsidRPr="008A6330">
        <w:rPr>
          <w:rFonts w:ascii="Century Gothic" w:hAnsi="Century Gothic"/>
          <w:bCs/>
          <w:color w:val="000000"/>
        </w:rPr>
        <w:t xml:space="preserve"> son </w:t>
      </w:r>
      <w:r w:rsidRPr="008A6330">
        <w:rPr>
          <w:rFonts w:ascii="Century Gothic" w:hAnsi="Century Gothic"/>
          <w:b/>
          <w:bCs/>
          <w:color w:val="000000"/>
        </w:rPr>
        <w:t>el</w:t>
      </w:r>
      <w:r w:rsidRPr="008A6330">
        <w:rPr>
          <w:rFonts w:ascii="Century Gothic" w:hAnsi="Century Gothic"/>
          <w:bCs/>
          <w:color w:val="000000"/>
        </w:rPr>
        <w:t xml:space="preserve"> </w:t>
      </w:r>
      <w:r w:rsidRPr="008A6330">
        <w:rPr>
          <w:rFonts w:ascii="Century Gothic" w:hAnsi="Century Gothic"/>
          <w:b/>
          <w:bCs/>
          <w:color w:val="000000"/>
        </w:rPr>
        <w:t>medio</w:t>
      </w:r>
      <w:r w:rsidRPr="008A6330">
        <w:rPr>
          <w:rFonts w:ascii="Century Gothic" w:hAnsi="Century Gothic"/>
          <w:bCs/>
          <w:color w:val="000000"/>
        </w:rPr>
        <w:t xml:space="preserve"> para el combate a la pobreza y no la finalidad. Lamentablemente, estas precisiones se realizan fundamentalmente para Zonas de At</w:t>
      </w:r>
      <w:r w:rsidR="00FD237D">
        <w:rPr>
          <w:rFonts w:ascii="Century Gothic" w:hAnsi="Century Gothic"/>
          <w:bCs/>
          <w:color w:val="000000"/>
        </w:rPr>
        <w:t>ención Prioritaria (ZAP)</w:t>
      </w:r>
      <w:r w:rsidRPr="008A6330">
        <w:rPr>
          <w:rFonts w:ascii="Century Gothic" w:hAnsi="Century Gothic"/>
          <w:bCs/>
          <w:color w:val="000000"/>
        </w:rPr>
        <w:t xml:space="preserve"> y no abarca a todas las localidades</w:t>
      </w:r>
      <w:r>
        <w:rPr>
          <w:rFonts w:ascii="Century Gothic" w:hAnsi="Century Gothic"/>
          <w:bCs/>
          <w:color w:val="000000"/>
        </w:rPr>
        <w:t>.</w:t>
      </w:r>
    </w:p>
    <w:p w14:paraId="2E01881C" w14:textId="77777777" w:rsidR="008723D4" w:rsidRPr="008723D4" w:rsidRDefault="008723D4" w:rsidP="008723D4">
      <w:pPr>
        <w:pStyle w:val="Ttulo2"/>
        <w:spacing w:before="0" w:after="240" w:line="276" w:lineRule="auto"/>
        <w:rPr>
          <w:rFonts w:ascii="Century Gothic" w:hAnsi="Century Gothic"/>
          <w:color w:val="0E4E7A"/>
          <w:sz w:val="24"/>
        </w:rPr>
      </w:pPr>
      <w:bookmarkStart w:id="33" w:name="_Toc511236521"/>
      <w:r>
        <w:rPr>
          <w:rFonts w:ascii="Century Gothic" w:hAnsi="Century Gothic"/>
          <w:color w:val="0E4E7A"/>
          <w:sz w:val="24"/>
        </w:rPr>
        <w:t>2.4</w:t>
      </w:r>
      <w:r w:rsidRPr="008723D4">
        <w:rPr>
          <w:rFonts w:ascii="Century Gothic" w:hAnsi="Century Gothic"/>
          <w:color w:val="0E4E7A"/>
          <w:sz w:val="24"/>
        </w:rPr>
        <w:t xml:space="preserve">. </w:t>
      </w:r>
      <w:r>
        <w:rPr>
          <w:rFonts w:ascii="Century Gothic" w:hAnsi="Century Gothic"/>
          <w:color w:val="0E4E7A"/>
          <w:sz w:val="24"/>
        </w:rPr>
        <w:t>Cambios en los Lineamientos del FAIS 2017</w:t>
      </w:r>
      <w:bookmarkEnd w:id="33"/>
    </w:p>
    <w:p w14:paraId="0BCF69D3" w14:textId="77777777" w:rsidR="00485986" w:rsidRDefault="00485986" w:rsidP="00E25EE1">
      <w:pPr>
        <w:spacing w:after="240" w:line="276" w:lineRule="auto"/>
        <w:jc w:val="both"/>
        <w:rPr>
          <w:rFonts w:ascii="Century Gothic" w:hAnsi="Century Gothic"/>
          <w:color w:val="000000"/>
        </w:rPr>
      </w:pPr>
      <w:r>
        <w:rPr>
          <w:rFonts w:ascii="Century Gothic" w:hAnsi="Century Gothic"/>
          <w:color w:val="000000"/>
        </w:rPr>
        <w:t xml:space="preserve">El objeto principal de la evaluación es analizar los procesos del FISE mediante el programa </w:t>
      </w:r>
      <w:r w:rsidRPr="00485986">
        <w:rPr>
          <w:rFonts w:ascii="Century Gothic" w:hAnsi="Century Gothic"/>
          <w:color w:val="000000"/>
        </w:rPr>
        <w:t>presupuestario “Construcción, Modernización y Mantenimiento de la Infraestructura para el Desarrollo</w:t>
      </w:r>
      <w:r>
        <w:rPr>
          <w:rFonts w:ascii="Century Gothic" w:hAnsi="Century Gothic"/>
          <w:color w:val="000000"/>
        </w:rPr>
        <w:t>”, el análisis se centrara hasta los lineamientos del 2016. Sin embargo teniendo presente que el 01 de sep</w:t>
      </w:r>
      <w:r w:rsidR="00FD237D">
        <w:rPr>
          <w:rFonts w:ascii="Century Gothic" w:hAnsi="Century Gothic"/>
          <w:color w:val="000000"/>
        </w:rPr>
        <w:t>tiembre del año 2017 se publicaron</w:t>
      </w:r>
      <w:r>
        <w:rPr>
          <w:rFonts w:ascii="Century Gothic" w:hAnsi="Century Gothic"/>
          <w:color w:val="000000"/>
        </w:rPr>
        <w:t xml:space="preserve"> los </w:t>
      </w:r>
      <w:r w:rsidR="00FD237D">
        <w:rPr>
          <w:rFonts w:ascii="Century Gothic" w:hAnsi="Century Gothic"/>
          <w:color w:val="000000"/>
        </w:rPr>
        <w:t xml:space="preserve">nuevos lineamientos del FAIS y que la presente evaluación hace recomendaciones de mejora para 2018, </w:t>
      </w:r>
      <w:r>
        <w:rPr>
          <w:rFonts w:ascii="Century Gothic" w:hAnsi="Century Gothic"/>
          <w:color w:val="000000"/>
        </w:rPr>
        <w:t>se presenta un análisis de los cambios que estos presentan.</w:t>
      </w:r>
    </w:p>
    <w:p w14:paraId="2F1B7A5A" w14:textId="77777777" w:rsidR="00485986" w:rsidRDefault="00484949" w:rsidP="008723D4">
      <w:pPr>
        <w:spacing w:after="240" w:line="276" w:lineRule="auto"/>
        <w:ind w:right="283"/>
        <w:jc w:val="both"/>
        <w:rPr>
          <w:rFonts w:ascii="Century Gothic" w:hAnsi="Century Gothic"/>
          <w:color w:val="000000"/>
        </w:rPr>
      </w:pPr>
      <w:r>
        <w:rPr>
          <w:rFonts w:ascii="Century Gothic" w:hAnsi="Century Gothic"/>
          <w:color w:val="000000"/>
        </w:rPr>
        <w:t>Así los principales cambios que se observan son:</w:t>
      </w:r>
    </w:p>
    <w:p w14:paraId="4C319919" w14:textId="77777777" w:rsidR="00484949" w:rsidRDefault="00484949" w:rsidP="00484949">
      <w:pPr>
        <w:pStyle w:val="Prrafodelista"/>
        <w:numPr>
          <w:ilvl w:val="0"/>
          <w:numId w:val="16"/>
        </w:numPr>
        <w:spacing w:after="240" w:line="276" w:lineRule="auto"/>
        <w:ind w:left="714" w:right="284" w:hanging="357"/>
        <w:contextualSpacing w:val="0"/>
        <w:jc w:val="both"/>
        <w:rPr>
          <w:rFonts w:ascii="Century Gothic" w:hAnsi="Century Gothic"/>
          <w:color w:val="000000"/>
        </w:rPr>
      </w:pPr>
      <w:r w:rsidRPr="009E727D">
        <w:rPr>
          <w:rFonts w:ascii="Century Gothic" w:hAnsi="Century Gothic"/>
          <w:b/>
          <w:color w:val="000000"/>
        </w:rPr>
        <w:t>2.2 Uso de los recursos del FAIS</w:t>
      </w:r>
      <w:r>
        <w:rPr>
          <w:rFonts w:ascii="Century Gothic" w:hAnsi="Century Gothic"/>
          <w:color w:val="000000"/>
        </w:rPr>
        <w:t>: se agrega un párrafo, referente al ejercicio de los recursos en concurrencia:</w:t>
      </w:r>
    </w:p>
    <w:p w14:paraId="25CB3C16" w14:textId="77777777" w:rsidR="008723D4" w:rsidRDefault="00484949" w:rsidP="009E727D">
      <w:pPr>
        <w:pStyle w:val="Prrafodelista"/>
        <w:spacing w:after="240" w:line="276" w:lineRule="auto"/>
        <w:ind w:right="284"/>
        <w:contextualSpacing w:val="0"/>
        <w:jc w:val="both"/>
        <w:rPr>
          <w:rFonts w:ascii="Century Gothic" w:hAnsi="Century Gothic"/>
          <w:color w:val="000000"/>
        </w:rPr>
      </w:pPr>
      <w:r w:rsidRPr="00484949">
        <w:rPr>
          <w:rFonts w:ascii="Century Gothic" w:hAnsi="Century Gothic"/>
          <w:color w:val="000000"/>
        </w:rPr>
        <w:t xml:space="preserve">Para la realización de obras del FAIS, los gobiernos de las Entidades, Municipios y DT </w:t>
      </w:r>
      <w:r w:rsidRPr="00484949">
        <w:rPr>
          <w:rFonts w:ascii="Century Gothic" w:hAnsi="Century Gothic"/>
          <w:b/>
          <w:color w:val="000000"/>
        </w:rPr>
        <w:t>podrán ejercer los recursos en concurrencia</w:t>
      </w:r>
      <w:r w:rsidRPr="00484949">
        <w:rPr>
          <w:rFonts w:ascii="Century Gothic" w:hAnsi="Century Gothic"/>
          <w:color w:val="000000"/>
        </w:rPr>
        <w:t xml:space="preserve"> con recursos de programas federales, estatales, municipales, de las DT y de las</w:t>
      </w:r>
      <w:r>
        <w:rPr>
          <w:rFonts w:ascii="Century Gothic" w:hAnsi="Century Gothic"/>
          <w:color w:val="000000"/>
        </w:rPr>
        <w:t xml:space="preserve"> </w:t>
      </w:r>
      <w:r w:rsidRPr="00484949">
        <w:rPr>
          <w:rFonts w:ascii="Century Gothic" w:hAnsi="Century Gothic"/>
          <w:color w:val="000000"/>
        </w:rPr>
        <w:t>organizaciones de la sociedad civil, clubes de migrantes, entre otros, siempre que impacten directamente en</w:t>
      </w:r>
      <w:r>
        <w:rPr>
          <w:rFonts w:ascii="Century Gothic" w:hAnsi="Century Gothic"/>
          <w:color w:val="000000"/>
        </w:rPr>
        <w:t xml:space="preserve"> </w:t>
      </w:r>
      <w:r w:rsidRPr="00484949">
        <w:rPr>
          <w:rFonts w:ascii="Century Gothic" w:hAnsi="Century Gothic"/>
          <w:color w:val="000000"/>
        </w:rPr>
        <w:t xml:space="preserve">la reducción de la pobreza extrema y el rezago social, </w:t>
      </w:r>
      <w:r w:rsidRPr="00484949">
        <w:rPr>
          <w:rFonts w:ascii="Century Gothic" w:hAnsi="Century Gothic"/>
          <w:b/>
          <w:color w:val="000000"/>
        </w:rPr>
        <w:t xml:space="preserve">sujetándose al efecto a las disposiciones en materia de ejercicio, control, contabilidad, </w:t>
      </w:r>
      <w:r w:rsidRPr="00484949">
        <w:rPr>
          <w:rFonts w:ascii="Century Gothic" w:hAnsi="Century Gothic"/>
          <w:b/>
          <w:color w:val="000000"/>
        </w:rPr>
        <w:lastRenderedPageBreak/>
        <w:t>transparencia, rendición de cuentas, fiscalización y demás disposiciones aplicables</w:t>
      </w:r>
      <w:r w:rsidRPr="00484949">
        <w:rPr>
          <w:rFonts w:ascii="Century Gothic" w:hAnsi="Century Gothic"/>
          <w:color w:val="000000"/>
        </w:rPr>
        <w:t>. Para ello, deberá celebrarse el Convenio correspondiente</w:t>
      </w:r>
      <w:r>
        <w:rPr>
          <w:rFonts w:ascii="Century Gothic" w:hAnsi="Century Gothic"/>
          <w:color w:val="000000"/>
        </w:rPr>
        <w:t>. (SEDESOL, 2017, p:6)</w:t>
      </w:r>
      <w:r w:rsidR="009E727D">
        <w:rPr>
          <w:rFonts w:ascii="Century Gothic" w:hAnsi="Century Gothic"/>
          <w:color w:val="000000"/>
        </w:rPr>
        <w:t>.</w:t>
      </w:r>
    </w:p>
    <w:p w14:paraId="00CCCFF8" w14:textId="77777777" w:rsidR="009E727D" w:rsidRPr="009E727D" w:rsidRDefault="009E727D" w:rsidP="008723D4">
      <w:pPr>
        <w:pStyle w:val="Prrafodelista"/>
        <w:numPr>
          <w:ilvl w:val="0"/>
          <w:numId w:val="16"/>
        </w:numPr>
        <w:spacing w:after="240" w:line="276" w:lineRule="auto"/>
        <w:rPr>
          <w:rFonts w:ascii="Century Gothic" w:hAnsi="Century Gothic"/>
          <w:color w:val="000000"/>
        </w:rPr>
      </w:pPr>
      <w:r w:rsidRPr="009E727D">
        <w:rPr>
          <w:rFonts w:ascii="Century Gothic" w:hAnsi="Century Gothic"/>
          <w:b/>
          <w:color w:val="000000"/>
        </w:rPr>
        <w:t>2.3 Proyectos FAIS</w:t>
      </w:r>
      <w:r w:rsidRPr="009E727D">
        <w:rPr>
          <w:rFonts w:ascii="Century Gothic" w:hAnsi="Century Gothic"/>
          <w:color w:val="000000"/>
        </w:rPr>
        <w:t>, numeral A. Proyectos FAIS, inciso I:</w:t>
      </w:r>
    </w:p>
    <w:p w14:paraId="4C530481" w14:textId="77777777" w:rsidR="00FB2B4C" w:rsidRDefault="009E727D" w:rsidP="0090281D">
      <w:pPr>
        <w:pStyle w:val="Prrafodelista"/>
        <w:spacing w:after="240" w:line="276" w:lineRule="auto"/>
        <w:contextualSpacing w:val="0"/>
        <w:rPr>
          <w:rFonts w:ascii="Century Gothic" w:hAnsi="Century Gothic"/>
          <w:color w:val="000000"/>
        </w:rPr>
      </w:pPr>
      <w:r w:rsidRPr="009E727D">
        <w:rPr>
          <w:rFonts w:ascii="Century Gothic" w:hAnsi="Century Gothic"/>
          <w:color w:val="000000"/>
        </w:rPr>
        <w:t xml:space="preserve">I. Al menos el </w:t>
      </w:r>
      <w:r w:rsidRPr="009E727D">
        <w:rPr>
          <w:rFonts w:ascii="Century Gothic" w:hAnsi="Century Gothic"/>
          <w:b/>
          <w:color w:val="000000"/>
        </w:rPr>
        <w:t>30% de los recursos del FISE deberán invertirse en las ZAP</w:t>
      </w:r>
      <w:r w:rsidRPr="009E727D">
        <w:rPr>
          <w:rFonts w:ascii="Century Gothic" w:hAnsi="Century Gothic"/>
          <w:color w:val="000000"/>
        </w:rPr>
        <w:t>, ya sean urbanas o rurales.</w:t>
      </w:r>
      <w:r>
        <w:rPr>
          <w:rFonts w:ascii="Century Gothic" w:hAnsi="Century Gothic"/>
          <w:color w:val="000000"/>
        </w:rPr>
        <w:t xml:space="preserve"> (SEDESOL, 2017, p:7).</w:t>
      </w:r>
    </w:p>
    <w:p w14:paraId="27E0B789" w14:textId="77777777" w:rsidR="0090281D" w:rsidRPr="009E727D" w:rsidRDefault="0090281D" w:rsidP="0090281D">
      <w:pPr>
        <w:pStyle w:val="Prrafodelista"/>
        <w:spacing w:after="240" w:line="276" w:lineRule="auto"/>
        <w:contextualSpacing w:val="0"/>
        <w:rPr>
          <w:rFonts w:ascii="Century Gothic" w:hAnsi="Century Gothic"/>
          <w:color w:val="000000"/>
        </w:rPr>
      </w:pPr>
      <w:r>
        <w:rPr>
          <w:rFonts w:ascii="Century Gothic" w:hAnsi="Century Gothic"/>
          <w:color w:val="000000"/>
        </w:rPr>
        <w:t>Siendo este uno de los cambios más relevantes pues desde el 2015 dicho porcentaje era del 50%.</w:t>
      </w:r>
    </w:p>
    <w:p w14:paraId="72EDCC92" w14:textId="77777777" w:rsidR="00FB2B4C" w:rsidRPr="003016B2" w:rsidRDefault="003016B2" w:rsidP="0090281D">
      <w:pPr>
        <w:pStyle w:val="Prrafodelista"/>
        <w:numPr>
          <w:ilvl w:val="0"/>
          <w:numId w:val="16"/>
        </w:numPr>
        <w:spacing w:after="240" w:line="276" w:lineRule="auto"/>
        <w:rPr>
          <w:rFonts w:ascii="Century Gothic" w:hAnsi="Century Gothic"/>
          <w:color w:val="000000"/>
        </w:rPr>
      </w:pPr>
      <w:r w:rsidRPr="003016B2">
        <w:rPr>
          <w:rFonts w:ascii="Century Gothic" w:hAnsi="Century Gothic"/>
          <w:b/>
          <w:color w:val="000000"/>
        </w:rPr>
        <w:t>2.3.1. Clasificación de los proyectos del FAIS</w:t>
      </w:r>
      <w:r w:rsidRPr="003016B2">
        <w:rPr>
          <w:rFonts w:ascii="Century Gothic" w:hAnsi="Century Gothic"/>
          <w:color w:val="000000"/>
        </w:rPr>
        <w:t xml:space="preserve">: , los recursos del FAIS se orientarán a la realización de </w:t>
      </w:r>
      <w:r w:rsidRPr="003016B2">
        <w:rPr>
          <w:rFonts w:ascii="Century Gothic" w:hAnsi="Century Gothic"/>
          <w:b/>
          <w:color w:val="000000"/>
        </w:rPr>
        <w:t>dos tipos</w:t>
      </w:r>
      <w:r w:rsidRPr="003016B2">
        <w:rPr>
          <w:rFonts w:ascii="Century Gothic" w:hAnsi="Century Gothic"/>
          <w:color w:val="000000"/>
        </w:rPr>
        <w:t xml:space="preserve"> de proyectos:</w:t>
      </w:r>
    </w:p>
    <w:p w14:paraId="27CDFA05" w14:textId="77777777" w:rsidR="003016B2" w:rsidRPr="003016B2" w:rsidRDefault="003016B2" w:rsidP="003016B2">
      <w:pPr>
        <w:pStyle w:val="Prrafodelista"/>
        <w:numPr>
          <w:ilvl w:val="0"/>
          <w:numId w:val="17"/>
        </w:numPr>
        <w:spacing w:after="240" w:line="276" w:lineRule="auto"/>
        <w:rPr>
          <w:rFonts w:ascii="Century Gothic" w:hAnsi="Century Gothic"/>
          <w:color w:val="000000"/>
        </w:rPr>
      </w:pPr>
      <w:r w:rsidRPr="003016B2">
        <w:rPr>
          <w:rFonts w:ascii="Century Gothic" w:hAnsi="Century Gothic"/>
          <w:color w:val="000000"/>
        </w:rPr>
        <w:t>Directa</w:t>
      </w:r>
    </w:p>
    <w:p w14:paraId="23FD6AC2" w14:textId="77777777" w:rsidR="003016B2" w:rsidRDefault="003016B2" w:rsidP="003016B2">
      <w:pPr>
        <w:pStyle w:val="Prrafodelista"/>
        <w:numPr>
          <w:ilvl w:val="0"/>
          <w:numId w:val="17"/>
        </w:numPr>
        <w:spacing w:after="240" w:line="276" w:lineRule="auto"/>
        <w:rPr>
          <w:rFonts w:ascii="Century Gothic" w:hAnsi="Century Gothic"/>
          <w:color w:val="000000"/>
        </w:rPr>
      </w:pPr>
      <w:r w:rsidRPr="003016B2">
        <w:rPr>
          <w:rFonts w:ascii="Century Gothic" w:hAnsi="Century Gothic"/>
          <w:color w:val="000000"/>
        </w:rPr>
        <w:t>Complementarios:</w:t>
      </w:r>
    </w:p>
    <w:p w14:paraId="4BF55F41" w14:textId="77777777" w:rsidR="003016B2" w:rsidRPr="003016B2" w:rsidRDefault="003016B2" w:rsidP="003016B2">
      <w:pPr>
        <w:spacing w:after="240" w:line="276" w:lineRule="auto"/>
        <w:ind w:left="708"/>
        <w:rPr>
          <w:rFonts w:ascii="Century Gothic" w:hAnsi="Century Gothic"/>
          <w:color w:val="000000"/>
        </w:rPr>
      </w:pPr>
      <w:r>
        <w:rPr>
          <w:rFonts w:ascii="Century Gothic" w:hAnsi="Century Gothic"/>
          <w:color w:val="000000"/>
        </w:rPr>
        <w:t>Es decir, para 2017, desaparece la clasificación de Especiales.</w:t>
      </w:r>
    </w:p>
    <w:p w14:paraId="1F542518" w14:textId="77777777" w:rsidR="00FB2B4C" w:rsidRDefault="00DB3BAE" w:rsidP="00DB3BAE">
      <w:pPr>
        <w:pStyle w:val="Prrafodelista"/>
        <w:numPr>
          <w:ilvl w:val="0"/>
          <w:numId w:val="16"/>
        </w:numPr>
        <w:spacing w:after="240" w:line="276" w:lineRule="auto"/>
        <w:jc w:val="both"/>
        <w:rPr>
          <w:rFonts w:ascii="Century Gothic" w:hAnsi="Century Gothic"/>
          <w:color w:val="000000"/>
        </w:rPr>
      </w:pPr>
      <w:r w:rsidRPr="00DB3BAE">
        <w:rPr>
          <w:rFonts w:ascii="Century Gothic" w:hAnsi="Century Gothic"/>
          <w:b/>
          <w:color w:val="000000"/>
        </w:rPr>
        <w:t>Anexo I</w:t>
      </w:r>
      <w:r w:rsidRPr="00DB3BAE">
        <w:rPr>
          <w:rFonts w:ascii="Century Gothic" w:hAnsi="Century Gothic"/>
          <w:color w:val="000000"/>
        </w:rPr>
        <w:t xml:space="preserve">. </w:t>
      </w:r>
      <w:r w:rsidRPr="00DB3BAE">
        <w:rPr>
          <w:rFonts w:ascii="Century Gothic" w:hAnsi="Century Gothic"/>
          <w:b/>
          <w:color w:val="000000"/>
        </w:rPr>
        <w:t>Catálogo del FAIS</w:t>
      </w:r>
      <w:r>
        <w:rPr>
          <w:rFonts w:ascii="Century Gothic" w:hAnsi="Century Gothic"/>
          <w:color w:val="000000"/>
        </w:rPr>
        <w:t xml:space="preserve">: se adiciona </w:t>
      </w:r>
      <w:r w:rsidRPr="00DB3BAE">
        <w:rPr>
          <w:rFonts w:ascii="Century Gothic" w:hAnsi="Century Gothic"/>
          <w:color w:val="000000"/>
        </w:rPr>
        <w:t xml:space="preserve">una columna que identifica la </w:t>
      </w:r>
      <w:r w:rsidRPr="00A07214">
        <w:rPr>
          <w:rFonts w:ascii="Century Gothic" w:hAnsi="Century Gothic"/>
          <w:b/>
          <w:color w:val="000000"/>
        </w:rPr>
        <w:t>alineación de cada proyecto</w:t>
      </w:r>
      <w:r w:rsidRPr="00DB3BAE">
        <w:rPr>
          <w:rFonts w:ascii="Century Gothic" w:hAnsi="Century Gothic"/>
          <w:color w:val="000000"/>
        </w:rPr>
        <w:t xml:space="preserve"> con los rubros de gasto referidos en el artículo 33 de la </w:t>
      </w:r>
      <w:r w:rsidRPr="00A07214">
        <w:rPr>
          <w:rFonts w:ascii="Century Gothic" w:hAnsi="Century Gothic"/>
          <w:b/>
          <w:color w:val="000000"/>
        </w:rPr>
        <w:t>Ley de Coordinación Fiscal</w:t>
      </w:r>
      <w:r w:rsidRPr="00DB3BAE">
        <w:rPr>
          <w:rFonts w:ascii="Century Gothic" w:hAnsi="Century Gothic"/>
          <w:color w:val="000000"/>
        </w:rPr>
        <w:t xml:space="preserve">, también se </w:t>
      </w:r>
      <w:r w:rsidRPr="00A07214">
        <w:rPr>
          <w:rFonts w:ascii="Century Gothic" w:hAnsi="Century Gothic"/>
          <w:b/>
          <w:color w:val="000000"/>
        </w:rPr>
        <w:t>agrega</w:t>
      </w:r>
      <w:r w:rsidRPr="00DB3BAE">
        <w:rPr>
          <w:rFonts w:ascii="Century Gothic" w:hAnsi="Century Gothic"/>
          <w:color w:val="000000"/>
        </w:rPr>
        <w:t xml:space="preserve"> la acción “</w:t>
      </w:r>
      <w:r w:rsidRPr="00A07214">
        <w:rPr>
          <w:rFonts w:ascii="Century Gothic" w:hAnsi="Century Gothic"/>
          <w:b/>
          <w:color w:val="000000"/>
        </w:rPr>
        <w:t>Puentes” dentro del Rubro “Urbanización</w:t>
      </w:r>
      <w:r w:rsidRPr="00DB3BAE">
        <w:rPr>
          <w:rFonts w:ascii="Century Gothic" w:hAnsi="Century Gothic"/>
          <w:color w:val="000000"/>
        </w:rPr>
        <w:t>”.</w:t>
      </w:r>
    </w:p>
    <w:p w14:paraId="7A1FD372" w14:textId="77777777" w:rsidR="005B6847" w:rsidRDefault="005B6847" w:rsidP="00E25EE1">
      <w:pPr>
        <w:autoSpaceDE w:val="0"/>
        <w:spacing w:after="240" w:line="276" w:lineRule="auto"/>
        <w:jc w:val="both"/>
        <w:rPr>
          <w:rFonts w:ascii="Century Gothic" w:hAnsi="Century Gothic"/>
          <w:bCs/>
          <w:color w:val="000000"/>
        </w:rPr>
      </w:pPr>
      <w:r w:rsidRPr="005B6847">
        <w:rPr>
          <w:rFonts w:ascii="Century Gothic" w:hAnsi="Century Gothic"/>
          <w:bCs/>
          <w:color w:val="000000"/>
        </w:rPr>
        <w:t xml:space="preserve">En síntesis, </w:t>
      </w:r>
      <w:r w:rsidRPr="005B6847">
        <w:rPr>
          <w:rFonts w:ascii="Century Gothic" w:hAnsi="Century Gothic"/>
          <w:b/>
          <w:bCs/>
          <w:color w:val="000000"/>
        </w:rPr>
        <w:t>los cambios normativos</w:t>
      </w:r>
      <w:r w:rsidRPr="005B6847">
        <w:rPr>
          <w:rFonts w:ascii="Century Gothic" w:hAnsi="Century Gothic"/>
          <w:bCs/>
          <w:color w:val="000000"/>
        </w:rPr>
        <w:t xml:space="preserve"> que se observan en los Lineamientos generales para la operación del Fondo de Aportaciones para la Infraestructura Social entre 201</w:t>
      </w:r>
      <w:r>
        <w:rPr>
          <w:rFonts w:ascii="Century Gothic" w:hAnsi="Century Gothic"/>
          <w:bCs/>
          <w:color w:val="000000"/>
        </w:rPr>
        <w:t>4</w:t>
      </w:r>
      <w:r w:rsidRPr="005B6847">
        <w:rPr>
          <w:rFonts w:ascii="Century Gothic" w:hAnsi="Century Gothic"/>
          <w:bCs/>
          <w:color w:val="000000"/>
        </w:rPr>
        <w:t xml:space="preserve"> y el año en curso, son </w:t>
      </w:r>
      <w:r w:rsidRPr="005B6847">
        <w:rPr>
          <w:rFonts w:ascii="Century Gothic" w:hAnsi="Century Gothic"/>
          <w:b/>
          <w:bCs/>
          <w:color w:val="000000"/>
        </w:rPr>
        <w:t>expresión de un esfuerzo importante por dar mayor asertividad al destino y uso de los recursos de este Fondo y define de una manera muy cuidadosa el sentido de combate a la pobreza</w:t>
      </w:r>
      <w:r w:rsidR="00FD237D">
        <w:rPr>
          <w:rFonts w:ascii="Century Gothic" w:hAnsi="Century Gothic"/>
          <w:bCs/>
          <w:color w:val="000000"/>
        </w:rPr>
        <w:t>, no obstante hay que señalar algunos aspectos que en el caso particular de Colima mejoran la planeación y otras que la limitan.</w:t>
      </w:r>
    </w:p>
    <w:p w14:paraId="31FFB26D" w14:textId="77777777" w:rsidR="00FD237D" w:rsidRDefault="00453462" w:rsidP="00E25EE1">
      <w:pPr>
        <w:autoSpaceDE w:val="0"/>
        <w:spacing w:after="240" w:line="276" w:lineRule="auto"/>
        <w:jc w:val="both"/>
        <w:rPr>
          <w:rFonts w:ascii="Century Gothic" w:hAnsi="Century Gothic"/>
          <w:bCs/>
          <w:color w:val="000000"/>
        </w:rPr>
      </w:pPr>
      <w:r w:rsidRPr="00453462">
        <w:rPr>
          <w:rFonts w:ascii="Century Gothic" w:hAnsi="Century Gothic"/>
          <w:bCs/>
          <w:color w:val="000000"/>
        </w:rPr>
        <w:t xml:space="preserve">Una limitante importante </w:t>
      </w:r>
      <w:r>
        <w:rPr>
          <w:rFonts w:ascii="Century Gothic" w:hAnsi="Century Gothic"/>
          <w:bCs/>
          <w:color w:val="000000"/>
        </w:rPr>
        <w:t xml:space="preserve">es la actualización de las localidades y de cuales son clasificadas como ZAP, revisando un caso puntual de </w:t>
      </w:r>
      <w:r w:rsidRPr="00453462">
        <w:rPr>
          <w:rFonts w:ascii="Century Gothic" w:hAnsi="Century Gothic"/>
          <w:bCs/>
          <w:color w:val="000000"/>
        </w:rPr>
        <w:t>la localidad Colonia Carlos Vázquez prácticamente forma parte también ya de la mancha urbana</w:t>
      </w:r>
      <w:r>
        <w:rPr>
          <w:rFonts w:ascii="Century Gothic" w:hAnsi="Century Gothic"/>
          <w:bCs/>
          <w:color w:val="000000"/>
        </w:rPr>
        <w:t>, el municipio de Colima</w:t>
      </w:r>
      <w:r w:rsidRPr="00453462">
        <w:rPr>
          <w:rFonts w:ascii="Century Gothic" w:hAnsi="Century Gothic"/>
          <w:bCs/>
          <w:color w:val="000000"/>
        </w:rPr>
        <w:t xml:space="preserve">. Sin embargo, para </w:t>
      </w:r>
      <w:r>
        <w:rPr>
          <w:rFonts w:ascii="Century Gothic" w:hAnsi="Century Gothic"/>
          <w:bCs/>
          <w:color w:val="000000"/>
        </w:rPr>
        <w:t>este</w:t>
      </w:r>
      <w:r w:rsidRPr="00453462">
        <w:rPr>
          <w:rFonts w:ascii="Century Gothic" w:hAnsi="Century Gothic"/>
          <w:bCs/>
          <w:color w:val="000000"/>
        </w:rPr>
        <w:t xml:space="preserve"> caso, en la actualización cartográfica del 2014 INEGI </w:t>
      </w:r>
      <w:r>
        <w:rPr>
          <w:rFonts w:ascii="Century Gothic" w:hAnsi="Century Gothic"/>
          <w:bCs/>
          <w:color w:val="000000"/>
        </w:rPr>
        <w:t xml:space="preserve">se </w:t>
      </w:r>
      <w:r w:rsidRPr="00453462">
        <w:rPr>
          <w:rFonts w:ascii="Century Gothic" w:hAnsi="Century Gothic"/>
          <w:bCs/>
          <w:color w:val="000000"/>
        </w:rPr>
        <w:t>sigue manteniendo su estatus como localidad, no obstante al momento de hacer un enfoque en esta demarcación con el uso de las tecnologías actuales se puede observar que en esta “localidad” prácticamente es un pequeño corredor comercial.</w:t>
      </w:r>
    </w:p>
    <w:p w14:paraId="396CDCBC" w14:textId="77777777" w:rsidR="00453462" w:rsidRPr="004D49BD" w:rsidRDefault="00453462" w:rsidP="00453462">
      <w:pPr>
        <w:spacing w:after="120" w:line="276" w:lineRule="auto"/>
        <w:jc w:val="center"/>
        <w:rPr>
          <w:rFonts w:ascii="Century Gothic" w:hAnsi="Century Gothic"/>
          <w:b/>
          <w:bCs/>
          <w:color w:val="000000"/>
        </w:rPr>
      </w:pPr>
      <w:r w:rsidRPr="004D49BD">
        <w:rPr>
          <w:rFonts w:ascii="Century Gothic" w:hAnsi="Century Gothic"/>
          <w:b/>
          <w:bCs/>
          <w:iCs/>
          <w:color w:val="000000"/>
        </w:rPr>
        <w:lastRenderedPageBreak/>
        <w:t xml:space="preserve">Mapa </w:t>
      </w:r>
      <w:r w:rsidR="004D49BD" w:rsidRPr="004D49BD">
        <w:rPr>
          <w:rFonts w:ascii="Century Gothic" w:hAnsi="Century Gothic"/>
          <w:b/>
          <w:bCs/>
          <w:iCs/>
          <w:color w:val="000000"/>
        </w:rPr>
        <w:t>2.</w:t>
      </w:r>
      <w:r w:rsidRPr="004D49BD">
        <w:rPr>
          <w:rFonts w:ascii="Century Gothic" w:hAnsi="Century Gothic"/>
          <w:b/>
          <w:bCs/>
          <w:iCs/>
          <w:color w:val="000000"/>
        </w:rPr>
        <w:t>1. Ubicación localidad Carlos Vázquez.</w:t>
      </w:r>
    </w:p>
    <w:p w14:paraId="205CE9AC" w14:textId="77777777" w:rsidR="00453462" w:rsidRPr="00453462" w:rsidRDefault="00453462" w:rsidP="00453462">
      <w:pPr>
        <w:spacing w:after="240" w:line="276" w:lineRule="auto"/>
        <w:jc w:val="center"/>
        <w:rPr>
          <w:rFonts w:ascii="Century Gothic" w:hAnsi="Century Gothic"/>
          <w:bCs/>
          <w:color w:val="000000"/>
        </w:rPr>
      </w:pPr>
      <w:r w:rsidRPr="00453462">
        <w:rPr>
          <w:rFonts w:ascii="Century Gothic" w:hAnsi="Century Gothic"/>
          <w:bCs/>
          <w:noProof/>
          <w:color w:val="000000"/>
          <w:lang w:val="es-MX" w:eastAsia="es-MX"/>
        </w:rPr>
        <w:drawing>
          <wp:inline distT="0" distB="0" distL="0" distR="0" wp14:anchorId="43F62AFF" wp14:editId="55DC4F7A">
            <wp:extent cx="5486400" cy="2739681"/>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lonia Carlos Vázque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864" cy="2739913"/>
                    </a:xfrm>
                    <a:prstGeom prst="rect">
                      <a:avLst/>
                    </a:prstGeom>
                  </pic:spPr>
                </pic:pic>
              </a:graphicData>
            </a:graphic>
          </wp:inline>
        </w:drawing>
      </w:r>
    </w:p>
    <w:p w14:paraId="277D2901" w14:textId="77777777" w:rsidR="00453462" w:rsidRPr="00453462" w:rsidRDefault="00453462" w:rsidP="00453462">
      <w:pPr>
        <w:spacing w:after="240" w:line="276" w:lineRule="auto"/>
        <w:jc w:val="both"/>
        <w:rPr>
          <w:rFonts w:ascii="Century Gothic" w:hAnsi="Century Gothic"/>
          <w:bCs/>
          <w:color w:val="000000"/>
        </w:rPr>
      </w:pPr>
      <w:r w:rsidRPr="00453462">
        <w:rPr>
          <w:rFonts w:ascii="Century Gothic" w:hAnsi="Century Gothic"/>
          <w:bCs/>
          <w:iCs/>
          <w:color w:val="000000"/>
        </w:rPr>
        <w:t xml:space="preserve">Fuente: </w:t>
      </w:r>
      <w:r w:rsidR="00E25EE1">
        <w:rPr>
          <w:rFonts w:ascii="Century Gothic" w:hAnsi="Century Gothic"/>
          <w:bCs/>
          <w:iCs/>
          <w:color w:val="000000"/>
        </w:rPr>
        <w:t xml:space="preserve">Elaborado por TECSO </w:t>
      </w:r>
      <w:r w:rsidRPr="00453462">
        <w:rPr>
          <w:rFonts w:ascii="Century Gothic" w:hAnsi="Century Gothic"/>
          <w:bCs/>
          <w:iCs/>
          <w:color w:val="000000"/>
        </w:rPr>
        <w:t>con información de la actualización cartográfica 2014.</w:t>
      </w:r>
    </w:p>
    <w:p w14:paraId="079AC3B7" w14:textId="77777777" w:rsidR="00453462" w:rsidRPr="00453462" w:rsidRDefault="00453462" w:rsidP="00453462">
      <w:pPr>
        <w:spacing w:after="240" w:line="276" w:lineRule="auto"/>
        <w:jc w:val="both"/>
        <w:rPr>
          <w:rFonts w:ascii="Century Gothic" w:hAnsi="Century Gothic"/>
          <w:bCs/>
          <w:color w:val="000000"/>
        </w:rPr>
      </w:pPr>
      <w:r w:rsidRPr="00453462">
        <w:rPr>
          <w:rFonts w:ascii="Century Gothic" w:hAnsi="Century Gothic"/>
          <w:bCs/>
          <w:iCs/>
          <w:color w:val="000000"/>
        </w:rPr>
        <w:t xml:space="preserve">Se puede observar que esta localidad prácticamente ya forma parte también de la mancha urbana de la localidad de Colima. </w:t>
      </w:r>
    </w:p>
    <w:p w14:paraId="5752E75F" w14:textId="77777777" w:rsidR="00453462" w:rsidRDefault="00453462" w:rsidP="00453462">
      <w:pPr>
        <w:spacing w:after="240" w:line="276" w:lineRule="auto"/>
        <w:jc w:val="both"/>
        <w:rPr>
          <w:rFonts w:ascii="Century Gothic" w:hAnsi="Century Gothic"/>
          <w:bCs/>
          <w:iCs/>
          <w:color w:val="000000"/>
        </w:rPr>
      </w:pPr>
      <w:r w:rsidRPr="00453462">
        <w:rPr>
          <w:rFonts w:ascii="Century Gothic" w:hAnsi="Century Gothic"/>
          <w:bCs/>
          <w:iCs/>
          <w:color w:val="000000"/>
        </w:rPr>
        <w:t>Adicional a esto se pueden ver las construcciones establecidas en la demarcación donde cada edificación existente tiene nombre de un comercio, por lo que podemos establecer la ausencia de viviendas.</w:t>
      </w:r>
    </w:p>
    <w:p w14:paraId="22830194" w14:textId="77777777" w:rsidR="00E25EE1" w:rsidRDefault="00E25EE1" w:rsidP="00453462">
      <w:pPr>
        <w:spacing w:after="240" w:line="276" w:lineRule="auto"/>
        <w:jc w:val="both"/>
        <w:rPr>
          <w:rFonts w:ascii="Century Gothic" w:hAnsi="Century Gothic"/>
          <w:bCs/>
          <w:iCs/>
          <w:color w:val="000000"/>
        </w:rPr>
      </w:pPr>
    </w:p>
    <w:p w14:paraId="16E04AFB" w14:textId="77777777" w:rsidR="00E25EE1" w:rsidRDefault="00E25EE1" w:rsidP="00453462">
      <w:pPr>
        <w:spacing w:after="240" w:line="276" w:lineRule="auto"/>
        <w:jc w:val="both"/>
        <w:rPr>
          <w:rFonts w:ascii="Century Gothic" w:hAnsi="Century Gothic"/>
          <w:bCs/>
          <w:iCs/>
          <w:color w:val="000000"/>
        </w:rPr>
      </w:pPr>
    </w:p>
    <w:p w14:paraId="35A94C36" w14:textId="77777777" w:rsidR="00E25EE1" w:rsidRPr="004D49BD" w:rsidRDefault="00E25EE1" w:rsidP="00E25EE1">
      <w:pPr>
        <w:spacing w:after="240" w:line="276" w:lineRule="auto"/>
        <w:jc w:val="center"/>
        <w:rPr>
          <w:rFonts w:ascii="Century Gothic" w:hAnsi="Century Gothic"/>
          <w:b/>
          <w:bCs/>
          <w:color w:val="000000"/>
        </w:rPr>
      </w:pPr>
      <w:r>
        <w:rPr>
          <w:rFonts w:ascii="Century Gothic" w:hAnsi="Century Gothic"/>
          <w:bCs/>
          <w:iCs/>
          <w:color w:val="000000"/>
        </w:rPr>
        <w:t xml:space="preserve"> </w:t>
      </w:r>
      <w:r w:rsidR="0042723D" w:rsidRPr="004D49BD">
        <w:rPr>
          <w:rFonts w:ascii="Century Gothic" w:hAnsi="Century Gothic"/>
          <w:b/>
          <w:bCs/>
          <w:iCs/>
          <w:color w:val="000000"/>
        </w:rPr>
        <w:t>Fotografía</w:t>
      </w:r>
      <w:r w:rsidR="004D49BD" w:rsidRPr="004D49BD">
        <w:rPr>
          <w:rFonts w:ascii="Century Gothic" w:hAnsi="Century Gothic"/>
          <w:b/>
          <w:bCs/>
          <w:iCs/>
          <w:color w:val="000000"/>
        </w:rPr>
        <w:t>2.1</w:t>
      </w:r>
      <w:r w:rsidRPr="004D49BD">
        <w:rPr>
          <w:rFonts w:ascii="Century Gothic" w:hAnsi="Century Gothic"/>
          <w:b/>
          <w:bCs/>
          <w:iCs/>
          <w:color w:val="000000"/>
        </w:rPr>
        <w:t xml:space="preserve"> Localidad Carlos Vázquez</w:t>
      </w:r>
      <w:r w:rsidR="004D49BD" w:rsidRPr="004D49BD">
        <w:rPr>
          <w:rFonts w:ascii="Century Gothic" w:hAnsi="Century Gothic"/>
          <w:b/>
          <w:bCs/>
          <w:iCs/>
          <w:color w:val="000000"/>
        </w:rPr>
        <w:t>, Colima</w:t>
      </w:r>
    </w:p>
    <w:p w14:paraId="3ADD82F8" w14:textId="77777777" w:rsidR="00453462" w:rsidRPr="00453462" w:rsidRDefault="00453462" w:rsidP="0042723D">
      <w:pPr>
        <w:spacing w:after="120" w:line="276" w:lineRule="auto"/>
        <w:jc w:val="center"/>
        <w:rPr>
          <w:rFonts w:ascii="Century Gothic" w:hAnsi="Century Gothic"/>
          <w:bCs/>
          <w:color w:val="000000"/>
        </w:rPr>
      </w:pPr>
      <w:r w:rsidRPr="00453462">
        <w:rPr>
          <w:rFonts w:ascii="Century Gothic" w:hAnsi="Century Gothic"/>
          <w:bCs/>
          <w:noProof/>
          <w:color w:val="000000"/>
          <w:lang w:val="es-MX" w:eastAsia="es-MX"/>
        </w:rPr>
        <w:lastRenderedPageBreak/>
        <w:drawing>
          <wp:inline distT="0" distB="0" distL="0" distR="0" wp14:anchorId="7FE1E929" wp14:editId="18BAD50A">
            <wp:extent cx="3965944" cy="2461366"/>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7266" cy="2468393"/>
                    </a:xfrm>
                    <a:prstGeom prst="rect">
                      <a:avLst/>
                    </a:prstGeom>
                  </pic:spPr>
                </pic:pic>
              </a:graphicData>
            </a:graphic>
          </wp:inline>
        </w:drawing>
      </w:r>
    </w:p>
    <w:p w14:paraId="5EF62548" w14:textId="77777777" w:rsidR="00453462" w:rsidRPr="00453462" w:rsidRDefault="00E25EE1" w:rsidP="00453462">
      <w:pPr>
        <w:spacing w:after="240" w:line="276" w:lineRule="auto"/>
        <w:jc w:val="both"/>
        <w:rPr>
          <w:rFonts w:ascii="Century Gothic" w:hAnsi="Century Gothic"/>
          <w:bCs/>
          <w:color w:val="000000"/>
        </w:rPr>
      </w:pPr>
      <w:r>
        <w:rPr>
          <w:rFonts w:ascii="Century Gothic" w:hAnsi="Century Gothic"/>
          <w:bCs/>
          <w:color w:val="000000"/>
        </w:rPr>
        <w:t>Fuente: Elaborado por TECSO</w:t>
      </w:r>
    </w:p>
    <w:p w14:paraId="2401160C" w14:textId="77777777" w:rsidR="00453462" w:rsidRPr="00453462" w:rsidRDefault="00453462" w:rsidP="00E25EE1">
      <w:pPr>
        <w:autoSpaceDE w:val="0"/>
        <w:spacing w:after="240" w:line="276" w:lineRule="auto"/>
        <w:jc w:val="both"/>
        <w:rPr>
          <w:rFonts w:ascii="Century Gothic" w:hAnsi="Century Gothic"/>
          <w:bCs/>
          <w:color w:val="000000"/>
        </w:rPr>
      </w:pPr>
      <w:r w:rsidRPr="00453462">
        <w:rPr>
          <w:rFonts w:ascii="Century Gothic" w:hAnsi="Century Gothic"/>
          <w:bCs/>
          <w:iCs/>
          <w:color w:val="000000"/>
        </w:rPr>
        <w:t xml:space="preserve">En ese sentido, </w:t>
      </w:r>
      <w:r w:rsidR="00E25EE1">
        <w:rPr>
          <w:rFonts w:ascii="Century Gothic" w:hAnsi="Century Gothic"/>
          <w:bCs/>
          <w:iCs/>
          <w:color w:val="000000"/>
        </w:rPr>
        <w:t>se</w:t>
      </w:r>
      <w:r w:rsidRPr="00453462">
        <w:rPr>
          <w:rFonts w:ascii="Century Gothic" w:hAnsi="Century Gothic"/>
          <w:bCs/>
          <w:iCs/>
          <w:color w:val="000000"/>
        </w:rPr>
        <w:t xml:space="preserve"> tendría que recabar la suficiente evidencia fotográfica para solicitar ante SEDESOL la desacreditación de este territorio como localidad.</w:t>
      </w:r>
    </w:p>
    <w:p w14:paraId="58B78A7F" w14:textId="77777777" w:rsidR="00453462" w:rsidRDefault="0062389D" w:rsidP="00E25EE1">
      <w:pPr>
        <w:autoSpaceDE w:val="0"/>
        <w:spacing w:after="240" w:line="276" w:lineRule="auto"/>
        <w:jc w:val="both"/>
        <w:rPr>
          <w:rFonts w:ascii="Century Gothic" w:hAnsi="Century Gothic"/>
          <w:bCs/>
          <w:color w:val="000000"/>
        </w:rPr>
      </w:pPr>
      <w:r>
        <w:rPr>
          <w:rFonts w:ascii="Century Gothic" w:hAnsi="Century Gothic"/>
          <w:bCs/>
          <w:color w:val="000000"/>
        </w:rPr>
        <w:t>Otro tema limitante es el referente a la unificación de los catálogos de obras, pues se perdió claridad en que obras puede realizar directamente el estado según sus competencias y atribuciones.</w:t>
      </w:r>
    </w:p>
    <w:p w14:paraId="14491690" w14:textId="77777777" w:rsidR="0062389D" w:rsidRPr="00453462" w:rsidRDefault="0062389D" w:rsidP="00E25EE1">
      <w:pPr>
        <w:autoSpaceDE w:val="0"/>
        <w:spacing w:after="240" w:line="276" w:lineRule="auto"/>
        <w:jc w:val="both"/>
        <w:rPr>
          <w:rFonts w:ascii="Century Gothic" w:hAnsi="Century Gothic"/>
          <w:bCs/>
          <w:color w:val="000000"/>
        </w:rPr>
      </w:pPr>
      <w:r>
        <w:rPr>
          <w:rFonts w:ascii="Century Gothic" w:hAnsi="Century Gothic"/>
          <w:bCs/>
          <w:color w:val="000000"/>
        </w:rPr>
        <w:t xml:space="preserve">A diferencia, </w:t>
      </w:r>
      <w:r w:rsidR="004D4A1E">
        <w:rPr>
          <w:rFonts w:ascii="Century Gothic" w:hAnsi="Century Gothic"/>
          <w:bCs/>
          <w:color w:val="000000"/>
        </w:rPr>
        <w:t>hay temas que los cambios a los lineamientos coadyuvan</w:t>
      </w:r>
      <w:r>
        <w:rPr>
          <w:rFonts w:ascii="Century Gothic" w:hAnsi="Century Gothic"/>
          <w:bCs/>
          <w:color w:val="000000"/>
        </w:rPr>
        <w:t xml:space="preserve"> a la reducción de la pobreza en el estado</w:t>
      </w:r>
      <w:r w:rsidR="004D4A1E">
        <w:rPr>
          <w:rFonts w:ascii="Century Gothic" w:hAnsi="Century Gothic"/>
          <w:bCs/>
          <w:color w:val="000000"/>
        </w:rPr>
        <w:t xml:space="preserve">, como por ejemplo </w:t>
      </w:r>
      <w:r>
        <w:rPr>
          <w:rFonts w:ascii="Century Gothic" w:hAnsi="Century Gothic"/>
          <w:bCs/>
          <w:color w:val="000000"/>
        </w:rPr>
        <w:t xml:space="preserve">el cambio </w:t>
      </w:r>
      <w:r w:rsidR="004D4A1E">
        <w:rPr>
          <w:rFonts w:ascii="Century Gothic" w:hAnsi="Century Gothic"/>
          <w:bCs/>
          <w:color w:val="000000"/>
        </w:rPr>
        <w:t>e</w:t>
      </w:r>
      <w:r>
        <w:rPr>
          <w:rFonts w:ascii="Century Gothic" w:hAnsi="Century Gothic"/>
          <w:bCs/>
          <w:color w:val="000000"/>
        </w:rPr>
        <w:t xml:space="preserve">n el porcentaje de inversión de los recursos en obras directas, </w:t>
      </w:r>
      <w:r w:rsidR="004D4A1E">
        <w:rPr>
          <w:rFonts w:ascii="Century Gothic" w:hAnsi="Century Gothic"/>
          <w:bCs/>
          <w:color w:val="000000"/>
        </w:rPr>
        <w:t xml:space="preserve">(al pasar del 50% al 70%), </w:t>
      </w:r>
      <w:r>
        <w:rPr>
          <w:rFonts w:ascii="Century Gothic" w:hAnsi="Century Gothic"/>
          <w:bCs/>
          <w:color w:val="000000"/>
        </w:rPr>
        <w:t xml:space="preserve">pues con esto se asegura una mayor inversión en obras asociadas directamente a la disminución de las carencias sociales, pues en el estado </w:t>
      </w:r>
      <w:r w:rsidR="004D4A1E">
        <w:rPr>
          <w:rFonts w:ascii="Century Gothic" w:hAnsi="Century Gothic"/>
          <w:bCs/>
          <w:color w:val="000000"/>
        </w:rPr>
        <w:t>según el informe anual sobre la situación de la pobreza publicado por SEDESOL en 2017, a 2015</w:t>
      </w:r>
      <w:r>
        <w:rPr>
          <w:rFonts w:ascii="Century Gothic" w:hAnsi="Century Gothic"/>
          <w:bCs/>
          <w:color w:val="000000"/>
        </w:rPr>
        <w:t xml:space="preserve"> el 9.07% de las viviendas presentan carencia por hacinamiento, siendo este un tema cruc</w:t>
      </w:r>
      <w:r w:rsidR="004D4A1E">
        <w:rPr>
          <w:rFonts w:ascii="Century Gothic" w:hAnsi="Century Gothic"/>
          <w:bCs/>
          <w:color w:val="000000"/>
        </w:rPr>
        <w:t>ial a atender.</w:t>
      </w:r>
    </w:p>
    <w:p w14:paraId="52F33F6B" w14:textId="77777777" w:rsidR="00453462" w:rsidRPr="00453462" w:rsidRDefault="00453462" w:rsidP="005C63FE">
      <w:pPr>
        <w:autoSpaceDE w:val="0"/>
        <w:spacing w:after="240" w:line="276" w:lineRule="auto"/>
        <w:jc w:val="both"/>
        <w:rPr>
          <w:rFonts w:ascii="Century Gothic" w:hAnsi="Century Gothic"/>
          <w:bCs/>
          <w:color w:val="000000"/>
        </w:rPr>
      </w:pPr>
    </w:p>
    <w:p w14:paraId="58D4D30C" w14:textId="77777777" w:rsidR="00EE5649" w:rsidRDefault="00EE5649">
      <w:pPr>
        <w:rPr>
          <w:rFonts w:ascii="Century Gothic" w:hAnsi="Century Gothic"/>
        </w:rPr>
      </w:pPr>
      <w:r>
        <w:rPr>
          <w:rFonts w:ascii="Century Gothic" w:hAnsi="Century Gothic"/>
        </w:rPr>
        <w:br w:type="page"/>
      </w:r>
    </w:p>
    <w:p w14:paraId="77B151C4" w14:textId="77777777" w:rsidR="00713CB6" w:rsidRPr="00E84C5A" w:rsidRDefault="003C6DE0" w:rsidP="00E84C5A">
      <w:pPr>
        <w:pStyle w:val="Ttulo1"/>
        <w:numPr>
          <w:ilvl w:val="0"/>
          <w:numId w:val="6"/>
        </w:numPr>
        <w:spacing w:before="0" w:after="240" w:line="276" w:lineRule="auto"/>
        <w:jc w:val="both"/>
        <w:rPr>
          <w:rFonts w:ascii="Century Gothic" w:hAnsi="Century Gothic"/>
          <w:color w:val="0E4E7A"/>
        </w:rPr>
      </w:pPr>
      <w:bookmarkStart w:id="34" w:name="_Toc511236522"/>
      <w:r>
        <w:rPr>
          <w:rFonts w:ascii="Century Gothic" w:hAnsi="Century Gothic"/>
          <w:color w:val="0E4E7A"/>
        </w:rPr>
        <w:lastRenderedPageBreak/>
        <w:t>L</w:t>
      </w:r>
      <w:r w:rsidR="007866D6" w:rsidRPr="00E84C5A">
        <w:rPr>
          <w:rFonts w:ascii="Century Gothic" w:hAnsi="Century Gothic"/>
          <w:color w:val="0E4E7A"/>
        </w:rPr>
        <w:t>os programas presupuestarios</w:t>
      </w:r>
      <w:r>
        <w:rPr>
          <w:rFonts w:ascii="Century Gothic" w:hAnsi="Century Gothic"/>
          <w:color w:val="0E4E7A"/>
        </w:rPr>
        <w:t xml:space="preserve"> como medio de ejecución de los recursos</w:t>
      </w:r>
      <w:r w:rsidR="00BB315E">
        <w:rPr>
          <w:rFonts w:ascii="Century Gothic" w:hAnsi="Century Gothic"/>
          <w:color w:val="0E4E7A"/>
        </w:rPr>
        <w:t xml:space="preserve"> de los Fondos</w:t>
      </w:r>
      <w:bookmarkEnd w:id="34"/>
    </w:p>
    <w:p w14:paraId="689AC74F" w14:textId="77777777" w:rsidR="00027EDD" w:rsidRDefault="005F5AF4" w:rsidP="00027EDD">
      <w:pPr>
        <w:spacing w:after="240" w:line="276" w:lineRule="auto"/>
        <w:jc w:val="both"/>
        <w:rPr>
          <w:rFonts w:ascii="Century Gothic" w:hAnsi="Century Gothic"/>
        </w:rPr>
      </w:pPr>
      <w:r>
        <w:rPr>
          <w:rFonts w:ascii="Century Gothic" w:hAnsi="Century Gothic"/>
        </w:rPr>
        <w:t xml:space="preserve">Desde </w:t>
      </w:r>
      <w:r w:rsidR="00027EDD">
        <w:rPr>
          <w:rFonts w:ascii="Century Gothic" w:hAnsi="Century Gothic"/>
        </w:rPr>
        <w:t xml:space="preserve">el año 2008 </w:t>
      </w:r>
      <w:r w:rsidR="00027EDD" w:rsidRPr="005F5AF4">
        <w:rPr>
          <w:rFonts w:ascii="Century Gothic" w:hAnsi="Century Gothic"/>
        </w:rPr>
        <w:t>México ha imp</w:t>
      </w:r>
      <w:r w:rsidR="00027EDD">
        <w:rPr>
          <w:rFonts w:ascii="Century Gothic" w:hAnsi="Century Gothic"/>
        </w:rPr>
        <w:t>u</w:t>
      </w:r>
      <w:r w:rsidR="00027EDD" w:rsidRPr="005F5AF4">
        <w:rPr>
          <w:rFonts w:ascii="Century Gothic" w:hAnsi="Century Gothic"/>
        </w:rPr>
        <w:t>lsado la</w:t>
      </w:r>
      <w:r w:rsidR="00027EDD">
        <w:rPr>
          <w:rFonts w:ascii="Century Gothic" w:hAnsi="Century Gothic"/>
        </w:rPr>
        <w:t xml:space="preserve"> </w:t>
      </w:r>
      <w:r w:rsidR="00027EDD">
        <w:rPr>
          <w:rFonts w:ascii="Century Gothic" w:hAnsi="Century Gothic"/>
          <w:lang w:val="es-MX"/>
        </w:rPr>
        <w:t>implementación del modelo de</w:t>
      </w:r>
      <w:r w:rsidR="00027EDD" w:rsidRPr="005F5AF4">
        <w:rPr>
          <w:rFonts w:ascii="Century Gothic" w:hAnsi="Century Gothic"/>
        </w:rPr>
        <w:t xml:space="preserve"> </w:t>
      </w:r>
      <w:r w:rsidR="00027EDD" w:rsidRPr="00327210">
        <w:rPr>
          <w:rFonts w:ascii="Century Gothic" w:hAnsi="Century Gothic"/>
          <w:b/>
        </w:rPr>
        <w:t>Gestión para Resultados</w:t>
      </w:r>
      <w:r w:rsidR="00027EDD">
        <w:rPr>
          <w:rFonts w:ascii="Century Gothic" w:hAnsi="Century Gothic"/>
        </w:rPr>
        <w:t xml:space="preserve"> (GpR)</w:t>
      </w:r>
      <w:r w:rsidR="00027EDD">
        <w:rPr>
          <w:rStyle w:val="Refdenotaalpie"/>
          <w:rFonts w:ascii="Century Gothic" w:hAnsi="Century Gothic"/>
        </w:rPr>
        <w:footnoteReference w:id="6"/>
      </w:r>
      <w:r w:rsidR="00027EDD">
        <w:rPr>
          <w:rFonts w:ascii="Century Gothic" w:hAnsi="Century Gothic"/>
        </w:rPr>
        <w:t xml:space="preserve"> llevando a cabo diversas </w:t>
      </w:r>
      <w:r w:rsidR="00027EDD" w:rsidRPr="005F5AF4">
        <w:rPr>
          <w:rFonts w:ascii="Century Gothic" w:hAnsi="Century Gothic"/>
          <w:lang w:val="es-MX"/>
        </w:rPr>
        <w:t>reformas legales</w:t>
      </w:r>
      <w:r w:rsidR="00027EDD">
        <w:rPr>
          <w:rFonts w:ascii="Century Gothic" w:hAnsi="Century Gothic"/>
          <w:lang w:val="es-MX"/>
        </w:rPr>
        <w:t xml:space="preserve"> </w:t>
      </w:r>
      <w:r w:rsidR="00027EDD" w:rsidRPr="005F5AF4">
        <w:rPr>
          <w:rFonts w:ascii="Century Gothic" w:hAnsi="Century Gothic"/>
          <w:lang w:val="es-MX"/>
        </w:rPr>
        <w:t>en varios ordenamientos jurídicos</w:t>
      </w:r>
      <w:r w:rsidR="00027EDD">
        <w:rPr>
          <w:rFonts w:ascii="Century Gothic" w:hAnsi="Century Gothic"/>
        </w:rPr>
        <w:t>; estableciendo</w:t>
      </w:r>
      <w:r w:rsidR="00027EDD" w:rsidRPr="005F5AF4">
        <w:rPr>
          <w:rFonts w:ascii="Century Gothic" w:hAnsi="Century Gothic"/>
        </w:rPr>
        <w:t xml:space="preserve"> obligaciones para evaluar los resultados de los</w:t>
      </w:r>
      <w:r w:rsidR="00027EDD">
        <w:rPr>
          <w:rFonts w:ascii="Century Gothic" w:hAnsi="Century Gothic"/>
        </w:rPr>
        <w:t xml:space="preserve"> </w:t>
      </w:r>
      <w:r w:rsidR="00027EDD" w:rsidRPr="005F5AF4">
        <w:rPr>
          <w:rFonts w:ascii="Century Gothic" w:hAnsi="Century Gothic"/>
        </w:rPr>
        <w:t>programas sociales y los logros obtenidos por las entidades federativas y los municipios con</w:t>
      </w:r>
      <w:r w:rsidR="00027EDD">
        <w:rPr>
          <w:rFonts w:ascii="Century Gothic" w:hAnsi="Century Gothic"/>
        </w:rPr>
        <w:t xml:space="preserve"> </w:t>
      </w:r>
      <w:r w:rsidR="00027EDD" w:rsidRPr="005F5AF4">
        <w:rPr>
          <w:rFonts w:ascii="Century Gothic" w:hAnsi="Century Gothic"/>
        </w:rPr>
        <w:t>recursos federales</w:t>
      </w:r>
      <w:r w:rsidR="00027EDD">
        <w:rPr>
          <w:rFonts w:ascii="Century Gothic" w:hAnsi="Century Gothic"/>
        </w:rPr>
        <w:t>, r</w:t>
      </w:r>
      <w:r w:rsidR="00027EDD" w:rsidRPr="005F5AF4">
        <w:rPr>
          <w:rFonts w:ascii="Century Gothic" w:hAnsi="Century Gothic"/>
        </w:rPr>
        <w:t>ealiza</w:t>
      </w:r>
      <w:r w:rsidR="00027EDD">
        <w:rPr>
          <w:rFonts w:ascii="Century Gothic" w:hAnsi="Century Gothic"/>
        </w:rPr>
        <w:t>n</w:t>
      </w:r>
      <w:r w:rsidR="00027EDD" w:rsidRPr="005F5AF4">
        <w:rPr>
          <w:rFonts w:ascii="Century Gothic" w:hAnsi="Century Gothic"/>
        </w:rPr>
        <w:t>do esfuerzos por modernizar la administración de los</w:t>
      </w:r>
      <w:r w:rsidR="00027EDD">
        <w:rPr>
          <w:rFonts w:ascii="Century Gothic" w:hAnsi="Century Gothic"/>
        </w:rPr>
        <w:t xml:space="preserve"> </w:t>
      </w:r>
      <w:r w:rsidR="00027EDD" w:rsidRPr="005F5AF4">
        <w:rPr>
          <w:rFonts w:ascii="Century Gothic" w:hAnsi="Century Gothic"/>
        </w:rPr>
        <w:t>recursos públicos y la evaluación</w:t>
      </w:r>
      <w:r w:rsidR="00027EDD">
        <w:rPr>
          <w:rFonts w:ascii="Century Gothic" w:hAnsi="Century Gothic"/>
        </w:rPr>
        <w:t>.</w:t>
      </w:r>
    </w:p>
    <w:p w14:paraId="14DD0C53" w14:textId="77777777" w:rsidR="00027EDD" w:rsidRDefault="00027EDD" w:rsidP="00027EDD">
      <w:pPr>
        <w:spacing w:after="240" w:line="276" w:lineRule="auto"/>
        <w:jc w:val="both"/>
        <w:rPr>
          <w:rFonts w:ascii="Century Gothic" w:hAnsi="Century Gothic"/>
        </w:rPr>
      </w:pPr>
      <w:r>
        <w:rPr>
          <w:rFonts w:ascii="Century Gothic" w:hAnsi="Century Gothic"/>
        </w:rPr>
        <w:t xml:space="preserve">Dentro de las reformas destaca </w:t>
      </w:r>
      <w:r w:rsidRPr="00075F60">
        <w:rPr>
          <w:rFonts w:ascii="Century Gothic" w:hAnsi="Century Gothic"/>
        </w:rPr>
        <w:t>la constitucional en materia de gasto público y fiscalización</w:t>
      </w:r>
      <w:r>
        <w:rPr>
          <w:rFonts w:ascii="Century Gothic" w:hAnsi="Century Gothic"/>
        </w:rPr>
        <w:t xml:space="preserve"> publicada en el DOF en mayo de 2008, donde se establece:</w:t>
      </w:r>
    </w:p>
    <w:p w14:paraId="7F2E91D5" w14:textId="77777777" w:rsidR="00027EDD" w:rsidRDefault="00027EDD" w:rsidP="00027EDD">
      <w:pPr>
        <w:spacing w:after="240" w:line="276" w:lineRule="auto"/>
        <w:ind w:left="284" w:right="283"/>
        <w:jc w:val="both"/>
        <w:rPr>
          <w:rFonts w:ascii="Century Gothic" w:hAnsi="Century Gothic"/>
        </w:rPr>
      </w:pPr>
      <w:r>
        <w:rPr>
          <w:rFonts w:ascii="Century Gothic" w:hAnsi="Century Gothic"/>
        </w:rPr>
        <w:t>L</w:t>
      </w:r>
      <w:r w:rsidRPr="00325E99">
        <w:rPr>
          <w:rFonts w:ascii="Century Gothic" w:hAnsi="Century Gothic"/>
        </w:rPr>
        <w:t>os tres órdenes de gobierno deberán evaluar los resultados que obtengan con los recursos públicos, y administrarlos bajo los principios de eficiencia, eficacia, economía, transparencia y honradez, a fin de satisfacer los objetivos a los que estén destinados.</w:t>
      </w:r>
      <w:r>
        <w:rPr>
          <w:rFonts w:ascii="Century Gothic" w:hAnsi="Century Gothic"/>
        </w:rPr>
        <w:t xml:space="preserve"> (SHCP, s.a. Sistema de Evaluación del Desempeño).</w:t>
      </w:r>
    </w:p>
    <w:p w14:paraId="389D95BC" w14:textId="77777777" w:rsidR="00027EDD" w:rsidRDefault="00027EDD" w:rsidP="00027EDD">
      <w:pPr>
        <w:spacing w:after="240" w:line="276" w:lineRule="auto"/>
        <w:jc w:val="both"/>
        <w:rPr>
          <w:rFonts w:ascii="Century Gothic" w:hAnsi="Century Gothic"/>
        </w:rPr>
      </w:pPr>
      <w:r>
        <w:rPr>
          <w:rFonts w:ascii="Century Gothic" w:hAnsi="Century Gothic"/>
        </w:rPr>
        <w:t xml:space="preserve">Otro hito importante se da en 2006 con la anexión de la Ley </w:t>
      </w:r>
      <w:r w:rsidRPr="009558F1">
        <w:rPr>
          <w:rFonts w:ascii="Century Gothic" w:hAnsi="Century Gothic"/>
        </w:rPr>
        <w:t>Federal de Presupuesto y Responsabilidad Hacendaria</w:t>
      </w:r>
      <w:r w:rsidRPr="00075F60">
        <w:rPr>
          <w:rFonts w:ascii="Century Gothic" w:hAnsi="Century Gothic"/>
        </w:rPr>
        <w:t xml:space="preserve"> </w:t>
      </w:r>
      <w:r>
        <w:rPr>
          <w:rFonts w:ascii="Century Gothic" w:hAnsi="Century Gothic"/>
        </w:rPr>
        <w:t>(</w:t>
      </w:r>
      <w:r w:rsidRPr="00075F60">
        <w:rPr>
          <w:rFonts w:ascii="Century Gothic" w:hAnsi="Century Gothic"/>
        </w:rPr>
        <w:t>LFPRH</w:t>
      </w:r>
      <w:r>
        <w:rPr>
          <w:rFonts w:ascii="Century Gothic" w:hAnsi="Century Gothic"/>
        </w:rPr>
        <w:t>):</w:t>
      </w:r>
    </w:p>
    <w:p w14:paraId="108622CB" w14:textId="77777777" w:rsidR="00027EDD" w:rsidRPr="00075F60" w:rsidRDefault="00027EDD" w:rsidP="00027EDD">
      <w:pPr>
        <w:spacing w:after="240" w:line="276" w:lineRule="auto"/>
        <w:ind w:left="284" w:right="283"/>
        <w:jc w:val="both"/>
        <w:rPr>
          <w:rFonts w:ascii="Century Gothic" w:hAnsi="Century Gothic"/>
        </w:rPr>
      </w:pPr>
      <w:r>
        <w:rPr>
          <w:rFonts w:ascii="Century Gothic" w:hAnsi="Century Gothic"/>
        </w:rPr>
        <w:t>I</w:t>
      </w:r>
      <w:r w:rsidRPr="00075F60">
        <w:rPr>
          <w:rFonts w:ascii="Century Gothic" w:hAnsi="Century Gothic"/>
        </w:rPr>
        <w:t>ncorpor</w:t>
      </w:r>
      <w:r>
        <w:rPr>
          <w:rFonts w:ascii="Century Gothic" w:hAnsi="Century Gothic"/>
        </w:rPr>
        <w:t>a</w:t>
      </w:r>
      <w:r w:rsidRPr="00075F60">
        <w:rPr>
          <w:rFonts w:ascii="Century Gothic" w:hAnsi="Century Gothic"/>
        </w:rPr>
        <w:t xml:space="preserve"> principios de responsabilidad fiscal para promover una política económica que sustente el desarrollo del país con base en finanzas públicas sanas, el uso eficiente, eficaz y transparente de los recursos públicos y la rendición de cuentas a la población sobre el manejo de los mismos. En especial, la Ley institucionalizó los esfuerzos llevados a cabo durante la última década para implantar el PbR y el SED, cuyas disposiciones generales fueron emitidas conjuntamente por la SHCP y la SFP el 31 de marzo de 2008</w:t>
      </w:r>
      <w:r>
        <w:rPr>
          <w:rFonts w:ascii="Century Gothic" w:hAnsi="Century Gothic"/>
        </w:rPr>
        <w:t>, (SHCP, s.a. Sistema de Evaluación del Desempeño).</w:t>
      </w:r>
    </w:p>
    <w:p w14:paraId="04F182E4" w14:textId="77777777" w:rsidR="00027EDD" w:rsidRDefault="00027EDD" w:rsidP="00027EDD">
      <w:pPr>
        <w:spacing w:after="240" w:line="276" w:lineRule="auto"/>
        <w:jc w:val="both"/>
        <w:rPr>
          <w:rFonts w:ascii="Century Gothic" w:hAnsi="Century Gothic"/>
        </w:rPr>
      </w:pPr>
      <w:r>
        <w:rPr>
          <w:rFonts w:ascii="Century Gothic" w:hAnsi="Century Gothic"/>
        </w:rPr>
        <w:t xml:space="preserve">Así, este proceso ha conllevado a </w:t>
      </w:r>
      <w:r w:rsidRPr="00D34E41">
        <w:rPr>
          <w:rFonts w:ascii="Century Gothic" w:hAnsi="Century Gothic"/>
        </w:rPr>
        <w:t xml:space="preserve">adecuar </w:t>
      </w:r>
      <w:r>
        <w:rPr>
          <w:rFonts w:ascii="Century Gothic" w:hAnsi="Century Gothic"/>
        </w:rPr>
        <w:t>diferentes</w:t>
      </w:r>
      <w:r w:rsidRPr="00D34E41">
        <w:rPr>
          <w:rFonts w:ascii="Century Gothic" w:hAnsi="Century Gothic"/>
        </w:rPr>
        <w:t xml:space="preserve"> marco</w:t>
      </w:r>
      <w:r>
        <w:rPr>
          <w:rFonts w:ascii="Century Gothic" w:hAnsi="Century Gothic"/>
        </w:rPr>
        <w:t>s</w:t>
      </w:r>
      <w:r w:rsidRPr="00D34E41">
        <w:rPr>
          <w:rFonts w:ascii="Century Gothic" w:hAnsi="Century Gothic"/>
        </w:rPr>
        <w:t xml:space="preserve"> normativo</w:t>
      </w:r>
      <w:r>
        <w:rPr>
          <w:rFonts w:ascii="Century Gothic" w:hAnsi="Century Gothic"/>
        </w:rPr>
        <w:t xml:space="preserve">s regulando el uso de instrumentos metodológicos de planeación, análisis y </w:t>
      </w:r>
      <w:r>
        <w:rPr>
          <w:rFonts w:ascii="Century Gothic" w:hAnsi="Century Gothic"/>
        </w:rPr>
        <w:lastRenderedPageBreak/>
        <w:t>evaluación para promover</w:t>
      </w:r>
      <w:r w:rsidRPr="00D34E41">
        <w:rPr>
          <w:rFonts w:ascii="Century Gothic" w:hAnsi="Century Gothic"/>
        </w:rPr>
        <w:t xml:space="preserve"> acciones de mejora en el desempeño de las instituciones</w:t>
      </w:r>
      <w:r>
        <w:rPr>
          <w:rFonts w:ascii="Century Gothic" w:hAnsi="Century Gothic"/>
        </w:rPr>
        <w:t xml:space="preserve"> en manejo de los recursos públicos.</w:t>
      </w:r>
    </w:p>
    <w:p w14:paraId="403720B2" w14:textId="77777777" w:rsidR="00027EDD" w:rsidRPr="00D34E41" w:rsidRDefault="00027EDD" w:rsidP="00027EDD">
      <w:pPr>
        <w:spacing w:after="240" w:line="276" w:lineRule="auto"/>
        <w:jc w:val="both"/>
        <w:rPr>
          <w:rFonts w:ascii="Century Gothic" w:hAnsi="Century Gothic"/>
        </w:rPr>
      </w:pPr>
      <w:r w:rsidRPr="00327210">
        <w:rPr>
          <w:rFonts w:ascii="Century Gothic" w:hAnsi="Century Gothic"/>
          <w:lang w:val="es-MX"/>
        </w:rPr>
        <w:t xml:space="preserve">Desde entonces, y a la fecha, se ha </w:t>
      </w:r>
      <w:r>
        <w:rPr>
          <w:rFonts w:ascii="Century Gothic" w:hAnsi="Century Gothic"/>
          <w:lang w:val="es-MX"/>
        </w:rPr>
        <w:t xml:space="preserve">venido </w:t>
      </w:r>
      <w:r w:rsidRPr="00327210">
        <w:rPr>
          <w:rFonts w:ascii="Century Gothic" w:hAnsi="Century Gothic"/>
          <w:lang w:val="es-MX"/>
        </w:rPr>
        <w:t>trabajand</w:t>
      </w:r>
      <w:r>
        <w:rPr>
          <w:rFonts w:ascii="Century Gothic" w:hAnsi="Century Gothic"/>
          <w:lang w:val="es-MX"/>
        </w:rPr>
        <w:t>o</w:t>
      </w:r>
      <w:r w:rsidRPr="00327210">
        <w:rPr>
          <w:rFonts w:ascii="Century Gothic" w:hAnsi="Century Gothic"/>
          <w:lang w:val="es-MX"/>
        </w:rPr>
        <w:t xml:space="preserve"> para que el</w:t>
      </w:r>
      <w:r>
        <w:rPr>
          <w:rFonts w:ascii="Century Gothic" w:hAnsi="Century Gothic"/>
          <w:lang w:val="es-MX"/>
        </w:rPr>
        <w:t xml:space="preserve"> GpR</w:t>
      </w:r>
      <w:r w:rsidRPr="00945D62">
        <w:rPr>
          <w:rFonts w:ascii="Century Gothic" w:hAnsi="Century Gothic"/>
          <w:lang w:val="es-MX"/>
        </w:rPr>
        <w:t>,</w:t>
      </w:r>
      <w:r>
        <w:rPr>
          <w:rFonts w:ascii="Century Gothic" w:hAnsi="Century Gothic"/>
          <w:lang w:val="es-MX"/>
        </w:rPr>
        <w:t xml:space="preserve"> se incorpore</w:t>
      </w:r>
      <w:r w:rsidRPr="00945D62">
        <w:rPr>
          <w:rFonts w:ascii="Century Gothic" w:hAnsi="Century Gothic"/>
          <w:lang w:val="es-MX"/>
        </w:rPr>
        <w:t xml:space="preserve"> </w:t>
      </w:r>
      <w:r>
        <w:rPr>
          <w:rFonts w:ascii="Century Gothic" w:hAnsi="Century Gothic"/>
          <w:lang w:val="es-MX"/>
        </w:rPr>
        <w:t xml:space="preserve">con sus dos </w:t>
      </w:r>
      <w:r w:rsidRPr="00945D62">
        <w:rPr>
          <w:rFonts w:ascii="Century Gothic" w:hAnsi="Century Gothic"/>
          <w:lang w:val="es-MX"/>
        </w:rPr>
        <w:t>componentes</w:t>
      </w:r>
      <w:r>
        <w:rPr>
          <w:rFonts w:ascii="Century Gothic" w:hAnsi="Century Gothic"/>
          <w:lang w:val="es-MX"/>
        </w:rPr>
        <w:t xml:space="preserve"> </w:t>
      </w:r>
      <w:r w:rsidRPr="00945D62">
        <w:rPr>
          <w:rFonts w:ascii="Century Gothic" w:hAnsi="Century Gothic"/>
          <w:lang w:val="es-MX"/>
        </w:rPr>
        <w:t>sobresalientes: el Presupuesto basado en Resultados</w:t>
      </w:r>
      <w:r>
        <w:rPr>
          <w:rFonts w:ascii="Century Gothic" w:hAnsi="Century Gothic"/>
          <w:lang w:val="es-MX"/>
        </w:rPr>
        <w:t xml:space="preserve"> </w:t>
      </w:r>
      <w:r w:rsidRPr="00945D62">
        <w:rPr>
          <w:rFonts w:ascii="Century Gothic" w:hAnsi="Century Gothic"/>
          <w:lang w:val="es-MX"/>
        </w:rPr>
        <w:t>(PbR)</w:t>
      </w:r>
      <w:r>
        <w:rPr>
          <w:rStyle w:val="Refdenotaalpie"/>
          <w:rFonts w:ascii="Century Gothic" w:hAnsi="Century Gothic"/>
          <w:lang w:val="es-MX"/>
        </w:rPr>
        <w:footnoteReference w:id="7"/>
      </w:r>
      <w:r>
        <w:rPr>
          <w:rFonts w:ascii="Century Gothic" w:hAnsi="Century Gothic"/>
          <w:lang w:val="es-MX"/>
        </w:rPr>
        <w:t xml:space="preserve"> </w:t>
      </w:r>
      <w:r w:rsidRPr="00945D62">
        <w:rPr>
          <w:rFonts w:ascii="Century Gothic" w:hAnsi="Century Gothic"/>
          <w:lang w:val="es-MX"/>
        </w:rPr>
        <w:t>y el Sistema de</w:t>
      </w:r>
      <w:r>
        <w:rPr>
          <w:rFonts w:ascii="Century Gothic" w:hAnsi="Century Gothic"/>
          <w:lang w:val="es-MX"/>
        </w:rPr>
        <w:t xml:space="preserve"> </w:t>
      </w:r>
      <w:r w:rsidRPr="00945D62">
        <w:rPr>
          <w:rFonts w:ascii="Century Gothic" w:hAnsi="Century Gothic"/>
          <w:lang w:val="es-MX"/>
        </w:rPr>
        <w:t>Evaluación del Desempeño</w:t>
      </w:r>
      <w:r>
        <w:rPr>
          <w:rFonts w:ascii="Century Gothic" w:hAnsi="Century Gothic"/>
          <w:lang w:val="es-MX"/>
        </w:rPr>
        <w:t xml:space="preserve"> (SED)</w:t>
      </w:r>
      <w:r>
        <w:rPr>
          <w:rStyle w:val="Refdenotaalpie"/>
          <w:rFonts w:ascii="Century Gothic" w:hAnsi="Century Gothic"/>
          <w:lang w:val="es-MX"/>
        </w:rPr>
        <w:footnoteReference w:id="8"/>
      </w:r>
      <w:r>
        <w:rPr>
          <w:rFonts w:ascii="Century Gothic" w:hAnsi="Century Gothic"/>
          <w:lang w:val="es-MX"/>
        </w:rPr>
        <w:t xml:space="preserve"> </w:t>
      </w:r>
      <w:r w:rsidRPr="00D34E41">
        <w:rPr>
          <w:rFonts w:ascii="Century Gothic" w:hAnsi="Century Gothic"/>
        </w:rPr>
        <w:t>siendo parte esencial de la planeación de los recursos.</w:t>
      </w:r>
    </w:p>
    <w:p w14:paraId="1DEE2B87" w14:textId="77777777" w:rsidR="00027EDD" w:rsidRDefault="00027EDD" w:rsidP="00027EDD">
      <w:pPr>
        <w:spacing w:after="240" w:line="276" w:lineRule="auto"/>
        <w:jc w:val="both"/>
        <w:rPr>
          <w:rFonts w:ascii="Century Gothic" w:hAnsi="Century Gothic"/>
        </w:rPr>
      </w:pPr>
      <w:r>
        <w:rPr>
          <w:rFonts w:ascii="Century Gothic" w:hAnsi="Century Gothic"/>
        </w:rPr>
        <w:t>Bajo el contexto anteriormente expuesto es que a partir del 2008 se adecua la estructura programática en la que se basa el presupuesto:</w:t>
      </w:r>
    </w:p>
    <w:p w14:paraId="55088BDF" w14:textId="77777777" w:rsidR="00027EDD" w:rsidRDefault="00027EDD" w:rsidP="00027EDD">
      <w:pPr>
        <w:spacing w:after="240" w:line="276" w:lineRule="auto"/>
        <w:ind w:left="284" w:right="283"/>
        <w:jc w:val="both"/>
        <w:rPr>
          <w:rFonts w:ascii="Century Gothic" w:hAnsi="Century Gothic"/>
        </w:rPr>
      </w:pPr>
      <w:r w:rsidRPr="00E66675">
        <w:rPr>
          <w:rFonts w:ascii="Century Gothic" w:hAnsi="Century Gothic"/>
        </w:rPr>
        <w:t>La introducción de la categoría “</w:t>
      </w:r>
      <w:r w:rsidRPr="008624EB">
        <w:rPr>
          <w:rFonts w:ascii="Century Gothic" w:hAnsi="Century Gothic"/>
          <w:b/>
        </w:rPr>
        <w:t>Programa Presupuestario</w:t>
      </w:r>
      <w:r w:rsidRPr="00E66675">
        <w:rPr>
          <w:rFonts w:ascii="Century Gothic" w:hAnsi="Century Gothic"/>
        </w:rPr>
        <w:t>” que pe</w:t>
      </w:r>
      <w:r>
        <w:rPr>
          <w:rFonts w:ascii="Century Gothic" w:hAnsi="Century Gothic"/>
        </w:rPr>
        <w:t xml:space="preserve">rmite la identificación directa </w:t>
      </w:r>
      <w:r w:rsidRPr="00E66675">
        <w:rPr>
          <w:rFonts w:ascii="Century Gothic" w:hAnsi="Century Gothic"/>
        </w:rPr>
        <w:t>de los programas y actividades específicos de cada depe</w:t>
      </w:r>
      <w:r>
        <w:rPr>
          <w:rFonts w:ascii="Century Gothic" w:hAnsi="Century Gothic"/>
        </w:rPr>
        <w:t xml:space="preserve">ndencia o entidad, las unidades </w:t>
      </w:r>
      <w:r w:rsidRPr="00E66675">
        <w:rPr>
          <w:rFonts w:ascii="Century Gothic" w:hAnsi="Century Gothic"/>
        </w:rPr>
        <w:t>responsables que participan de la ejecución de los mismos</w:t>
      </w:r>
      <w:r>
        <w:rPr>
          <w:rFonts w:ascii="Century Gothic" w:hAnsi="Century Gothic"/>
        </w:rPr>
        <w:t xml:space="preserve"> y los recursos presupuestarios </w:t>
      </w:r>
      <w:r w:rsidRPr="00E66675">
        <w:rPr>
          <w:rFonts w:ascii="Century Gothic" w:hAnsi="Century Gothic"/>
        </w:rPr>
        <w:t>asignados al efecto</w:t>
      </w:r>
      <w:r>
        <w:rPr>
          <w:rFonts w:ascii="Century Gothic" w:hAnsi="Century Gothic"/>
        </w:rPr>
        <w:t>. (SHCP, s.a. Sistema de Evaluación del Desempeño).</w:t>
      </w:r>
    </w:p>
    <w:p w14:paraId="43EABBD5" w14:textId="77777777" w:rsidR="00027EDD" w:rsidRPr="00583C93" w:rsidRDefault="00027EDD" w:rsidP="00027EDD">
      <w:pPr>
        <w:tabs>
          <w:tab w:val="left" w:pos="284"/>
        </w:tabs>
        <w:spacing w:after="240" w:line="276" w:lineRule="auto"/>
        <w:jc w:val="both"/>
        <w:rPr>
          <w:rFonts w:ascii="Century Gothic" w:hAnsi="Century Gothic"/>
        </w:rPr>
      </w:pPr>
      <w:r>
        <w:rPr>
          <w:rFonts w:ascii="Century Gothic" w:hAnsi="Century Gothic"/>
        </w:rPr>
        <w:t xml:space="preserve">Así la CONAC aprobó el </w:t>
      </w:r>
      <w:r w:rsidRPr="00876110">
        <w:rPr>
          <w:rFonts w:ascii="Century Gothic" w:hAnsi="Century Gothic"/>
          <w:i/>
        </w:rPr>
        <w:t>Acuerdo para la clasificación programática (Tipología general),</w:t>
      </w:r>
      <w:r>
        <w:rPr>
          <w:rFonts w:ascii="Century Gothic" w:hAnsi="Century Gothic"/>
        </w:rPr>
        <w:t xml:space="preserve"> donde los programas presupuestarios s</w:t>
      </w:r>
      <w:r w:rsidRPr="00583C93">
        <w:rPr>
          <w:rFonts w:ascii="Century Gothic" w:hAnsi="Century Gothic"/>
        </w:rPr>
        <w:t>e clasifican en grupos, finalidades y modalidades, a efecto de identificar con toda</w:t>
      </w:r>
      <w:r>
        <w:rPr>
          <w:rFonts w:ascii="Century Gothic" w:hAnsi="Century Gothic"/>
        </w:rPr>
        <w:t xml:space="preserve"> </w:t>
      </w:r>
      <w:r w:rsidRPr="00876110">
        <w:rPr>
          <w:rFonts w:ascii="Century Gothic" w:hAnsi="Century Gothic"/>
        </w:rPr>
        <w:t>claridad las asignaciones y destino final del gasto público</w:t>
      </w:r>
      <w:r>
        <w:rPr>
          <w:rFonts w:ascii="Century Gothic" w:hAnsi="Century Gothic"/>
        </w:rPr>
        <w:t>.</w:t>
      </w:r>
    </w:p>
    <w:p w14:paraId="1F34C1B5" w14:textId="77777777" w:rsidR="00027EDD" w:rsidRDefault="00027EDD" w:rsidP="00027EDD">
      <w:pPr>
        <w:tabs>
          <w:tab w:val="left" w:pos="284"/>
        </w:tabs>
        <w:spacing w:after="240" w:line="276" w:lineRule="auto"/>
        <w:jc w:val="both"/>
        <w:rPr>
          <w:rFonts w:ascii="Century Gothic" w:hAnsi="Century Gothic"/>
        </w:rPr>
      </w:pPr>
      <w:r>
        <w:rPr>
          <w:rFonts w:ascii="Century Gothic" w:hAnsi="Century Gothic"/>
        </w:rPr>
        <w:t>Este cambio ha sido relevante para fortalecer la vinculación entre la planeación y los objetivos de política pública.</w:t>
      </w:r>
    </w:p>
    <w:p w14:paraId="45F802BD" w14:textId="77777777" w:rsidR="00027EDD" w:rsidRDefault="00027EDD" w:rsidP="00027EDD">
      <w:pPr>
        <w:spacing w:after="240" w:line="276" w:lineRule="auto"/>
        <w:jc w:val="both"/>
        <w:rPr>
          <w:rFonts w:ascii="Century Gothic" w:hAnsi="Century Gothic"/>
        </w:rPr>
      </w:pPr>
      <w:r>
        <w:rPr>
          <w:rFonts w:ascii="Century Gothic" w:hAnsi="Century Gothic"/>
        </w:rPr>
        <w:t xml:space="preserve">Ante ello, se debe tener claridad en que el ejercicio de los recursos se da por medio de los </w:t>
      </w:r>
      <w:r w:rsidRPr="00B7132D">
        <w:rPr>
          <w:rFonts w:ascii="Century Gothic" w:hAnsi="Century Gothic"/>
          <w:b/>
        </w:rPr>
        <w:t>programas presupuestarios</w:t>
      </w:r>
      <w:r>
        <w:rPr>
          <w:rFonts w:ascii="Century Gothic" w:hAnsi="Century Gothic"/>
          <w:b/>
        </w:rPr>
        <w:t>,</w:t>
      </w:r>
      <w:r>
        <w:rPr>
          <w:rFonts w:ascii="Century Gothic" w:hAnsi="Century Gothic"/>
        </w:rPr>
        <w:t xml:space="preserve"> siendo estos e</w:t>
      </w:r>
      <w:r w:rsidRPr="00B7132D">
        <w:rPr>
          <w:rFonts w:ascii="Century Gothic" w:hAnsi="Century Gothic"/>
        </w:rPr>
        <w:t xml:space="preserve">l </w:t>
      </w:r>
      <w:r w:rsidRPr="00712473">
        <w:rPr>
          <w:rFonts w:ascii="Century Gothic" w:hAnsi="Century Gothic"/>
          <w:b/>
        </w:rPr>
        <w:t>vínculo entre las necesidades de la sociedad y el gasto público del Gobierno</w:t>
      </w:r>
      <w:r>
        <w:rPr>
          <w:rFonts w:ascii="Century Gothic" w:hAnsi="Century Gothic"/>
        </w:rPr>
        <w:t xml:space="preserve"> </w:t>
      </w:r>
      <w:r w:rsidRPr="00712473">
        <w:rPr>
          <w:rFonts w:ascii="Century Gothic" w:hAnsi="Century Gothic"/>
        </w:rPr>
        <w:t>para l</w:t>
      </w:r>
      <w:r>
        <w:rPr>
          <w:rFonts w:ascii="Century Gothic" w:hAnsi="Century Gothic"/>
        </w:rPr>
        <w:t>ograr un resultado e</w:t>
      </w:r>
      <w:r w:rsidRPr="00712473">
        <w:rPr>
          <w:rFonts w:ascii="Century Gothic" w:hAnsi="Century Gothic"/>
        </w:rPr>
        <w:t xml:space="preserve">specífico a favor de la población y así contribuir al logro </w:t>
      </w:r>
      <w:r>
        <w:rPr>
          <w:rFonts w:ascii="Century Gothic" w:hAnsi="Century Gothic"/>
        </w:rPr>
        <w:t xml:space="preserve">de un objetivo de </w:t>
      </w:r>
      <w:r w:rsidRPr="00712473">
        <w:rPr>
          <w:rFonts w:ascii="Century Gothic" w:hAnsi="Century Gothic"/>
        </w:rPr>
        <w:t>política pública</w:t>
      </w:r>
      <w:r>
        <w:rPr>
          <w:rFonts w:ascii="Century Gothic" w:hAnsi="Century Gothic"/>
        </w:rPr>
        <w:t xml:space="preserve">. </w:t>
      </w:r>
    </w:p>
    <w:p w14:paraId="568DD929" w14:textId="77777777" w:rsidR="00027EDD" w:rsidRDefault="00027EDD" w:rsidP="00027EDD">
      <w:pPr>
        <w:spacing w:after="240" w:line="276" w:lineRule="auto"/>
        <w:jc w:val="both"/>
        <w:rPr>
          <w:rFonts w:ascii="Century Gothic" w:hAnsi="Century Gothic"/>
        </w:rPr>
      </w:pPr>
      <w:r>
        <w:rPr>
          <w:rFonts w:ascii="Century Gothic" w:hAnsi="Century Gothic"/>
        </w:rPr>
        <w:lastRenderedPageBreak/>
        <w:t xml:space="preserve">Bajo este contexto los Programas Presupuestarios se establecen con el objeto de </w:t>
      </w:r>
      <w:r w:rsidRPr="00BA471D">
        <w:rPr>
          <w:rFonts w:ascii="Century Gothic" w:hAnsi="Century Gothic"/>
          <w:b/>
        </w:rPr>
        <w:t>atender o resolver un problema específico en determinada población</w:t>
      </w:r>
      <w:r>
        <w:rPr>
          <w:rFonts w:ascii="Century Gothic" w:hAnsi="Century Gothic"/>
        </w:rPr>
        <w:t>. En general se puede entender como Programa Presupuestario:</w:t>
      </w:r>
    </w:p>
    <w:p w14:paraId="1AD0E532" w14:textId="77777777" w:rsidR="00027EDD" w:rsidRDefault="00027EDD" w:rsidP="00027EDD">
      <w:pPr>
        <w:spacing w:after="240" w:line="276" w:lineRule="auto"/>
        <w:ind w:left="284" w:right="283"/>
        <w:jc w:val="both"/>
        <w:rPr>
          <w:rFonts w:ascii="Century Gothic" w:hAnsi="Century Gothic"/>
        </w:rPr>
      </w:pPr>
      <w:r>
        <w:rPr>
          <w:rFonts w:ascii="Century Gothic" w:hAnsi="Century Gothic"/>
        </w:rPr>
        <w:t>U</w:t>
      </w:r>
      <w:r w:rsidRPr="000E012B">
        <w:rPr>
          <w:rFonts w:ascii="Century Gothic" w:hAnsi="Century Gothic"/>
        </w:rPr>
        <w:t xml:space="preserve">n conjunto articulado de bienes y/o servicios que se producen y entregan a una población objetivo (o un área de enfoque) con el fin de atender necesidades específicas (problemas específicos que atiende la dependencia u organismo) que le permitirán </w:t>
      </w:r>
      <w:r>
        <w:rPr>
          <w:rFonts w:ascii="Century Gothic" w:hAnsi="Century Gothic"/>
        </w:rPr>
        <w:t>mejorar sus condiciones de vida. (INDETEC, 2012, p:3).</w:t>
      </w:r>
    </w:p>
    <w:p w14:paraId="5AF566D6" w14:textId="77777777" w:rsidR="00027EDD" w:rsidRDefault="00027EDD" w:rsidP="00027EDD">
      <w:pPr>
        <w:spacing w:after="240" w:line="276" w:lineRule="auto"/>
        <w:jc w:val="both"/>
        <w:rPr>
          <w:rFonts w:ascii="Century Gothic" w:hAnsi="Century Gothic"/>
        </w:rPr>
      </w:pPr>
      <w:r>
        <w:rPr>
          <w:rFonts w:ascii="Century Gothic" w:hAnsi="Century Gothic"/>
        </w:rPr>
        <w:t xml:space="preserve">Es decir, los Programas Presupuestarios se convierten en el medio por los que el gobierno atiende las diferentes problemáticas que llegue a presentarla sociedad, bien sea que estos </w:t>
      </w:r>
      <w:r w:rsidRPr="00BA471D">
        <w:rPr>
          <w:rFonts w:ascii="Century Gothic" w:hAnsi="Century Gothic"/>
        </w:rPr>
        <w:t>respondan a una necesidad, demanda de la población,</w:t>
      </w:r>
      <w:r>
        <w:rPr>
          <w:rFonts w:ascii="Century Gothic" w:hAnsi="Century Gothic"/>
        </w:rPr>
        <w:t xml:space="preserve"> </w:t>
      </w:r>
      <w:r w:rsidRPr="00BA471D">
        <w:rPr>
          <w:rFonts w:ascii="Century Gothic" w:hAnsi="Century Gothic"/>
        </w:rPr>
        <w:t xml:space="preserve">compromisos específicos </w:t>
      </w:r>
      <w:r>
        <w:rPr>
          <w:rFonts w:ascii="Century Gothic" w:hAnsi="Century Gothic"/>
        </w:rPr>
        <w:t>de los planes de gobierno</w:t>
      </w:r>
      <w:r w:rsidRPr="00BA471D">
        <w:rPr>
          <w:rFonts w:ascii="Century Gothic" w:hAnsi="Century Gothic"/>
        </w:rPr>
        <w:t xml:space="preserve"> o a servicios</w:t>
      </w:r>
      <w:r>
        <w:rPr>
          <w:rFonts w:ascii="Century Gothic" w:hAnsi="Century Gothic"/>
        </w:rPr>
        <w:t xml:space="preserve"> que por</w:t>
      </w:r>
      <w:r w:rsidRPr="00BA471D">
        <w:rPr>
          <w:rFonts w:ascii="Century Gothic" w:hAnsi="Century Gothic"/>
        </w:rPr>
        <w:t xml:space="preserve"> </w:t>
      </w:r>
      <w:r>
        <w:rPr>
          <w:rFonts w:ascii="Century Gothic" w:hAnsi="Century Gothic"/>
        </w:rPr>
        <w:t>obligación (Constitucional) se deben suministrar a la sociedad.</w:t>
      </w:r>
    </w:p>
    <w:p w14:paraId="1376F803" w14:textId="77777777" w:rsidR="00027EDD" w:rsidRDefault="00027EDD" w:rsidP="00027EDD">
      <w:pPr>
        <w:spacing w:after="240" w:line="276" w:lineRule="auto"/>
        <w:jc w:val="both"/>
        <w:rPr>
          <w:rFonts w:ascii="Century Gothic" w:hAnsi="Century Gothic"/>
        </w:rPr>
      </w:pPr>
      <w:r>
        <w:rPr>
          <w:rFonts w:ascii="Century Gothic" w:hAnsi="Century Gothic"/>
        </w:rPr>
        <w:t xml:space="preserve">De igual forma se debe tener presente que el </w:t>
      </w:r>
      <w:r w:rsidRPr="00BA471D">
        <w:rPr>
          <w:rFonts w:ascii="Century Gothic" w:hAnsi="Century Gothic"/>
        </w:rPr>
        <w:t>proceso de programación – presupuestación</w:t>
      </w:r>
      <w:r>
        <w:rPr>
          <w:rFonts w:ascii="Century Gothic" w:hAnsi="Century Gothic"/>
        </w:rPr>
        <w:t xml:space="preserve"> se debe hacer</w:t>
      </w:r>
      <w:r w:rsidRPr="00A64960">
        <w:rPr>
          <w:rFonts w:ascii="Century Gothic" w:hAnsi="Century Gothic"/>
        </w:rPr>
        <w:t xml:space="preserve"> </w:t>
      </w:r>
      <w:r>
        <w:rPr>
          <w:rFonts w:ascii="Century Gothic" w:hAnsi="Century Gothic"/>
        </w:rPr>
        <w:t>bajo</w:t>
      </w:r>
      <w:r w:rsidRPr="00A64960">
        <w:rPr>
          <w:rFonts w:ascii="Century Gothic" w:hAnsi="Century Gothic"/>
        </w:rPr>
        <w:t xml:space="preserve"> la Met</w:t>
      </w:r>
      <w:r>
        <w:rPr>
          <w:rFonts w:ascii="Century Gothic" w:hAnsi="Century Gothic"/>
        </w:rPr>
        <w:t xml:space="preserve">odología de Marco Lógico (MML) </w:t>
      </w:r>
      <w:r w:rsidRPr="00A64960">
        <w:rPr>
          <w:rFonts w:ascii="Century Gothic" w:hAnsi="Century Gothic"/>
        </w:rPr>
        <w:t>referido principalmente en la Matriz de Indicadores</w:t>
      </w:r>
      <w:r>
        <w:rPr>
          <w:rFonts w:ascii="Century Gothic" w:hAnsi="Century Gothic"/>
        </w:rPr>
        <w:t xml:space="preserve"> para Resultados</w:t>
      </w:r>
      <w:r w:rsidRPr="00A64960">
        <w:rPr>
          <w:rFonts w:ascii="Century Gothic" w:hAnsi="Century Gothic"/>
        </w:rPr>
        <w:t xml:space="preserve"> (MI</w:t>
      </w:r>
      <w:r>
        <w:rPr>
          <w:rFonts w:ascii="Century Gothic" w:hAnsi="Century Gothic"/>
        </w:rPr>
        <w:t>R</w:t>
      </w:r>
      <w:r w:rsidRPr="00A64960">
        <w:rPr>
          <w:rFonts w:ascii="Century Gothic" w:hAnsi="Century Gothic"/>
        </w:rPr>
        <w:t>)</w:t>
      </w:r>
      <w:r>
        <w:rPr>
          <w:rFonts w:ascii="Century Gothic" w:hAnsi="Century Gothic"/>
        </w:rPr>
        <w:t>, instrumento que facilita el proceso de planeación:</w:t>
      </w:r>
    </w:p>
    <w:p w14:paraId="56153D84" w14:textId="77777777" w:rsidR="00027EDD" w:rsidRDefault="00027EDD" w:rsidP="00027EDD">
      <w:pPr>
        <w:spacing w:after="240" w:line="276" w:lineRule="auto"/>
        <w:ind w:left="284" w:right="283"/>
        <w:jc w:val="both"/>
        <w:rPr>
          <w:rFonts w:ascii="Century Gothic" w:hAnsi="Century Gothic"/>
        </w:rPr>
      </w:pPr>
      <w:r w:rsidRPr="00A64960">
        <w:rPr>
          <w:rFonts w:ascii="Century Gothic" w:hAnsi="Century Gothic"/>
        </w:rPr>
        <w:t xml:space="preserve">La aplicación de la MML mejora el diseño y la lógica interna de los programas presupuestarios, obliga a la </w:t>
      </w:r>
      <w:r w:rsidRPr="00057532">
        <w:rPr>
          <w:rFonts w:ascii="Century Gothic" w:hAnsi="Century Gothic"/>
          <w:b/>
        </w:rPr>
        <w:t>definición de sus objetivos</w:t>
      </w:r>
      <w:r w:rsidRPr="00A64960">
        <w:rPr>
          <w:rFonts w:ascii="Century Gothic" w:hAnsi="Century Gothic"/>
        </w:rPr>
        <w:t>, indicadores y metas -sintetizados en la MI</w:t>
      </w:r>
      <w:r>
        <w:rPr>
          <w:rFonts w:ascii="Century Gothic" w:hAnsi="Century Gothic"/>
        </w:rPr>
        <w:t>R</w:t>
      </w:r>
      <w:r w:rsidRPr="00A64960">
        <w:rPr>
          <w:rFonts w:ascii="Century Gothic" w:hAnsi="Century Gothic"/>
        </w:rPr>
        <w:t>- y facilita la evaluación de sus resultados. Además, coadyuva a estandarizar el lenguaje entre los actores que intervienen en los proceso de planeación y de presupuestación, y facilita su comunicación</w:t>
      </w:r>
      <w:r>
        <w:rPr>
          <w:rFonts w:ascii="Century Gothic" w:hAnsi="Century Gothic"/>
        </w:rPr>
        <w:t>. (SHCP, s.a. Sistema de Evaluación del Desempeño).</w:t>
      </w:r>
    </w:p>
    <w:p w14:paraId="07E5D429" w14:textId="77777777" w:rsidR="00027EDD" w:rsidRDefault="00027EDD" w:rsidP="00027EDD">
      <w:pPr>
        <w:spacing w:after="240" w:line="276" w:lineRule="auto"/>
        <w:jc w:val="both"/>
        <w:rPr>
          <w:rFonts w:ascii="Century Gothic" w:hAnsi="Century Gothic"/>
        </w:rPr>
      </w:pPr>
      <w:r w:rsidRPr="009D0552">
        <w:rPr>
          <w:rFonts w:ascii="Century Gothic" w:hAnsi="Century Gothic"/>
        </w:rPr>
        <w:t xml:space="preserve">Por tanto la conformación de la MIR para los Programas Presupuestarios proporciona indicadores de desempeño que permiten valorar los resultados en la ejecución </w:t>
      </w:r>
      <w:r>
        <w:rPr>
          <w:rFonts w:ascii="Century Gothic" w:hAnsi="Century Gothic"/>
        </w:rPr>
        <w:t>de dichos programas</w:t>
      </w:r>
      <w:r w:rsidRPr="009D0552">
        <w:rPr>
          <w:rFonts w:ascii="Century Gothic" w:hAnsi="Century Gothic"/>
        </w:rPr>
        <w:t xml:space="preserve">, y </w:t>
      </w:r>
      <w:r>
        <w:rPr>
          <w:rFonts w:ascii="Century Gothic" w:hAnsi="Century Gothic"/>
        </w:rPr>
        <w:t xml:space="preserve">esto a su vez permite evaluar los logros y </w:t>
      </w:r>
      <w:r w:rsidRPr="009D0552">
        <w:rPr>
          <w:rFonts w:ascii="Century Gothic" w:hAnsi="Century Gothic"/>
        </w:rPr>
        <w:t xml:space="preserve"> retroalimentar el proceso presupuestal de ejercicios futuros.</w:t>
      </w:r>
    </w:p>
    <w:p w14:paraId="1708EF41" w14:textId="77777777" w:rsidR="00027EDD" w:rsidRDefault="00027EDD" w:rsidP="00027EDD">
      <w:pPr>
        <w:spacing w:after="240" w:line="276" w:lineRule="auto"/>
        <w:jc w:val="both"/>
        <w:rPr>
          <w:rFonts w:ascii="Century Gothic" w:hAnsi="Century Gothic"/>
        </w:rPr>
      </w:pPr>
      <w:r>
        <w:rPr>
          <w:rFonts w:ascii="Century Gothic" w:hAnsi="Century Gothic"/>
        </w:rPr>
        <w:t xml:space="preserve">Para llevar a cabo la operación de cada uno de los Programas Presupuestarios los gobiernos deben contar con los recursos monetarios para su ejecución, ya sean de origen Federal o ingresos propios (para el caso de Estados y Municipios). </w:t>
      </w:r>
    </w:p>
    <w:p w14:paraId="4CCF5998" w14:textId="77777777" w:rsidR="00027EDD" w:rsidRDefault="00027EDD" w:rsidP="00027EDD">
      <w:pPr>
        <w:spacing w:after="240" w:line="276" w:lineRule="auto"/>
        <w:jc w:val="both"/>
        <w:rPr>
          <w:rFonts w:ascii="Century Gothic" w:hAnsi="Century Gothic"/>
        </w:rPr>
      </w:pPr>
      <w:r>
        <w:rPr>
          <w:rFonts w:ascii="Century Gothic" w:hAnsi="Century Gothic"/>
        </w:rPr>
        <w:lastRenderedPageBreak/>
        <w:t xml:space="preserve">Una de las principales fuentes de ingreso para Estados y Municipios son </w:t>
      </w:r>
      <w:r w:rsidRPr="00183008">
        <w:rPr>
          <w:rFonts w:ascii="Century Gothic" w:hAnsi="Century Gothic"/>
        </w:rPr>
        <w:t>las participaciones y aportaciones federales</w:t>
      </w:r>
      <w:r>
        <w:rPr>
          <w:rStyle w:val="Refdenotaalpie"/>
          <w:rFonts w:ascii="Century Gothic" w:hAnsi="Century Gothic"/>
        </w:rPr>
        <w:footnoteReference w:id="9"/>
      </w:r>
      <w:r>
        <w:rPr>
          <w:rFonts w:ascii="Century Gothic" w:hAnsi="Century Gothic"/>
        </w:rPr>
        <w:t xml:space="preserve">, con los que la </w:t>
      </w:r>
      <w:r w:rsidRPr="00A91A57">
        <w:rPr>
          <w:rFonts w:ascii="Century Gothic" w:hAnsi="Century Gothic"/>
        </w:rPr>
        <w:t>Federación apoya a los gobiernos locales que deben atender las necesidades de su población; buscando además, fortalecer los presupuestos de las entidades federativas y las regiones que conforman</w:t>
      </w:r>
      <w:r>
        <w:rPr>
          <w:rFonts w:ascii="Century Gothic" w:hAnsi="Century Gothic"/>
        </w:rPr>
        <w:t>. Así, e</w:t>
      </w:r>
      <w:r w:rsidRPr="004D4C67">
        <w:rPr>
          <w:rFonts w:ascii="Century Gothic" w:hAnsi="Century Gothic"/>
        </w:rPr>
        <w:t>stos recursos son empleados por los gobiernos estatales</w:t>
      </w:r>
      <w:r>
        <w:rPr>
          <w:rFonts w:ascii="Century Gothic" w:hAnsi="Century Gothic"/>
        </w:rPr>
        <w:t xml:space="preserve"> y/o municipales</w:t>
      </w:r>
      <w:r w:rsidRPr="004D4C67">
        <w:rPr>
          <w:rFonts w:ascii="Century Gothic" w:hAnsi="Century Gothic"/>
        </w:rPr>
        <w:t xml:space="preserve"> para complementar </w:t>
      </w:r>
      <w:r>
        <w:rPr>
          <w:rFonts w:ascii="Century Gothic" w:hAnsi="Century Gothic"/>
        </w:rPr>
        <w:t>sus ingresos y llevar a cabo las actividades de cada programa.</w:t>
      </w:r>
    </w:p>
    <w:p w14:paraId="49ACF2E9" w14:textId="77777777" w:rsidR="00027EDD" w:rsidRDefault="00027EDD" w:rsidP="00027EDD">
      <w:pPr>
        <w:spacing w:after="240" w:line="276" w:lineRule="auto"/>
        <w:jc w:val="both"/>
        <w:rPr>
          <w:rFonts w:ascii="Century Gothic" w:hAnsi="Century Gothic"/>
        </w:rPr>
      </w:pPr>
      <w:r>
        <w:rPr>
          <w:rFonts w:ascii="Century Gothic" w:hAnsi="Century Gothic"/>
        </w:rPr>
        <w:t xml:space="preserve">Estas aportaciones federales se clasifican en diversos Ramos que a su vez están compuestos por </w:t>
      </w:r>
      <w:r w:rsidRPr="003F7728">
        <w:rPr>
          <w:rFonts w:ascii="Century Gothic" w:hAnsi="Century Gothic"/>
          <w:b/>
        </w:rPr>
        <w:t>Fondos de Aportaciones</w:t>
      </w:r>
      <w:r>
        <w:rPr>
          <w:rFonts w:ascii="Century Gothic" w:hAnsi="Century Gothic"/>
        </w:rPr>
        <w:t xml:space="preserve">, cada uno con un objeto y normatividad específica. Así, un Fondo se convierte en el origen de los recursos mediante los cuales </w:t>
      </w:r>
      <w:r w:rsidR="005E0431">
        <w:rPr>
          <w:rFonts w:ascii="Century Gothic" w:hAnsi="Century Gothic"/>
        </w:rPr>
        <w:t>operan</w:t>
      </w:r>
      <w:r>
        <w:rPr>
          <w:rFonts w:ascii="Century Gothic" w:hAnsi="Century Gothic"/>
        </w:rPr>
        <w:t xml:space="preserve"> los Programas Presupuestarios.</w:t>
      </w:r>
    </w:p>
    <w:p w14:paraId="0AEFB48E" w14:textId="77777777" w:rsidR="005E0431" w:rsidRDefault="005E0431" w:rsidP="00027EDD">
      <w:pPr>
        <w:spacing w:after="240" w:line="276" w:lineRule="auto"/>
        <w:jc w:val="both"/>
        <w:rPr>
          <w:rFonts w:ascii="Century Gothic" w:hAnsi="Century Gothic"/>
        </w:rPr>
      </w:pPr>
      <w:r>
        <w:rPr>
          <w:rFonts w:ascii="Century Gothic" w:hAnsi="Century Gothic"/>
        </w:rPr>
        <w:t>Dado que los Fondos se crean bajo un objetivo específico, s</w:t>
      </w:r>
      <w:r w:rsidRPr="005E0431">
        <w:rPr>
          <w:rFonts w:ascii="Century Gothic" w:hAnsi="Century Gothic"/>
        </w:rPr>
        <w:t xml:space="preserve">e debe tener en cuenta </w:t>
      </w:r>
      <w:r>
        <w:rPr>
          <w:rFonts w:ascii="Century Gothic" w:hAnsi="Century Gothic"/>
        </w:rPr>
        <w:t>que un mismo Fondo puede financiar diversos programas presupuestarios con problemáticas</w:t>
      </w:r>
      <w:r w:rsidR="0031045E">
        <w:rPr>
          <w:rFonts w:ascii="Century Gothic" w:hAnsi="Century Gothic"/>
        </w:rPr>
        <w:t xml:space="preserve"> diferentes pero con un tema</w:t>
      </w:r>
      <w:r>
        <w:rPr>
          <w:rFonts w:ascii="Century Gothic" w:hAnsi="Century Gothic"/>
        </w:rPr>
        <w:t xml:space="preserve"> en común.</w:t>
      </w:r>
    </w:p>
    <w:p w14:paraId="28EE723F" w14:textId="77777777" w:rsidR="00B822EE" w:rsidRDefault="0031045E" w:rsidP="00027EDD">
      <w:pPr>
        <w:spacing w:after="240" w:line="276" w:lineRule="auto"/>
        <w:jc w:val="both"/>
        <w:rPr>
          <w:rFonts w:ascii="Century Gothic" w:hAnsi="Century Gothic"/>
        </w:rPr>
      </w:pPr>
      <w:r>
        <w:rPr>
          <w:rFonts w:ascii="Century Gothic" w:hAnsi="Century Gothic"/>
        </w:rPr>
        <w:t>Como es el c</w:t>
      </w:r>
      <w:r w:rsidR="005E0431">
        <w:rPr>
          <w:rFonts w:ascii="Century Gothic" w:hAnsi="Century Gothic"/>
        </w:rPr>
        <w:t>aso del Ram</w:t>
      </w:r>
      <w:r>
        <w:rPr>
          <w:rFonts w:ascii="Century Gothic" w:hAnsi="Century Gothic"/>
        </w:rPr>
        <w:t>o 33</w:t>
      </w:r>
      <w:r w:rsidR="00B822EE">
        <w:rPr>
          <w:rFonts w:ascii="Century Gothic" w:hAnsi="Century Gothic"/>
        </w:rPr>
        <w:t>, que s</w:t>
      </w:r>
      <w:r w:rsidR="00B822EE" w:rsidRPr="00B822EE">
        <w:rPr>
          <w:rFonts w:ascii="Century Gothic" w:hAnsi="Century Gothic"/>
        </w:rPr>
        <w:t>on recursos que la Federación transfiere a las haciendas públicas de los Estados, Distrito Federal, y en su caso, de los Municipios cuyo gasto está condicionado a la consecución y cumplimiento de los objetivos que la Ley de Coordinación Fiscal dispone</w:t>
      </w:r>
      <w:r w:rsidR="00B822EE">
        <w:rPr>
          <w:rFonts w:ascii="Century Gothic" w:hAnsi="Century Gothic"/>
        </w:rPr>
        <w:t>. (SHCP, 2017).</w:t>
      </w:r>
    </w:p>
    <w:p w14:paraId="5EA19960" w14:textId="77777777" w:rsidR="005E0431" w:rsidRDefault="00B822EE" w:rsidP="00B822EE">
      <w:pPr>
        <w:spacing w:after="240" w:line="276" w:lineRule="auto"/>
        <w:jc w:val="both"/>
        <w:rPr>
          <w:rFonts w:ascii="Century Gothic" w:hAnsi="Century Gothic"/>
        </w:rPr>
      </w:pPr>
      <w:r>
        <w:rPr>
          <w:rFonts w:ascii="Century Gothic" w:hAnsi="Century Gothic"/>
        </w:rPr>
        <w:t>Dicho Ramo está</w:t>
      </w:r>
      <w:r w:rsidR="0031045E">
        <w:rPr>
          <w:rFonts w:ascii="Century Gothic" w:hAnsi="Century Gothic"/>
        </w:rPr>
        <w:t xml:space="preserve"> compuesto por ocho Fondos, donde cada uno de ellos </w:t>
      </w:r>
      <w:r w:rsidR="0031045E" w:rsidRPr="0031045E">
        <w:rPr>
          <w:rFonts w:ascii="Century Gothic" w:hAnsi="Century Gothic"/>
        </w:rPr>
        <w:t>tienen un destino específico en el gasto de las entidades federativas quienes lo deben ejercer de acuerdo a las leyes, reglas de operación, lineamientos y normas aplicables</w:t>
      </w:r>
      <w:r>
        <w:rPr>
          <w:rFonts w:ascii="Century Gothic" w:hAnsi="Century Gothic"/>
        </w:rPr>
        <w:t>.</w:t>
      </w:r>
    </w:p>
    <w:p w14:paraId="7885E471" w14:textId="77777777" w:rsidR="00B822EE" w:rsidRPr="00B822EE" w:rsidRDefault="00B822EE" w:rsidP="00B822EE">
      <w:pPr>
        <w:spacing w:after="240" w:line="276" w:lineRule="auto"/>
        <w:jc w:val="both"/>
        <w:rPr>
          <w:rFonts w:ascii="Century Gothic" w:hAnsi="Century Gothic"/>
        </w:rPr>
      </w:pPr>
      <w:r w:rsidRPr="00B822EE">
        <w:rPr>
          <w:rFonts w:ascii="Century Gothic" w:hAnsi="Century Gothic"/>
        </w:rPr>
        <w:t xml:space="preserve">En general la ejecución de los recursos de dichos fondos debe estar encaminada a actividades relacionadas con áreas prioritarias para el desarrollo nacional, como la educación básica y normal, salud, combate a la pobreza, asistencia social, infraestructura educativa, fortalecimiento de las entidades federativas y para los municipios y demarcaciones territoriales del </w:t>
      </w:r>
      <w:r w:rsidRPr="00B822EE">
        <w:rPr>
          <w:rFonts w:ascii="Century Gothic" w:hAnsi="Century Gothic"/>
        </w:rPr>
        <w:lastRenderedPageBreak/>
        <w:t>Distrito Federal, seguridad pública, educación tecnológica y de adultos, y con fines específicos</w:t>
      </w:r>
      <w:r>
        <w:rPr>
          <w:rFonts w:ascii="Century Gothic" w:hAnsi="Century Gothic"/>
        </w:rPr>
        <w:t>. (SHCP, 2017).</w:t>
      </w:r>
    </w:p>
    <w:p w14:paraId="4399CAD2" w14:textId="77777777" w:rsidR="00027EDD" w:rsidRDefault="00027EDD" w:rsidP="00027EDD">
      <w:pPr>
        <w:spacing w:after="240" w:line="276" w:lineRule="auto"/>
        <w:jc w:val="both"/>
        <w:rPr>
          <w:rFonts w:ascii="Century Gothic" w:hAnsi="Century Gothic"/>
        </w:rPr>
      </w:pPr>
      <w:r>
        <w:rPr>
          <w:rFonts w:ascii="Century Gothic" w:hAnsi="Century Gothic"/>
        </w:rPr>
        <w:t xml:space="preserve">Por lo que se debe tener claridad entre </w:t>
      </w:r>
      <w:r w:rsidRPr="008624EB">
        <w:rPr>
          <w:rFonts w:ascii="Century Gothic" w:hAnsi="Century Gothic"/>
          <w:b/>
        </w:rPr>
        <w:t>Fondo como origen de los recursos</w:t>
      </w:r>
      <w:r>
        <w:rPr>
          <w:rFonts w:ascii="Century Gothic" w:hAnsi="Century Gothic"/>
        </w:rPr>
        <w:t xml:space="preserve"> y </w:t>
      </w:r>
      <w:r w:rsidRPr="008624EB">
        <w:rPr>
          <w:rFonts w:ascii="Century Gothic" w:hAnsi="Century Gothic"/>
          <w:b/>
        </w:rPr>
        <w:t>programa presupuestario como instrumento</w:t>
      </w:r>
      <w:r>
        <w:rPr>
          <w:rFonts w:ascii="Century Gothic" w:hAnsi="Century Gothic"/>
        </w:rPr>
        <w:t xml:space="preserve"> mediante el cual se ejercen dichos recursos con un objetivo específico:</w:t>
      </w:r>
    </w:p>
    <w:p w14:paraId="7E06B938" w14:textId="77777777" w:rsidR="00027EDD" w:rsidRPr="00E017F0" w:rsidRDefault="004D49BD" w:rsidP="00027EDD">
      <w:pPr>
        <w:spacing w:after="240" w:line="276" w:lineRule="auto"/>
        <w:jc w:val="center"/>
        <w:rPr>
          <w:rFonts w:ascii="Century Gothic" w:hAnsi="Century Gothic"/>
          <w:b/>
        </w:rPr>
      </w:pPr>
      <w:r>
        <w:rPr>
          <w:rFonts w:ascii="Century Gothic" w:hAnsi="Century Gothic"/>
          <w:b/>
        </w:rPr>
        <w:t>Figura 3.1</w:t>
      </w:r>
      <w:r w:rsidR="00027EDD" w:rsidRPr="00E017F0">
        <w:rPr>
          <w:rFonts w:ascii="Century Gothic" w:hAnsi="Century Gothic"/>
          <w:b/>
        </w:rPr>
        <w:t xml:space="preserve">. </w:t>
      </w:r>
      <w:r w:rsidR="00027EDD">
        <w:rPr>
          <w:rFonts w:ascii="Century Gothic" w:hAnsi="Century Gothic"/>
          <w:b/>
        </w:rPr>
        <w:t>Origen del recurso y su ejecución a través del</w:t>
      </w:r>
      <w:r w:rsidR="00027EDD" w:rsidRPr="00E017F0">
        <w:rPr>
          <w:rFonts w:ascii="Century Gothic" w:hAnsi="Century Gothic"/>
          <w:b/>
        </w:rPr>
        <w:t xml:space="preserve"> Programa Presupuestario</w:t>
      </w:r>
    </w:p>
    <w:p w14:paraId="62FC9EDD" w14:textId="77777777" w:rsidR="00027EDD" w:rsidRDefault="00027EDD" w:rsidP="00027EDD">
      <w:pPr>
        <w:spacing w:line="276" w:lineRule="auto"/>
        <w:rPr>
          <w:rFonts w:ascii="Century Gothic" w:hAnsi="Century Gothic"/>
        </w:rPr>
      </w:pPr>
      <w:r>
        <w:rPr>
          <w:rFonts w:ascii="Century Gothic" w:hAnsi="Century Gothic"/>
          <w:noProof/>
          <w:lang w:val="es-MX" w:eastAsia="es-MX"/>
        </w:rPr>
        <w:drawing>
          <wp:inline distT="0" distB="0" distL="0" distR="0" wp14:anchorId="528B9FF2" wp14:editId="5183F369">
            <wp:extent cx="5724523" cy="1714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33536" b="18386"/>
                    <a:stretch/>
                  </pic:blipFill>
                  <pic:spPr bwMode="auto">
                    <a:xfrm>
                      <a:off x="0" y="0"/>
                      <a:ext cx="5732497" cy="1716888"/>
                    </a:xfrm>
                    <a:prstGeom prst="rect">
                      <a:avLst/>
                    </a:prstGeom>
                    <a:noFill/>
                    <a:ln>
                      <a:noFill/>
                    </a:ln>
                    <a:extLst>
                      <a:ext uri="{53640926-AAD7-44D8-BBD7-CCE9431645EC}">
                        <a14:shadowObscured xmlns:a14="http://schemas.microsoft.com/office/drawing/2010/main"/>
                      </a:ext>
                    </a:extLst>
                  </pic:spPr>
                </pic:pic>
              </a:graphicData>
            </a:graphic>
          </wp:inline>
        </w:drawing>
      </w:r>
    </w:p>
    <w:p w14:paraId="10677881" w14:textId="77777777" w:rsidR="00027EDD" w:rsidRPr="00E017F0" w:rsidRDefault="00027EDD" w:rsidP="00027EDD">
      <w:pPr>
        <w:spacing w:after="240" w:line="276" w:lineRule="auto"/>
        <w:rPr>
          <w:rFonts w:ascii="Century Gothic" w:hAnsi="Century Gothic"/>
          <w:sz w:val="20"/>
        </w:rPr>
      </w:pPr>
      <w:r w:rsidRPr="00E017F0">
        <w:rPr>
          <w:rFonts w:ascii="Century Gothic" w:hAnsi="Century Gothic"/>
          <w:sz w:val="20"/>
        </w:rPr>
        <w:t>Fuente: Elaboración propia</w:t>
      </w:r>
    </w:p>
    <w:p w14:paraId="6C8695C6" w14:textId="77777777" w:rsidR="00027EDD" w:rsidRDefault="00027EDD" w:rsidP="00027EDD">
      <w:pPr>
        <w:spacing w:after="240" w:line="276" w:lineRule="auto"/>
        <w:jc w:val="both"/>
        <w:rPr>
          <w:rFonts w:ascii="Century Gothic" w:hAnsi="Century Gothic"/>
        </w:rPr>
      </w:pPr>
      <w:r>
        <w:rPr>
          <w:rFonts w:ascii="Century Gothic" w:hAnsi="Century Gothic"/>
        </w:rPr>
        <w:t xml:space="preserve">Por ello los Programas Presupuestarios son esenciales para el proceso de la planeación y ejecución de los recursos </w:t>
      </w:r>
      <w:r w:rsidR="00B822EE">
        <w:rPr>
          <w:rFonts w:ascii="Century Gothic" w:hAnsi="Century Gothic"/>
        </w:rPr>
        <w:t xml:space="preserve">de las diversas fuentes de recursos (Fondos) </w:t>
      </w:r>
      <w:r>
        <w:rPr>
          <w:rFonts w:ascii="Century Gothic" w:hAnsi="Century Gothic"/>
        </w:rPr>
        <w:t>como medio para identificar las problemáticas o necesidades,</w:t>
      </w:r>
      <w:r w:rsidR="005E0431">
        <w:rPr>
          <w:rFonts w:ascii="Century Gothic" w:hAnsi="Century Gothic"/>
        </w:rPr>
        <w:t xml:space="preserve"> y finalmente garantizar </w:t>
      </w:r>
      <w:r>
        <w:rPr>
          <w:rFonts w:ascii="Century Gothic" w:hAnsi="Century Gothic"/>
        </w:rPr>
        <w:t>su atención.</w:t>
      </w:r>
      <w:r w:rsidR="0031045E">
        <w:rPr>
          <w:rFonts w:ascii="Century Gothic" w:hAnsi="Century Gothic"/>
        </w:rPr>
        <w:t xml:space="preserve"> </w:t>
      </w:r>
    </w:p>
    <w:p w14:paraId="022CAD84" w14:textId="77777777" w:rsidR="00CA0FCB" w:rsidRDefault="00B822EE" w:rsidP="00B822EE">
      <w:pPr>
        <w:spacing w:after="240" w:line="276" w:lineRule="auto"/>
        <w:jc w:val="both"/>
        <w:rPr>
          <w:rFonts w:ascii="Century Gothic" w:hAnsi="Century Gothic"/>
        </w:rPr>
      </w:pPr>
      <w:r w:rsidRPr="00B822EE">
        <w:rPr>
          <w:rFonts w:ascii="Century Gothic" w:hAnsi="Century Gothic"/>
        </w:rPr>
        <w:t xml:space="preserve">Así, se puede afirmar que </w:t>
      </w:r>
      <w:r w:rsidR="00A407E4">
        <w:rPr>
          <w:rFonts w:ascii="Century Gothic" w:hAnsi="Century Gothic"/>
        </w:rPr>
        <w:t xml:space="preserve">la principal diferencia entre Fondo – Programa Presupuestario, es que </w:t>
      </w:r>
      <w:r w:rsidRPr="00B822EE">
        <w:rPr>
          <w:rFonts w:ascii="Century Gothic" w:hAnsi="Century Gothic"/>
        </w:rPr>
        <w:t xml:space="preserve">un Fondo </w:t>
      </w:r>
      <w:r w:rsidR="00A407E4">
        <w:rPr>
          <w:rFonts w:ascii="Century Gothic" w:hAnsi="Century Gothic"/>
        </w:rPr>
        <w:t xml:space="preserve">es el origen de los recursos y que por medio de este se </w:t>
      </w:r>
      <w:r w:rsidRPr="00B822EE">
        <w:rPr>
          <w:rFonts w:ascii="Century Gothic" w:hAnsi="Century Gothic"/>
        </w:rPr>
        <w:t>puede</w:t>
      </w:r>
      <w:r w:rsidR="00A407E4">
        <w:rPr>
          <w:rFonts w:ascii="Century Gothic" w:hAnsi="Century Gothic"/>
        </w:rPr>
        <w:t>n</w:t>
      </w:r>
      <w:r w:rsidRPr="00B822EE">
        <w:rPr>
          <w:rFonts w:ascii="Century Gothic" w:hAnsi="Century Gothic"/>
        </w:rPr>
        <w:t xml:space="preserve"> financiar</w:t>
      </w:r>
      <w:r w:rsidR="00CA0FCB">
        <w:rPr>
          <w:rFonts w:ascii="Century Gothic" w:hAnsi="Century Gothic"/>
        </w:rPr>
        <w:t xml:space="preserve"> diversos programas presupuestarios </w:t>
      </w:r>
      <w:r w:rsidR="00A407E4">
        <w:rPr>
          <w:rFonts w:ascii="Century Gothic" w:hAnsi="Century Gothic"/>
        </w:rPr>
        <w:t xml:space="preserve">según su objetivo, mientras que los Programas Presupuestarios están enfocados en atender una problemática específica  mediante la ejecución de actividades y estos se pueden  financiar </w:t>
      </w:r>
      <w:r w:rsidR="00A407E4" w:rsidRPr="00A407E4">
        <w:rPr>
          <w:rFonts w:ascii="Century Gothic" w:hAnsi="Century Gothic"/>
        </w:rPr>
        <w:t>de manera parcial o total con los recursos de un fondo</w:t>
      </w:r>
      <w:r w:rsidR="00A407E4">
        <w:rPr>
          <w:rFonts w:ascii="Century Gothic" w:hAnsi="Century Gothic"/>
        </w:rPr>
        <w:t xml:space="preserve"> o bien con recursos de convenios o ingresos propios.</w:t>
      </w:r>
    </w:p>
    <w:p w14:paraId="070959AD" w14:textId="77777777" w:rsidR="00057532" w:rsidRPr="000D15E5" w:rsidRDefault="00923A25" w:rsidP="00C45893">
      <w:pPr>
        <w:pStyle w:val="Ttulo2"/>
        <w:spacing w:before="0" w:after="240" w:line="276" w:lineRule="auto"/>
        <w:jc w:val="both"/>
        <w:rPr>
          <w:rFonts w:ascii="Century Gothic" w:hAnsi="Century Gothic"/>
          <w:color w:val="0E4E7A"/>
          <w:sz w:val="24"/>
        </w:rPr>
      </w:pPr>
      <w:bookmarkStart w:id="35" w:name="_Toc511236523"/>
      <w:r>
        <w:rPr>
          <w:rFonts w:ascii="Century Gothic" w:hAnsi="Century Gothic"/>
          <w:color w:val="0E4E7A"/>
          <w:sz w:val="24"/>
        </w:rPr>
        <w:t>3.1</w:t>
      </w:r>
      <w:r w:rsidR="000D15E5" w:rsidRPr="000D15E5">
        <w:rPr>
          <w:rFonts w:ascii="Century Gothic" w:hAnsi="Century Gothic"/>
          <w:color w:val="0E4E7A"/>
          <w:sz w:val="24"/>
        </w:rPr>
        <w:t xml:space="preserve">. </w:t>
      </w:r>
      <w:r w:rsidR="0092758E">
        <w:rPr>
          <w:rFonts w:ascii="Century Gothic" w:hAnsi="Century Gothic"/>
          <w:color w:val="0E4E7A"/>
          <w:sz w:val="24"/>
        </w:rPr>
        <w:t>Operación del</w:t>
      </w:r>
      <w:r w:rsidR="000D15E5">
        <w:rPr>
          <w:rFonts w:ascii="Century Gothic" w:hAnsi="Century Gothic"/>
          <w:color w:val="0E4E7A"/>
          <w:sz w:val="24"/>
        </w:rPr>
        <w:t xml:space="preserve"> FISE </w:t>
      </w:r>
      <w:r w:rsidR="0092758E">
        <w:rPr>
          <w:rFonts w:ascii="Century Gothic" w:hAnsi="Century Gothic"/>
          <w:color w:val="0E4E7A"/>
          <w:sz w:val="24"/>
        </w:rPr>
        <w:t xml:space="preserve">a través del Programa Presupuestario </w:t>
      </w:r>
      <w:r w:rsidR="00D22664">
        <w:rPr>
          <w:rFonts w:ascii="Century Gothic" w:hAnsi="Century Gothic"/>
          <w:color w:val="0E4E7A"/>
          <w:sz w:val="24"/>
        </w:rPr>
        <w:t>“</w:t>
      </w:r>
      <w:r w:rsidR="00C45893" w:rsidRPr="00C45893">
        <w:rPr>
          <w:rFonts w:ascii="Century Gothic" w:hAnsi="Century Gothic"/>
          <w:color w:val="0E4E7A"/>
          <w:sz w:val="24"/>
        </w:rPr>
        <w:t>Construcción, Modernización y Mantenimiento de la Infraestructura para el Desarrollo</w:t>
      </w:r>
      <w:r w:rsidR="00D22664">
        <w:rPr>
          <w:rFonts w:ascii="Century Gothic" w:hAnsi="Century Gothic"/>
          <w:color w:val="0E4E7A"/>
          <w:sz w:val="24"/>
        </w:rPr>
        <w:t>”</w:t>
      </w:r>
      <w:r w:rsidR="00C45893">
        <w:rPr>
          <w:rFonts w:ascii="Century Gothic" w:hAnsi="Century Gothic"/>
          <w:color w:val="0E4E7A"/>
          <w:sz w:val="24"/>
        </w:rPr>
        <w:t xml:space="preserve"> </w:t>
      </w:r>
      <w:r w:rsidR="0092758E">
        <w:rPr>
          <w:rFonts w:ascii="Century Gothic" w:hAnsi="Century Gothic"/>
          <w:color w:val="0E4E7A"/>
          <w:sz w:val="24"/>
        </w:rPr>
        <w:t xml:space="preserve">en </w:t>
      </w:r>
      <w:r w:rsidR="000D15E5">
        <w:rPr>
          <w:rFonts w:ascii="Century Gothic" w:hAnsi="Century Gothic"/>
          <w:color w:val="0E4E7A"/>
          <w:sz w:val="24"/>
        </w:rPr>
        <w:t>Colima</w:t>
      </w:r>
      <w:r w:rsidR="00D22664">
        <w:rPr>
          <w:rFonts w:ascii="Century Gothic" w:hAnsi="Century Gothic"/>
          <w:color w:val="0E4E7A"/>
          <w:sz w:val="24"/>
        </w:rPr>
        <w:t>.</w:t>
      </w:r>
      <w:bookmarkEnd w:id="35"/>
    </w:p>
    <w:p w14:paraId="0CC20896" w14:textId="77777777" w:rsidR="00057532" w:rsidRDefault="006E3360" w:rsidP="00794780">
      <w:pPr>
        <w:spacing w:after="240" w:line="276" w:lineRule="auto"/>
        <w:jc w:val="both"/>
        <w:rPr>
          <w:rFonts w:ascii="Century Gothic" w:hAnsi="Century Gothic"/>
        </w:rPr>
      </w:pPr>
      <w:r>
        <w:rPr>
          <w:rFonts w:ascii="Century Gothic" w:hAnsi="Century Gothic"/>
        </w:rPr>
        <w:t>Para el Estado de Coli</w:t>
      </w:r>
      <w:r w:rsidR="006C6894">
        <w:rPr>
          <w:rFonts w:ascii="Century Gothic" w:hAnsi="Century Gothic"/>
        </w:rPr>
        <w:t>ma l</w:t>
      </w:r>
      <w:r w:rsidR="00794780">
        <w:rPr>
          <w:rFonts w:ascii="Century Gothic" w:hAnsi="Century Gothic"/>
        </w:rPr>
        <w:t>a</w:t>
      </w:r>
      <w:r w:rsidR="0092758E">
        <w:rPr>
          <w:rFonts w:ascii="Century Gothic" w:hAnsi="Century Gothic"/>
        </w:rPr>
        <w:t xml:space="preserve"> SEIDUR </w:t>
      </w:r>
      <w:r>
        <w:rPr>
          <w:rFonts w:ascii="Century Gothic" w:hAnsi="Century Gothic"/>
        </w:rPr>
        <w:t xml:space="preserve">que tiene por objeto “Construir la </w:t>
      </w:r>
      <w:r w:rsidRPr="00EB196E">
        <w:rPr>
          <w:rFonts w:ascii="Century Gothic" w:hAnsi="Century Gothic"/>
          <w:b/>
        </w:rPr>
        <w:t>infraestructura urbana</w:t>
      </w:r>
      <w:r>
        <w:rPr>
          <w:rFonts w:ascii="Century Gothic" w:hAnsi="Century Gothic"/>
        </w:rPr>
        <w:t xml:space="preserve"> y </w:t>
      </w:r>
      <w:r w:rsidRPr="00EB196E">
        <w:rPr>
          <w:rFonts w:ascii="Century Gothic" w:hAnsi="Century Gothic"/>
          <w:b/>
        </w:rPr>
        <w:t>carretera</w:t>
      </w:r>
      <w:r>
        <w:rPr>
          <w:rFonts w:ascii="Century Gothic" w:hAnsi="Century Gothic"/>
        </w:rPr>
        <w:t xml:space="preserve"> de carácter estatal mediante la aplicación de diversos recursos financieros a fin de garantizas el bienestar de la </w:t>
      </w:r>
      <w:r>
        <w:rPr>
          <w:rFonts w:ascii="Century Gothic" w:hAnsi="Century Gothic"/>
        </w:rPr>
        <w:lastRenderedPageBreak/>
        <w:t>población; impulsar la gobernanza metropolitana, así como regular el ordenamiento territorial y el desarrollo urbano en el estado a través de la implementación de planes y programas en la materia que nos permitan un crecimiento sustentable”</w:t>
      </w:r>
      <w:r>
        <w:rPr>
          <w:rStyle w:val="Refdenotaalpie"/>
          <w:rFonts w:ascii="Century Gothic" w:hAnsi="Century Gothic"/>
        </w:rPr>
        <w:footnoteReference w:id="10"/>
      </w:r>
      <w:r w:rsidR="00EB196E">
        <w:rPr>
          <w:rFonts w:ascii="Century Gothic" w:hAnsi="Century Gothic"/>
        </w:rPr>
        <w:t xml:space="preserve">, </w:t>
      </w:r>
      <w:r w:rsidR="00794780">
        <w:rPr>
          <w:rFonts w:ascii="Century Gothic" w:hAnsi="Century Gothic"/>
        </w:rPr>
        <w:t>en el año 2016 ejerció los recursos provenientes de distintas fuentes en su Programa Presupuestario “</w:t>
      </w:r>
      <w:r w:rsidR="006C6894" w:rsidRPr="006C6894">
        <w:rPr>
          <w:rFonts w:ascii="Century Gothic" w:hAnsi="Century Gothic"/>
          <w:b/>
        </w:rPr>
        <w:t>Construcción, Modernización y Mantenimiento de la Infraestructura para el Desarrollo</w:t>
      </w:r>
      <w:r w:rsidR="006C6894">
        <w:rPr>
          <w:rFonts w:ascii="Century Gothic" w:hAnsi="Century Gothic"/>
        </w:rPr>
        <w:t>”</w:t>
      </w:r>
      <w:r w:rsidR="003D5050">
        <w:rPr>
          <w:rFonts w:ascii="Century Gothic" w:hAnsi="Century Gothic"/>
        </w:rPr>
        <w:t>, el cual tiene como Propósito:</w:t>
      </w:r>
    </w:p>
    <w:p w14:paraId="0AD01896" w14:textId="77777777" w:rsidR="003D5050" w:rsidRDefault="003D5050" w:rsidP="003D5050">
      <w:pPr>
        <w:spacing w:after="240" w:line="276" w:lineRule="auto"/>
        <w:ind w:left="284" w:right="283"/>
        <w:jc w:val="both"/>
        <w:rPr>
          <w:rFonts w:ascii="Century Gothic" w:hAnsi="Century Gothic"/>
        </w:rPr>
      </w:pPr>
      <w:r w:rsidRPr="003D5050">
        <w:rPr>
          <w:rFonts w:ascii="Century Gothic" w:hAnsi="Century Gothic"/>
        </w:rPr>
        <w:t>Que la población cuente con mayor y mejor</w:t>
      </w:r>
      <w:r>
        <w:rPr>
          <w:rFonts w:ascii="Century Gothic" w:hAnsi="Century Gothic"/>
        </w:rPr>
        <w:t xml:space="preserve"> </w:t>
      </w:r>
      <w:r w:rsidRPr="003D5050">
        <w:rPr>
          <w:rFonts w:ascii="Century Gothic" w:hAnsi="Century Gothic"/>
        </w:rPr>
        <w:t>infraestructura económica y social necesaria</w:t>
      </w:r>
      <w:r>
        <w:rPr>
          <w:rFonts w:ascii="Century Gothic" w:hAnsi="Century Gothic"/>
        </w:rPr>
        <w:t xml:space="preserve"> </w:t>
      </w:r>
      <w:r w:rsidRPr="003D5050">
        <w:rPr>
          <w:rFonts w:ascii="Century Gothic" w:hAnsi="Century Gothic"/>
        </w:rPr>
        <w:t>para el desarrollo integral del Estado</w:t>
      </w:r>
      <w:r>
        <w:rPr>
          <w:rStyle w:val="Refdenotaalpie"/>
          <w:rFonts w:ascii="Century Gothic" w:hAnsi="Century Gothic"/>
        </w:rPr>
        <w:footnoteReference w:id="11"/>
      </w:r>
      <w:r>
        <w:rPr>
          <w:rFonts w:ascii="Century Gothic" w:hAnsi="Century Gothic"/>
        </w:rPr>
        <w:t>.</w:t>
      </w:r>
    </w:p>
    <w:p w14:paraId="6C4BDC41" w14:textId="77777777" w:rsidR="00A651C2" w:rsidRDefault="00EB196E" w:rsidP="00EB196E">
      <w:pPr>
        <w:spacing w:after="240" w:line="276" w:lineRule="auto"/>
        <w:jc w:val="both"/>
        <w:rPr>
          <w:rFonts w:ascii="Century Gothic" w:hAnsi="Century Gothic"/>
        </w:rPr>
      </w:pPr>
      <w:r>
        <w:rPr>
          <w:rFonts w:ascii="Century Gothic" w:hAnsi="Century Gothic"/>
        </w:rPr>
        <w:t xml:space="preserve">Es importante mencionar que la SEIDUR manifestó que para el año a evaluar </w:t>
      </w:r>
      <w:r w:rsidR="00D91CFE">
        <w:rPr>
          <w:rFonts w:ascii="Century Gothic" w:hAnsi="Century Gothic"/>
        </w:rPr>
        <w:t>(2016), sólo se contaba con el</w:t>
      </w:r>
      <w:r>
        <w:rPr>
          <w:rFonts w:ascii="Century Gothic" w:hAnsi="Century Gothic"/>
        </w:rPr>
        <w:t xml:space="preserve"> programa presupuestario</w:t>
      </w:r>
      <w:r w:rsidR="00D91CFE">
        <w:rPr>
          <w:rFonts w:ascii="Century Gothic" w:hAnsi="Century Gothic"/>
        </w:rPr>
        <w:t xml:space="preserve"> “</w:t>
      </w:r>
      <w:r w:rsidR="00D91CFE" w:rsidRPr="006C6894">
        <w:rPr>
          <w:rFonts w:ascii="Century Gothic" w:hAnsi="Century Gothic"/>
          <w:b/>
        </w:rPr>
        <w:t>Construcción, Modernización y Mantenimiento de la Infraestructura para el Desarrollo</w:t>
      </w:r>
      <w:r w:rsidR="00D91CFE">
        <w:rPr>
          <w:rFonts w:ascii="Century Gothic" w:hAnsi="Century Gothic"/>
        </w:rPr>
        <w:t>”</w:t>
      </w:r>
      <w:r>
        <w:rPr>
          <w:rFonts w:ascii="Century Gothic" w:hAnsi="Century Gothic"/>
        </w:rPr>
        <w:t xml:space="preserve">, ya para 2017 se </w:t>
      </w:r>
      <w:r w:rsidR="00043012">
        <w:rPr>
          <w:rFonts w:ascii="Century Gothic" w:hAnsi="Century Gothic"/>
        </w:rPr>
        <w:t>ampliaron a</w:t>
      </w:r>
      <w:r>
        <w:rPr>
          <w:rFonts w:ascii="Century Gothic" w:hAnsi="Century Gothic"/>
        </w:rPr>
        <w:t xml:space="preserve"> otros</w:t>
      </w:r>
      <w:r w:rsidR="00043012">
        <w:rPr>
          <w:rFonts w:ascii="Century Gothic" w:hAnsi="Century Gothic"/>
        </w:rPr>
        <w:t xml:space="preserve"> programas</w:t>
      </w:r>
      <w:r w:rsidR="00D91CFE">
        <w:rPr>
          <w:rFonts w:ascii="Century Gothic" w:hAnsi="Century Gothic"/>
        </w:rPr>
        <w:t>, permitiendo así una clasificación de las obras según su objeto en cada programa</w:t>
      </w:r>
      <w:r>
        <w:rPr>
          <w:rFonts w:ascii="Century Gothic" w:hAnsi="Century Gothic"/>
        </w:rPr>
        <w:t>.</w:t>
      </w:r>
    </w:p>
    <w:p w14:paraId="354D9188" w14:textId="77777777" w:rsidR="00604989" w:rsidRDefault="00D91CFE" w:rsidP="00EB196E">
      <w:pPr>
        <w:spacing w:after="240" w:line="276" w:lineRule="auto"/>
        <w:jc w:val="both"/>
        <w:rPr>
          <w:rFonts w:ascii="Century Gothic" w:hAnsi="Century Gothic"/>
        </w:rPr>
      </w:pPr>
      <w:r>
        <w:rPr>
          <w:rFonts w:ascii="Century Gothic" w:hAnsi="Century Gothic"/>
        </w:rPr>
        <w:t>L</w:t>
      </w:r>
      <w:r w:rsidR="001478BC">
        <w:rPr>
          <w:rFonts w:ascii="Century Gothic" w:hAnsi="Century Gothic"/>
        </w:rPr>
        <w:t>a SEIDUR en el</w:t>
      </w:r>
      <w:r w:rsidR="00234CF3">
        <w:rPr>
          <w:rFonts w:ascii="Century Gothic" w:hAnsi="Century Gothic"/>
        </w:rPr>
        <w:t xml:space="preserve"> </w:t>
      </w:r>
      <w:r w:rsidR="001478BC">
        <w:rPr>
          <w:rFonts w:ascii="Century Gothic" w:hAnsi="Century Gothic"/>
        </w:rPr>
        <w:t xml:space="preserve">año2016 ejerció un presupuesto por más de 632 millones de pesos, </w:t>
      </w:r>
      <w:r w:rsidR="00234CF3">
        <w:rPr>
          <w:rFonts w:ascii="Century Gothic" w:hAnsi="Century Gothic"/>
        </w:rPr>
        <w:t xml:space="preserve">provenientes de distintas fuentes, como recursos federales, por convenios o estatales, tal como se </w:t>
      </w:r>
      <w:r>
        <w:rPr>
          <w:rFonts w:ascii="Century Gothic" w:hAnsi="Century Gothic"/>
        </w:rPr>
        <w:t>detalla</w:t>
      </w:r>
      <w:r w:rsidR="00234CF3">
        <w:rPr>
          <w:rFonts w:ascii="Century Gothic" w:hAnsi="Century Gothic"/>
        </w:rPr>
        <w:t xml:space="preserve"> en el siguiente cuadro:</w:t>
      </w:r>
    </w:p>
    <w:tbl>
      <w:tblPr>
        <w:tblW w:w="7528" w:type="dxa"/>
        <w:jc w:val="center"/>
        <w:tblCellMar>
          <w:left w:w="70" w:type="dxa"/>
          <w:right w:w="70" w:type="dxa"/>
        </w:tblCellMar>
        <w:tblLook w:val="04A0" w:firstRow="1" w:lastRow="0" w:firstColumn="1" w:lastColumn="0" w:noHBand="0" w:noVBand="1"/>
      </w:tblPr>
      <w:tblGrid>
        <w:gridCol w:w="1740"/>
        <w:gridCol w:w="3662"/>
        <w:gridCol w:w="2126"/>
      </w:tblGrid>
      <w:tr w:rsidR="00B46FD6" w:rsidRPr="00B46FD6" w14:paraId="2F382915" w14:textId="77777777" w:rsidTr="00D26BB9">
        <w:trPr>
          <w:trHeight w:val="315"/>
          <w:tblHeader/>
          <w:jc w:val="center"/>
        </w:trPr>
        <w:tc>
          <w:tcPr>
            <w:tcW w:w="7528" w:type="dxa"/>
            <w:gridSpan w:val="3"/>
            <w:tcBorders>
              <w:top w:val="single" w:sz="4" w:space="0" w:color="auto"/>
              <w:left w:val="single" w:sz="4" w:space="0" w:color="auto"/>
              <w:bottom w:val="single" w:sz="4" w:space="0" w:color="auto"/>
              <w:right w:val="single" w:sz="4" w:space="0" w:color="auto"/>
            </w:tcBorders>
            <w:shd w:val="clear" w:color="000000" w:fill="0E4E7A"/>
            <w:noWrap/>
            <w:vAlign w:val="bottom"/>
            <w:hideMark/>
          </w:tcPr>
          <w:p w14:paraId="7BD4D68F" w14:textId="77777777" w:rsidR="00B46FD6" w:rsidRPr="00B46FD6" w:rsidRDefault="004D49BD" w:rsidP="004D49BD">
            <w:pPr>
              <w:jc w:val="center"/>
              <w:rPr>
                <w:rFonts w:eastAsia="Times New Roman" w:cstheme="minorHAnsi"/>
                <w:b/>
                <w:bCs/>
                <w:color w:val="FFFFFF"/>
                <w:sz w:val="22"/>
                <w:szCs w:val="22"/>
                <w:lang w:val="es-MX" w:eastAsia="es-MX"/>
              </w:rPr>
            </w:pPr>
            <w:r>
              <w:rPr>
                <w:rFonts w:eastAsia="Times New Roman" w:cstheme="minorHAnsi"/>
                <w:b/>
                <w:bCs/>
                <w:color w:val="FFFFFF"/>
                <w:sz w:val="22"/>
                <w:szCs w:val="22"/>
                <w:lang w:val="es-MX" w:eastAsia="es-MX"/>
              </w:rPr>
              <w:t>Cuadro 3.1</w:t>
            </w:r>
            <w:r w:rsidR="00B46FD6" w:rsidRPr="00B46FD6">
              <w:rPr>
                <w:rFonts w:eastAsia="Times New Roman" w:cstheme="minorHAnsi"/>
                <w:b/>
                <w:bCs/>
                <w:color w:val="FFFFFF"/>
                <w:sz w:val="22"/>
                <w:szCs w:val="22"/>
                <w:lang w:val="es-MX" w:eastAsia="es-MX"/>
              </w:rPr>
              <w:t>. Presupuesto 2016 SEIDUR</w:t>
            </w:r>
          </w:p>
        </w:tc>
      </w:tr>
      <w:tr w:rsidR="00B46FD6" w:rsidRPr="00B46FD6" w14:paraId="7E2A2DE3" w14:textId="77777777" w:rsidTr="00D26BB9">
        <w:trPr>
          <w:trHeight w:val="419"/>
          <w:tblHeader/>
          <w:jc w:val="center"/>
        </w:trPr>
        <w:tc>
          <w:tcPr>
            <w:tcW w:w="1740" w:type="dxa"/>
            <w:tcBorders>
              <w:top w:val="nil"/>
              <w:left w:val="single" w:sz="4" w:space="0" w:color="auto"/>
              <w:bottom w:val="single" w:sz="4" w:space="0" w:color="auto"/>
              <w:right w:val="single" w:sz="4" w:space="0" w:color="auto"/>
            </w:tcBorders>
            <w:shd w:val="clear" w:color="000000" w:fill="0E4E7A"/>
            <w:vAlign w:val="center"/>
            <w:hideMark/>
          </w:tcPr>
          <w:p w14:paraId="188CCB4B" w14:textId="77777777" w:rsidR="00B46FD6" w:rsidRPr="00B46FD6" w:rsidRDefault="00B46FD6" w:rsidP="00B46FD6">
            <w:pPr>
              <w:jc w:val="center"/>
              <w:rPr>
                <w:rFonts w:eastAsia="Times New Roman" w:cstheme="minorHAnsi"/>
                <w:b/>
                <w:bCs/>
                <w:color w:val="FFFFFF"/>
                <w:sz w:val="22"/>
                <w:szCs w:val="22"/>
                <w:lang w:val="es-MX" w:eastAsia="es-MX"/>
              </w:rPr>
            </w:pPr>
            <w:r w:rsidRPr="00B46FD6">
              <w:rPr>
                <w:rFonts w:eastAsia="Times New Roman" w:cstheme="minorHAnsi"/>
                <w:b/>
                <w:bCs/>
                <w:color w:val="FFFFFF"/>
                <w:sz w:val="22"/>
                <w:szCs w:val="22"/>
                <w:lang w:val="es-MX" w:eastAsia="es-MX"/>
              </w:rPr>
              <w:t>Origen del Recurso</w:t>
            </w:r>
          </w:p>
        </w:tc>
        <w:tc>
          <w:tcPr>
            <w:tcW w:w="3662" w:type="dxa"/>
            <w:tcBorders>
              <w:top w:val="nil"/>
              <w:left w:val="nil"/>
              <w:bottom w:val="single" w:sz="4" w:space="0" w:color="auto"/>
              <w:right w:val="single" w:sz="4" w:space="0" w:color="auto"/>
            </w:tcBorders>
            <w:shd w:val="clear" w:color="000000" w:fill="0E4E7A"/>
            <w:vAlign w:val="center"/>
            <w:hideMark/>
          </w:tcPr>
          <w:p w14:paraId="6C5FCCB7" w14:textId="77777777" w:rsidR="00B46FD6" w:rsidRPr="00B46FD6" w:rsidRDefault="00B46FD6" w:rsidP="00B46FD6">
            <w:pPr>
              <w:jc w:val="center"/>
              <w:rPr>
                <w:rFonts w:eastAsia="Times New Roman" w:cstheme="minorHAnsi"/>
                <w:b/>
                <w:bCs/>
                <w:color w:val="FFFFFF"/>
                <w:sz w:val="22"/>
                <w:szCs w:val="22"/>
                <w:lang w:val="es-MX" w:eastAsia="es-MX"/>
              </w:rPr>
            </w:pPr>
            <w:r w:rsidRPr="00B46FD6">
              <w:rPr>
                <w:rFonts w:eastAsia="Times New Roman" w:cstheme="minorHAnsi"/>
                <w:b/>
                <w:bCs/>
                <w:color w:val="FFFFFF"/>
                <w:sz w:val="22"/>
                <w:szCs w:val="22"/>
                <w:lang w:val="es-MX" w:eastAsia="es-MX"/>
              </w:rPr>
              <w:t>Fondo / Convenio</w:t>
            </w:r>
          </w:p>
        </w:tc>
        <w:tc>
          <w:tcPr>
            <w:tcW w:w="2126" w:type="dxa"/>
            <w:tcBorders>
              <w:top w:val="nil"/>
              <w:left w:val="nil"/>
              <w:bottom w:val="single" w:sz="4" w:space="0" w:color="auto"/>
              <w:right w:val="single" w:sz="4" w:space="0" w:color="auto"/>
            </w:tcBorders>
            <w:shd w:val="clear" w:color="000000" w:fill="0E4E7A"/>
            <w:vAlign w:val="center"/>
            <w:hideMark/>
          </w:tcPr>
          <w:p w14:paraId="323D8BD5" w14:textId="77777777" w:rsidR="00B46FD6" w:rsidRPr="00B46FD6" w:rsidRDefault="00B46FD6" w:rsidP="00B46FD6">
            <w:pPr>
              <w:jc w:val="center"/>
              <w:rPr>
                <w:rFonts w:eastAsia="Times New Roman" w:cstheme="minorHAnsi"/>
                <w:b/>
                <w:bCs/>
                <w:color w:val="FFFFFF"/>
                <w:sz w:val="22"/>
                <w:szCs w:val="22"/>
                <w:lang w:val="es-MX" w:eastAsia="es-MX"/>
              </w:rPr>
            </w:pPr>
            <w:r w:rsidRPr="00B46FD6">
              <w:rPr>
                <w:rFonts w:eastAsia="Times New Roman" w:cstheme="minorHAnsi"/>
                <w:b/>
                <w:bCs/>
                <w:color w:val="FFFFFF"/>
                <w:sz w:val="22"/>
                <w:szCs w:val="22"/>
                <w:lang w:val="es-MX" w:eastAsia="es-MX"/>
              </w:rPr>
              <w:t xml:space="preserve"> Monto </w:t>
            </w:r>
          </w:p>
        </w:tc>
      </w:tr>
      <w:tr w:rsidR="00B46FD6" w:rsidRPr="00B46FD6" w14:paraId="4E0DD475" w14:textId="77777777" w:rsidTr="00970DC6">
        <w:trPr>
          <w:trHeight w:val="158"/>
          <w:jc w:val="center"/>
        </w:trPr>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14:paraId="332F508E" w14:textId="77777777" w:rsidR="00B46FD6" w:rsidRPr="00D26BB9" w:rsidRDefault="00B46FD6" w:rsidP="00B46FD6">
            <w:pPr>
              <w:jc w:val="cente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Fondos Federales</w:t>
            </w:r>
          </w:p>
        </w:tc>
        <w:tc>
          <w:tcPr>
            <w:tcW w:w="3662" w:type="dxa"/>
            <w:tcBorders>
              <w:top w:val="nil"/>
              <w:left w:val="nil"/>
              <w:bottom w:val="single" w:sz="4" w:space="0" w:color="auto"/>
              <w:right w:val="single" w:sz="4" w:space="0" w:color="auto"/>
            </w:tcBorders>
            <w:shd w:val="clear" w:color="auto" w:fill="auto"/>
            <w:noWrap/>
            <w:vAlign w:val="bottom"/>
            <w:hideMark/>
          </w:tcPr>
          <w:p w14:paraId="3932316D"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FAFEF</w:t>
            </w:r>
          </w:p>
        </w:tc>
        <w:tc>
          <w:tcPr>
            <w:tcW w:w="2126" w:type="dxa"/>
            <w:tcBorders>
              <w:top w:val="nil"/>
              <w:left w:val="nil"/>
              <w:bottom w:val="single" w:sz="4" w:space="0" w:color="auto"/>
              <w:right w:val="single" w:sz="4" w:space="0" w:color="auto"/>
            </w:tcBorders>
            <w:shd w:val="clear" w:color="auto" w:fill="auto"/>
            <w:noWrap/>
            <w:vAlign w:val="center"/>
            <w:hideMark/>
          </w:tcPr>
          <w:p w14:paraId="559EF445"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138,744,796.01 </w:t>
            </w:r>
          </w:p>
        </w:tc>
      </w:tr>
      <w:tr w:rsidR="00B46FD6" w:rsidRPr="00B46FD6" w14:paraId="13836BE5" w14:textId="77777777" w:rsidTr="00970DC6">
        <w:trPr>
          <w:trHeight w:val="120"/>
          <w:jc w:val="center"/>
        </w:trPr>
        <w:tc>
          <w:tcPr>
            <w:tcW w:w="1740" w:type="dxa"/>
            <w:vMerge/>
            <w:tcBorders>
              <w:top w:val="nil"/>
              <w:left w:val="single" w:sz="4" w:space="0" w:color="auto"/>
              <w:bottom w:val="single" w:sz="4" w:space="0" w:color="auto"/>
              <w:right w:val="single" w:sz="4" w:space="0" w:color="auto"/>
            </w:tcBorders>
            <w:vAlign w:val="center"/>
            <w:hideMark/>
          </w:tcPr>
          <w:p w14:paraId="039C5ABC"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nil"/>
              <w:left w:val="nil"/>
              <w:bottom w:val="single" w:sz="4" w:space="0" w:color="auto"/>
              <w:right w:val="single" w:sz="4" w:space="0" w:color="auto"/>
            </w:tcBorders>
            <w:shd w:val="clear" w:color="000000" w:fill="D9D9D9"/>
            <w:noWrap/>
            <w:vAlign w:val="bottom"/>
            <w:hideMark/>
          </w:tcPr>
          <w:p w14:paraId="205183B0"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FISE</w:t>
            </w:r>
          </w:p>
        </w:tc>
        <w:tc>
          <w:tcPr>
            <w:tcW w:w="2126" w:type="dxa"/>
            <w:tcBorders>
              <w:top w:val="nil"/>
              <w:left w:val="nil"/>
              <w:bottom w:val="single" w:sz="4" w:space="0" w:color="auto"/>
              <w:right w:val="single" w:sz="4" w:space="0" w:color="auto"/>
            </w:tcBorders>
            <w:shd w:val="clear" w:color="000000" w:fill="D9D9D9"/>
            <w:noWrap/>
            <w:vAlign w:val="center"/>
            <w:hideMark/>
          </w:tcPr>
          <w:p w14:paraId="7235C2E9"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w:t>
            </w:r>
            <w:r w:rsidR="00B85D8B" w:rsidRPr="00D26BB9">
              <w:rPr>
                <w:rFonts w:eastAsia="Times New Roman" w:cstheme="minorHAnsi"/>
                <w:color w:val="000000"/>
                <w:sz w:val="22"/>
                <w:szCs w:val="22"/>
                <w:lang w:val="es-MX" w:eastAsia="es-MX"/>
              </w:rPr>
              <w:t xml:space="preserve">   </w:t>
            </w:r>
            <w:r w:rsidRPr="00D26BB9">
              <w:rPr>
                <w:rFonts w:eastAsia="Times New Roman" w:cstheme="minorHAnsi"/>
                <w:color w:val="000000"/>
                <w:sz w:val="22"/>
                <w:szCs w:val="22"/>
                <w:lang w:val="es-MX" w:eastAsia="es-MX"/>
              </w:rPr>
              <w:t xml:space="preserve">   </w:t>
            </w:r>
            <w:r w:rsidR="00B85D8B" w:rsidRPr="00D26BB9">
              <w:rPr>
                <w:rFonts w:eastAsia="Times New Roman" w:cstheme="minorHAnsi"/>
                <w:color w:val="000000"/>
                <w:sz w:val="22"/>
                <w:szCs w:val="22"/>
                <w:lang w:val="es-MX" w:eastAsia="es-MX"/>
              </w:rPr>
              <w:t>5,470,770.98</w:t>
            </w:r>
          </w:p>
        </w:tc>
      </w:tr>
      <w:tr w:rsidR="00B46FD6" w:rsidRPr="00B46FD6" w14:paraId="3E2857BF" w14:textId="77777777" w:rsidTr="00970DC6">
        <w:trPr>
          <w:trHeight w:val="315"/>
          <w:jc w:val="center"/>
        </w:trPr>
        <w:tc>
          <w:tcPr>
            <w:tcW w:w="1740" w:type="dxa"/>
            <w:vMerge/>
            <w:tcBorders>
              <w:top w:val="nil"/>
              <w:left w:val="single" w:sz="4" w:space="0" w:color="auto"/>
              <w:bottom w:val="single" w:sz="4" w:space="0" w:color="auto"/>
              <w:right w:val="single" w:sz="4" w:space="0" w:color="auto"/>
            </w:tcBorders>
            <w:vAlign w:val="center"/>
            <w:hideMark/>
          </w:tcPr>
          <w:p w14:paraId="33CEDE6C"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nil"/>
              <w:left w:val="nil"/>
              <w:bottom w:val="single" w:sz="4" w:space="0" w:color="auto"/>
              <w:right w:val="single" w:sz="4" w:space="0" w:color="auto"/>
            </w:tcBorders>
            <w:shd w:val="clear" w:color="auto" w:fill="auto"/>
            <w:noWrap/>
            <w:vAlign w:val="bottom"/>
            <w:hideMark/>
          </w:tcPr>
          <w:p w14:paraId="2237B1D9"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FASP</w:t>
            </w:r>
          </w:p>
        </w:tc>
        <w:tc>
          <w:tcPr>
            <w:tcW w:w="2126" w:type="dxa"/>
            <w:tcBorders>
              <w:top w:val="nil"/>
              <w:left w:val="nil"/>
              <w:bottom w:val="single" w:sz="4" w:space="0" w:color="auto"/>
              <w:right w:val="single" w:sz="4" w:space="0" w:color="auto"/>
            </w:tcBorders>
            <w:shd w:val="clear" w:color="auto" w:fill="auto"/>
            <w:noWrap/>
            <w:vAlign w:val="center"/>
            <w:hideMark/>
          </w:tcPr>
          <w:p w14:paraId="4DAE98CA"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3,487,344.78 </w:t>
            </w:r>
          </w:p>
        </w:tc>
      </w:tr>
      <w:tr w:rsidR="00B46FD6" w:rsidRPr="00B46FD6" w14:paraId="246156D1" w14:textId="77777777" w:rsidTr="00970DC6">
        <w:trPr>
          <w:trHeight w:val="128"/>
          <w:jc w:val="center"/>
        </w:trPr>
        <w:tc>
          <w:tcPr>
            <w:tcW w:w="1740" w:type="dxa"/>
            <w:vMerge/>
            <w:tcBorders>
              <w:top w:val="nil"/>
              <w:left w:val="single" w:sz="4" w:space="0" w:color="auto"/>
              <w:bottom w:val="single" w:sz="4" w:space="0" w:color="auto"/>
              <w:right w:val="single" w:sz="4" w:space="0" w:color="auto"/>
            </w:tcBorders>
            <w:vAlign w:val="center"/>
            <w:hideMark/>
          </w:tcPr>
          <w:p w14:paraId="2CBB167A"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nil"/>
              <w:left w:val="nil"/>
              <w:bottom w:val="single" w:sz="4" w:space="0" w:color="auto"/>
              <w:right w:val="single" w:sz="4" w:space="0" w:color="auto"/>
            </w:tcBorders>
            <w:shd w:val="clear" w:color="auto" w:fill="auto"/>
            <w:noWrap/>
            <w:vAlign w:val="bottom"/>
            <w:hideMark/>
          </w:tcPr>
          <w:p w14:paraId="205A02DD"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FONDEN</w:t>
            </w:r>
          </w:p>
        </w:tc>
        <w:tc>
          <w:tcPr>
            <w:tcW w:w="2126" w:type="dxa"/>
            <w:tcBorders>
              <w:top w:val="nil"/>
              <w:left w:val="nil"/>
              <w:bottom w:val="single" w:sz="4" w:space="0" w:color="auto"/>
              <w:right w:val="single" w:sz="4" w:space="0" w:color="auto"/>
            </w:tcBorders>
            <w:shd w:val="clear" w:color="auto" w:fill="auto"/>
            <w:noWrap/>
            <w:vAlign w:val="center"/>
            <w:hideMark/>
          </w:tcPr>
          <w:p w14:paraId="382CA922"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23,319,263.15 </w:t>
            </w:r>
          </w:p>
        </w:tc>
      </w:tr>
      <w:tr w:rsidR="00B46FD6" w:rsidRPr="00B46FD6" w14:paraId="735CFFDB" w14:textId="77777777" w:rsidTr="00970DC6">
        <w:trPr>
          <w:trHeight w:val="315"/>
          <w:jc w:val="center"/>
        </w:trPr>
        <w:tc>
          <w:tcPr>
            <w:tcW w:w="1740" w:type="dxa"/>
            <w:vMerge/>
            <w:tcBorders>
              <w:top w:val="nil"/>
              <w:left w:val="single" w:sz="4" w:space="0" w:color="auto"/>
              <w:bottom w:val="single" w:sz="4" w:space="0" w:color="auto"/>
              <w:right w:val="single" w:sz="4" w:space="0" w:color="auto"/>
            </w:tcBorders>
            <w:vAlign w:val="center"/>
            <w:hideMark/>
          </w:tcPr>
          <w:p w14:paraId="454C651F"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nil"/>
              <w:left w:val="nil"/>
              <w:bottom w:val="single" w:sz="4" w:space="0" w:color="auto"/>
              <w:right w:val="single" w:sz="4" w:space="0" w:color="auto"/>
            </w:tcBorders>
            <w:shd w:val="clear" w:color="auto" w:fill="auto"/>
            <w:noWrap/>
            <w:vAlign w:val="bottom"/>
            <w:hideMark/>
          </w:tcPr>
          <w:p w14:paraId="1ED01DE5"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Fondo Metropolitano</w:t>
            </w:r>
          </w:p>
        </w:tc>
        <w:tc>
          <w:tcPr>
            <w:tcW w:w="2126" w:type="dxa"/>
            <w:tcBorders>
              <w:top w:val="nil"/>
              <w:left w:val="nil"/>
              <w:bottom w:val="single" w:sz="4" w:space="0" w:color="auto"/>
              <w:right w:val="single" w:sz="4" w:space="0" w:color="auto"/>
            </w:tcBorders>
            <w:shd w:val="clear" w:color="auto" w:fill="auto"/>
            <w:noWrap/>
            <w:vAlign w:val="center"/>
            <w:hideMark/>
          </w:tcPr>
          <w:p w14:paraId="3117A68B"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33,463,341.94 </w:t>
            </w:r>
          </w:p>
        </w:tc>
      </w:tr>
      <w:tr w:rsidR="00B46FD6" w:rsidRPr="00B46FD6" w14:paraId="2452DF25" w14:textId="77777777" w:rsidTr="00970DC6">
        <w:trPr>
          <w:trHeight w:val="94"/>
          <w:jc w:val="center"/>
        </w:trPr>
        <w:tc>
          <w:tcPr>
            <w:tcW w:w="1740" w:type="dxa"/>
            <w:vMerge/>
            <w:tcBorders>
              <w:top w:val="nil"/>
              <w:left w:val="single" w:sz="4" w:space="0" w:color="auto"/>
              <w:bottom w:val="single" w:sz="4" w:space="0" w:color="auto"/>
              <w:right w:val="single" w:sz="4" w:space="0" w:color="auto"/>
            </w:tcBorders>
            <w:vAlign w:val="center"/>
            <w:hideMark/>
          </w:tcPr>
          <w:p w14:paraId="51D05AD6"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nil"/>
              <w:left w:val="nil"/>
              <w:bottom w:val="single" w:sz="4" w:space="0" w:color="auto"/>
              <w:right w:val="single" w:sz="4" w:space="0" w:color="auto"/>
            </w:tcBorders>
            <w:shd w:val="clear" w:color="auto" w:fill="auto"/>
            <w:noWrap/>
            <w:vAlign w:val="bottom"/>
            <w:hideMark/>
          </w:tcPr>
          <w:p w14:paraId="41399B55"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Fortalecimiento Financiero</w:t>
            </w:r>
          </w:p>
        </w:tc>
        <w:tc>
          <w:tcPr>
            <w:tcW w:w="2126" w:type="dxa"/>
            <w:tcBorders>
              <w:top w:val="nil"/>
              <w:left w:val="nil"/>
              <w:bottom w:val="single" w:sz="4" w:space="0" w:color="auto"/>
              <w:right w:val="single" w:sz="4" w:space="0" w:color="auto"/>
            </w:tcBorders>
            <w:shd w:val="clear" w:color="auto" w:fill="auto"/>
            <w:noWrap/>
            <w:vAlign w:val="center"/>
            <w:hideMark/>
          </w:tcPr>
          <w:p w14:paraId="5A08F2AE"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2,848,050.64 </w:t>
            </w:r>
          </w:p>
        </w:tc>
      </w:tr>
      <w:tr w:rsidR="00B46FD6" w:rsidRPr="00B46FD6" w14:paraId="0876F72B" w14:textId="77777777" w:rsidTr="00970DC6">
        <w:trPr>
          <w:trHeight w:val="198"/>
          <w:jc w:val="center"/>
        </w:trPr>
        <w:tc>
          <w:tcPr>
            <w:tcW w:w="1740" w:type="dxa"/>
            <w:vMerge/>
            <w:tcBorders>
              <w:top w:val="nil"/>
              <w:left w:val="single" w:sz="4" w:space="0" w:color="auto"/>
              <w:bottom w:val="single" w:sz="4" w:space="0" w:color="auto"/>
              <w:right w:val="single" w:sz="4" w:space="0" w:color="auto"/>
            </w:tcBorders>
            <w:vAlign w:val="center"/>
            <w:hideMark/>
          </w:tcPr>
          <w:p w14:paraId="1A47516E"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nil"/>
              <w:left w:val="nil"/>
              <w:bottom w:val="single" w:sz="4" w:space="0" w:color="auto"/>
              <w:right w:val="single" w:sz="4" w:space="0" w:color="auto"/>
            </w:tcBorders>
            <w:shd w:val="clear" w:color="auto" w:fill="auto"/>
            <w:noWrap/>
            <w:vAlign w:val="bottom"/>
            <w:hideMark/>
          </w:tcPr>
          <w:p w14:paraId="3D0BAB46"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Programa Regional</w:t>
            </w:r>
          </w:p>
        </w:tc>
        <w:tc>
          <w:tcPr>
            <w:tcW w:w="2126" w:type="dxa"/>
            <w:tcBorders>
              <w:top w:val="nil"/>
              <w:left w:val="nil"/>
              <w:bottom w:val="single" w:sz="4" w:space="0" w:color="auto"/>
              <w:right w:val="single" w:sz="4" w:space="0" w:color="auto"/>
            </w:tcBorders>
            <w:shd w:val="clear" w:color="auto" w:fill="auto"/>
            <w:noWrap/>
            <w:vAlign w:val="center"/>
            <w:hideMark/>
          </w:tcPr>
          <w:p w14:paraId="03B66CC2"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1,223,479.42 </w:t>
            </w:r>
          </w:p>
        </w:tc>
      </w:tr>
      <w:tr w:rsidR="00B46FD6" w:rsidRPr="00B46FD6" w14:paraId="494CEDC4" w14:textId="77777777" w:rsidTr="00970DC6">
        <w:trPr>
          <w:trHeight w:val="315"/>
          <w:jc w:val="center"/>
        </w:trPr>
        <w:tc>
          <w:tcPr>
            <w:tcW w:w="1740" w:type="dxa"/>
            <w:vMerge/>
            <w:tcBorders>
              <w:top w:val="nil"/>
              <w:left w:val="single" w:sz="4" w:space="0" w:color="auto"/>
              <w:bottom w:val="single" w:sz="4" w:space="0" w:color="auto"/>
              <w:right w:val="single" w:sz="4" w:space="0" w:color="auto"/>
            </w:tcBorders>
            <w:vAlign w:val="center"/>
            <w:hideMark/>
          </w:tcPr>
          <w:p w14:paraId="56F4D1EF"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nil"/>
              <w:left w:val="nil"/>
              <w:bottom w:val="single" w:sz="4" w:space="0" w:color="auto"/>
              <w:right w:val="single" w:sz="4" w:space="0" w:color="auto"/>
            </w:tcBorders>
            <w:shd w:val="clear" w:color="auto" w:fill="auto"/>
            <w:noWrap/>
            <w:vAlign w:val="bottom"/>
            <w:hideMark/>
          </w:tcPr>
          <w:p w14:paraId="0926A933"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FOTRADIS</w:t>
            </w:r>
          </w:p>
        </w:tc>
        <w:tc>
          <w:tcPr>
            <w:tcW w:w="2126" w:type="dxa"/>
            <w:tcBorders>
              <w:top w:val="nil"/>
              <w:left w:val="nil"/>
              <w:bottom w:val="single" w:sz="4" w:space="0" w:color="auto"/>
              <w:right w:val="single" w:sz="4" w:space="0" w:color="auto"/>
            </w:tcBorders>
            <w:shd w:val="clear" w:color="auto" w:fill="auto"/>
            <w:noWrap/>
            <w:vAlign w:val="center"/>
            <w:hideMark/>
          </w:tcPr>
          <w:p w14:paraId="2B35C82B"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8,484,205.51 </w:t>
            </w:r>
          </w:p>
        </w:tc>
      </w:tr>
      <w:tr w:rsidR="00D26BB9" w:rsidRPr="00B46FD6" w14:paraId="1A7C5D7F" w14:textId="77777777" w:rsidTr="00D26BB9">
        <w:trPr>
          <w:trHeight w:val="110"/>
          <w:jc w:val="center"/>
        </w:trPr>
        <w:tc>
          <w:tcPr>
            <w:tcW w:w="5402" w:type="dxa"/>
            <w:gridSpan w:val="2"/>
            <w:tcBorders>
              <w:top w:val="nil"/>
              <w:left w:val="single" w:sz="4" w:space="0" w:color="auto"/>
              <w:bottom w:val="single" w:sz="4" w:space="0" w:color="auto"/>
              <w:right w:val="single" w:sz="4" w:space="0" w:color="auto"/>
            </w:tcBorders>
            <w:shd w:val="clear" w:color="auto" w:fill="auto"/>
            <w:noWrap/>
            <w:vAlign w:val="center"/>
          </w:tcPr>
          <w:p w14:paraId="274A515F" w14:textId="77777777" w:rsidR="00D26BB9" w:rsidRPr="00D26BB9" w:rsidRDefault="00D26BB9">
            <w:pPr>
              <w:jc w:val="center"/>
              <w:rPr>
                <w:rFonts w:cstheme="minorHAnsi"/>
                <w:b/>
                <w:bCs/>
                <w:color w:val="000000"/>
                <w:sz w:val="22"/>
                <w:szCs w:val="22"/>
              </w:rPr>
            </w:pPr>
            <w:r w:rsidRPr="00D26BB9">
              <w:rPr>
                <w:rFonts w:cstheme="minorHAnsi"/>
                <w:b/>
                <w:bCs/>
                <w:color w:val="000000"/>
                <w:sz w:val="22"/>
                <w:szCs w:val="22"/>
              </w:rPr>
              <w:t>Subtotal</w:t>
            </w:r>
          </w:p>
        </w:tc>
        <w:tc>
          <w:tcPr>
            <w:tcW w:w="2126" w:type="dxa"/>
            <w:tcBorders>
              <w:top w:val="nil"/>
              <w:left w:val="nil"/>
              <w:bottom w:val="single" w:sz="4" w:space="0" w:color="auto"/>
              <w:right w:val="single" w:sz="4" w:space="0" w:color="auto"/>
            </w:tcBorders>
            <w:shd w:val="clear" w:color="auto" w:fill="auto"/>
            <w:noWrap/>
            <w:vAlign w:val="bottom"/>
          </w:tcPr>
          <w:p w14:paraId="692062D4" w14:textId="77777777" w:rsidR="00D26BB9" w:rsidRPr="00D26BB9" w:rsidRDefault="00D26BB9">
            <w:pPr>
              <w:rPr>
                <w:rFonts w:cstheme="minorHAnsi"/>
                <w:b/>
                <w:bCs/>
                <w:color w:val="000000"/>
                <w:sz w:val="22"/>
                <w:szCs w:val="22"/>
              </w:rPr>
            </w:pPr>
            <w:r w:rsidRPr="00D26BB9">
              <w:rPr>
                <w:rFonts w:cstheme="minorHAnsi"/>
                <w:b/>
                <w:bCs/>
                <w:color w:val="000000"/>
                <w:sz w:val="22"/>
                <w:szCs w:val="22"/>
              </w:rPr>
              <w:t xml:space="preserve"> $     217,041,252.43 </w:t>
            </w:r>
          </w:p>
        </w:tc>
      </w:tr>
      <w:tr w:rsidR="00B46FD6" w:rsidRPr="00B46FD6" w14:paraId="74BA39ED" w14:textId="77777777" w:rsidTr="00D26BB9">
        <w:trPr>
          <w:trHeight w:val="110"/>
          <w:jc w:val="center"/>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B9BFE" w14:textId="77777777" w:rsidR="00B46FD6" w:rsidRPr="00D26BB9" w:rsidRDefault="00B46FD6" w:rsidP="00B46FD6">
            <w:pPr>
              <w:jc w:val="cente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Convenio</w:t>
            </w: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2E3C245C"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CONADE</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44BA308"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49,955,815.29 </w:t>
            </w:r>
          </w:p>
        </w:tc>
      </w:tr>
      <w:tr w:rsidR="00B46FD6" w:rsidRPr="00B46FD6" w14:paraId="26FFAB2F" w14:textId="77777777" w:rsidTr="00D26BB9">
        <w:trPr>
          <w:trHeight w:val="70"/>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274D3901"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5890913C"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CONAFOR</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D209BA4"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205,000,000.00 </w:t>
            </w:r>
          </w:p>
        </w:tc>
      </w:tr>
      <w:tr w:rsidR="00B46FD6" w:rsidRPr="00B46FD6" w14:paraId="324AB02F" w14:textId="77777777" w:rsidTr="00D26BB9">
        <w:trPr>
          <w:trHeight w:val="131"/>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3957044A"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5A4C5908"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CONAGUA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E00730E"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351,975.10 </w:t>
            </w:r>
          </w:p>
        </w:tc>
      </w:tr>
      <w:tr w:rsidR="00B46FD6" w:rsidRPr="00B46FD6" w14:paraId="4E99F616" w14:textId="77777777" w:rsidTr="00D26BB9">
        <w:trPr>
          <w:trHeight w:val="70"/>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7655DB94"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56D5BB2B"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PRODI </w:t>
            </w:r>
            <w:r w:rsidR="00B85D8B" w:rsidRPr="00D26BB9">
              <w:rPr>
                <w:rFonts w:eastAsia="Times New Roman" w:cstheme="minorHAnsi"/>
                <w:color w:val="000000"/>
                <w:sz w:val="22"/>
                <w:szCs w:val="22"/>
                <w:lang w:val="es-MX" w:eastAsia="es-MX"/>
              </w:rPr>
              <w:t>–</w:t>
            </w:r>
            <w:r w:rsidRPr="00D26BB9">
              <w:rPr>
                <w:rFonts w:eastAsia="Times New Roman" w:cstheme="minorHAnsi"/>
                <w:color w:val="000000"/>
                <w:sz w:val="22"/>
                <w:szCs w:val="22"/>
                <w:lang w:val="es-MX" w:eastAsia="es-MX"/>
              </w:rPr>
              <w:t>CONAGUA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07A4AF1"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360,000.01 </w:t>
            </w:r>
          </w:p>
        </w:tc>
      </w:tr>
      <w:tr w:rsidR="00B46FD6" w:rsidRPr="00B46FD6" w14:paraId="5B883BAA" w14:textId="77777777" w:rsidTr="00D26BB9">
        <w:trPr>
          <w:trHeight w:val="228"/>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03829179"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43137C83"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DIF</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D9C9836"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4,349,854.42 </w:t>
            </w:r>
          </w:p>
        </w:tc>
      </w:tr>
      <w:tr w:rsidR="00B46FD6" w:rsidRPr="00B46FD6" w14:paraId="4EF8A8E2" w14:textId="77777777" w:rsidTr="00D26BB9">
        <w:trPr>
          <w:trHeight w:val="86"/>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1465BFC1"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1E79FE2C"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APAUR</w:t>
            </w:r>
            <w:r w:rsidR="00C730D1" w:rsidRPr="00D26BB9">
              <w:rPr>
                <w:rFonts w:eastAsia="Times New Roman" w:cstheme="minorHAnsi"/>
                <w:color w:val="000000"/>
                <w:sz w:val="22"/>
                <w:szCs w:val="22"/>
                <w:lang w:val="es-MX" w:eastAsia="es-MX"/>
              </w:rPr>
              <w:t xml:space="preserve"> </w:t>
            </w:r>
            <w:r w:rsidR="00D26BB9" w:rsidRPr="00D26BB9">
              <w:rPr>
                <w:rFonts w:eastAsia="Times New Roman" w:cstheme="minorHAnsi"/>
                <w:color w:val="000000"/>
                <w:sz w:val="22"/>
                <w:szCs w:val="22"/>
                <w:lang w:val="es-MX" w:eastAsia="es-MX"/>
              </w:rPr>
              <w:t>–</w:t>
            </w:r>
            <w:r w:rsidR="00C730D1" w:rsidRPr="00D26BB9">
              <w:rPr>
                <w:rFonts w:eastAsia="Times New Roman" w:cstheme="minorHAnsi"/>
                <w:color w:val="000000"/>
                <w:sz w:val="22"/>
                <w:szCs w:val="22"/>
                <w:lang w:val="es-MX" w:eastAsia="es-MX"/>
              </w:rPr>
              <w:t xml:space="preserve"> CONAGUA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9189428"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26,610,608.15 </w:t>
            </w:r>
          </w:p>
        </w:tc>
      </w:tr>
      <w:tr w:rsidR="00B46FD6" w:rsidRPr="00B46FD6" w14:paraId="2EA22255" w14:textId="77777777" w:rsidTr="00D26BB9">
        <w:trPr>
          <w:trHeight w:val="190"/>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3473C496"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58498A34"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NSJP - Secretaría Gobernación</w:t>
            </w:r>
          </w:p>
          <w:p w14:paraId="1847D352" w14:textId="77777777" w:rsidR="00970DC6" w:rsidRPr="00D26BB9" w:rsidRDefault="00970DC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lastRenderedPageBreak/>
              <w:t>(Nuevo Sistema de Justicia Penal)</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682AFE2"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lastRenderedPageBreak/>
              <w:t xml:space="preserve"> $       13,814,810.82 </w:t>
            </w:r>
          </w:p>
        </w:tc>
      </w:tr>
      <w:tr w:rsidR="00B46FD6" w:rsidRPr="00B46FD6" w14:paraId="65127A74" w14:textId="77777777" w:rsidTr="00D26BB9">
        <w:trPr>
          <w:trHeight w:val="315"/>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1D0BD752"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6A50205B"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PRODERMAGICO </w:t>
            </w:r>
            <w:r w:rsidR="001C535B">
              <w:rPr>
                <w:rFonts w:eastAsia="Times New Roman" w:cstheme="minorHAnsi"/>
                <w:color w:val="000000"/>
                <w:sz w:val="22"/>
                <w:szCs w:val="22"/>
                <w:lang w:val="es-MX" w:eastAsia="es-MX"/>
              </w:rPr>
              <w:t>–</w:t>
            </w:r>
            <w:r w:rsidRPr="00D26BB9">
              <w:rPr>
                <w:rFonts w:eastAsia="Times New Roman" w:cstheme="minorHAnsi"/>
                <w:color w:val="000000"/>
                <w:sz w:val="22"/>
                <w:szCs w:val="22"/>
                <w:lang w:val="es-MX" w:eastAsia="es-MX"/>
              </w:rPr>
              <w:t>Turismo</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EF62C69"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29,249,768.11 </w:t>
            </w:r>
          </w:p>
        </w:tc>
      </w:tr>
      <w:tr w:rsidR="00B46FD6" w:rsidRPr="00B46FD6" w14:paraId="5971B7B7" w14:textId="77777777" w:rsidTr="00D26BB9">
        <w:trPr>
          <w:trHeight w:val="114"/>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10F0AAD5"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7BD65610"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PRONAPRED</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8B095DA"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5,249,940.54 </w:t>
            </w:r>
          </w:p>
        </w:tc>
      </w:tr>
      <w:tr w:rsidR="00B46FD6" w:rsidRPr="00B46FD6" w14:paraId="19D3E600" w14:textId="77777777" w:rsidTr="00D26BB9">
        <w:trPr>
          <w:trHeight w:val="315"/>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7AA1DA6B"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2E452D23"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PROII</w:t>
            </w:r>
            <w:r w:rsidR="00B005BA" w:rsidRPr="00D26BB9">
              <w:rPr>
                <w:rFonts w:eastAsia="Times New Roman" w:cstheme="minorHAnsi"/>
                <w:color w:val="000000"/>
                <w:sz w:val="22"/>
                <w:szCs w:val="22"/>
                <w:lang w:val="es-MX" w:eastAsia="es-MX"/>
              </w:rPr>
              <w:t xml:space="preserve"> </w:t>
            </w:r>
            <w:r w:rsidR="00D26BB9" w:rsidRPr="00D26BB9">
              <w:rPr>
                <w:rFonts w:eastAsia="Times New Roman" w:cstheme="minorHAnsi"/>
                <w:color w:val="000000"/>
                <w:sz w:val="22"/>
                <w:szCs w:val="22"/>
                <w:lang w:val="es-MX" w:eastAsia="es-MX"/>
              </w:rPr>
              <w:t>–</w:t>
            </w:r>
            <w:r w:rsidR="00B005BA" w:rsidRPr="00D26BB9">
              <w:rPr>
                <w:rFonts w:eastAsia="Times New Roman" w:cstheme="minorHAnsi"/>
                <w:color w:val="000000"/>
                <w:sz w:val="22"/>
                <w:szCs w:val="22"/>
                <w:lang w:val="es-MX" w:eastAsia="es-MX"/>
              </w:rPr>
              <w:t>CDI</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EE171B5"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8,874,427.46 </w:t>
            </w:r>
          </w:p>
        </w:tc>
      </w:tr>
      <w:tr w:rsidR="00B46FD6" w:rsidRPr="00B46FD6" w14:paraId="20CCA306" w14:textId="77777777" w:rsidTr="00D26BB9">
        <w:trPr>
          <w:trHeight w:val="152"/>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712B5F25"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27EE03C8" w14:textId="77777777" w:rsidR="00B46FD6" w:rsidRPr="00D26BB9" w:rsidRDefault="00B005BA"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SEDATU</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113D483"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8,913,664.38 </w:t>
            </w:r>
          </w:p>
        </w:tc>
      </w:tr>
      <w:tr w:rsidR="00D26BB9" w:rsidRPr="00B46FD6" w14:paraId="68894CD8" w14:textId="77777777" w:rsidTr="00D26BB9">
        <w:trPr>
          <w:trHeight w:val="271"/>
          <w:jc w:val="center"/>
        </w:trPr>
        <w:tc>
          <w:tcPr>
            <w:tcW w:w="5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96D35A" w14:textId="77777777" w:rsidR="00D26BB9" w:rsidRPr="00D26BB9" w:rsidRDefault="00D26BB9">
            <w:pPr>
              <w:jc w:val="center"/>
              <w:rPr>
                <w:rFonts w:cstheme="minorHAnsi"/>
                <w:b/>
                <w:bCs/>
                <w:color w:val="000000"/>
                <w:sz w:val="22"/>
                <w:szCs w:val="22"/>
              </w:rPr>
            </w:pPr>
            <w:r w:rsidRPr="00D26BB9">
              <w:rPr>
                <w:rFonts w:cstheme="minorHAnsi"/>
                <w:b/>
                <w:bCs/>
                <w:color w:val="000000"/>
                <w:sz w:val="22"/>
                <w:szCs w:val="22"/>
              </w:rPr>
              <w:t>Subtotal</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6370A0C" w14:textId="77777777" w:rsidR="00D26BB9" w:rsidRPr="00D26BB9" w:rsidRDefault="00D26BB9">
            <w:pPr>
              <w:rPr>
                <w:rFonts w:cstheme="minorHAnsi"/>
                <w:b/>
                <w:bCs/>
                <w:color w:val="000000"/>
                <w:sz w:val="22"/>
                <w:szCs w:val="22"/>
              </w:rPr>
            </w:pPr>
            <w:r w:rsidRPr="00D26BB9">
              <w:rPr>
                <w:rFonts w:cstheme="minorHAnsi"/>
                <w:b/>
                <w:bCs/>
                <w:color w:val="000000"/>
                <w:sz w:val="22"/>
                <w:szCs w:val="22"/>
              </w:rPr>
              <w:t xml:space="preserve"> $     352,730,864.28 </w:t>
            </w:r>
          </w:p>
        </w:tc>
      </w:tr>
      <w:tr w:rsidR="00B46FD6" w:rsidRPr="00B46FD6" w14:paraId="374BCE15" w14:textId="77777777" w:rsidTr="00D26BB9">
        <w:trPr>
          <w:trHeight w:val="271"/>
          <w:jc w:val="center"/>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5D62E" w14:textId="77777777" w:rsidR="00B46FD6" w:rsidRPr="00D26BB9" w:rsidRDefault="00B46FD6" w:rsidP="00B46FD6">
            <w:pPr>
              <w:jc w:val="cente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Estatal</w:t>
            </w: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56068923"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Estatal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3C7E93E"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15,660,813.31 </w:t>
            </w:r>
          </w:p>
        </w:tc>
      </w:tr>
      <w:tr w:rsidR="00B46FD6" w:rsidRPr="00B46FD6" w14:paraId="76ED1EDE" w14:textId="77777777" w:rsidTr="00D26BB9">
        <w:trPr>
          <w:trHeight w:val="234"/>
          <w:jc w:val="center"/>
        </w:trPr>
        <w:tc>
          <w:tcPr>
            <w:tcW w:w="1740" w:type="dxa"/>
            <w:vMerge/>
            <w:tcBorders>
              <w:top w:val="single" w:sz="4" w:space="0" w:color="auto"/>
              <w:left w:val="single" w:sz="4" w:space="0" w:color="auto"/>
              <w:bottom w:val="single" w:sz="4" w:space="0" w:color="auto"/>
              <w:right w:val="single" w:sz="4" w:space="0" w:color="auto"/>
            </w:tcBorders>
            <w:vAlign w:val="center"/>
            <w:hideMark/>
          </w:tcPr>
          <w:p w14:paraId="722DDE4F"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64B65F01" w14:textId="77777777" w:rsidR="00970DC6" w:rsidRPr="00D26BB9" w:rsidRDefault="00B46FD6" w:rsidP="00970DC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CIAPACOV</w:t>
            </w:r>
            <w:r w:rsidR="00970DC6" w:rsidRPr="00D26BB9">
              <w:rPr>
                <w:rFonts w:eastAsia="Times New Roman" w:cstheme="minorHAnsi"/>
                <w:color w:val="000000"/>
                <w:sz w:val="22"/>
                <w:szCs w:val="22"/>
                <w:lang w:val="es-MX" w:eastAsia="es-MX"/>
              </w:rPr>
              <w:t xml:space="preserve"> (Comisión Intermunicipal de Agua Potable)</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3678F31" w14:textId="77777777" w:rsidR="00B46FD6" w:rsidRPr="00D26BB9" w:rsidRDefault="00B46FD6"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89,999.99 </w:t>
            </w:r>
          </w:p>
        </w:tc>
      </w:tr>
      <w:tr w:rsidR="00B46FD6" w:rsidRPr="00B46FD6" w14:paraId="5812EE11" w14:textId="77777777" w:rsidTr="00D26BB9">
        <w:trPr>
          <w:trHeight w:val="224"/>
          <w:jc w:val="center"/>
        </w:trPr>
        <w:tc>
          <w:tcPr>
            <w:tcW w:w="1740" w:type="dxa"/>
            <w:vMerge/>
            <w:tcBorders>
              <w:top w:val="single" w:sz="4" w:space="0" w:color="auto"/>
              <w:left w:val="single" w:sz="4" w:space="0" w:color="auto"/>
              <w:bottom w:val="nil"/>
              <w:right w:val="single" w:sz="4" w:space="0" w:color="auto"/>
            </w:tcBorders>
            <w:vAlign w:val="center"/>
            <w:hideMark/>
          </w:tcPr>
          <w:p w14:paraId="01C62336" w14:textId="77777777" w:rsidR="00B46FD6" w:rsidRPr="00D26BB9" w:rsidRDefault="00B46FD6" w:rsidP="00B46FD6">
            <w:pPr>
              <w:rPr>
                <w:rFonts w:eastAsia="Times New Roman" w:cstheme="minorHAnsi"/>
                <w:color w:val="000000"/>
                <w:sz w:val="22"/>
                <w:szCs w:val="22"/>
                <w:lang w:val="es-MX" w:eastAsia="es-MX"/>
              </w:rPr>
            </w:pPr>
          </w:p>
        </w:tc>
        <w:tc>
          <w:tcPr>
            <w:tcW w:w="3662" w:type="dxa"/>
            <w:tcBorders>
              <w:top w:val="single" w:sz="4" w:space="0" w:color="auto"/>
              <w:left w:val="nil"/>
              <w:bottom w:val="single" w:sz="4" w:space="0" w:color="auto"/>
              <w:right w:val="single" w:sz="4" w:space="0" w:color="auto"/>
            </w:tcBorders>
            <w:shd w:val="clear" w:color="auto" w:fill="auto"/>
            <w:noWrap/>
            <w:vAlign w:val="bottom"/>
            <w:hideMark/>
          </w:tcPr>
          <w:p w14:paraId="29418C23" w14:textId="77777777" w:rsidR="00B46FD6" w:rsidRPr="00D26BB9" w:rsidRDefault="00B46FD6" w:rsidP="00B46FD6">
            <w:pPr>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PNG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2A9D310" w14:textId="77777777" w:rsidR="00B46FD6" w:rsidRPr="00D26BB9" w:rsidRDefault="00B85D8B" w:rsidP="00970DC6">
            <w:pPr>
              <w:jc w:val="right"/>
              <w:rPr>
                <w:rFonts w:eastAsia="Times New Roman" w:cstheme="minorHAnsi"/>
                <w:color w:val="000000"/>
                <w:sz w:val="22"/>
                <w:szCs w:val="22"/>
                <w:lang w:val="es-MX" w:eastAsia="es-MX"/>
              </w:rPr>
            </w:pPr>
            <w:r w:rsidRPr="00D26BB9">
              <w:rPr>
                <w:rFonts w:eastAsia="Times New Roman" w:cstheme="minorHAnsi"/>
                <w:color w:val="000000"/>
                <w:sz w:val="22"/>
                <w:szCs w:val="22"/>
                <w:lang w:val="es-MX" w:eastAsia="es-MX"/>
              </w:rPr>
              <w:t xml:space="preserve"> $       47,155,503.23</w:t>
            </w:r>
            <w:r w:rsidR="00B46FD6" w:rsidRPr="00D26BB9">
              <w:rPr>
                <w:rFonts w:eastAsia="Times New Roman" w:cstheme="minorHAnsi"/>
                <w:color w:val="000000"/>
                <w:sz w:val="22"/>
                <w:szCs w:val="22"/>
                <w:lang w:val="es-MX" w:eastAsia="es-MX"/>
              </w:rPr>
              <w:t xml:space="preserve"> </w:t>
            </w:r>
          </w:p>
        </w:tc>
      </w:tr>
      <w:tr w:rsidR="00D26BB9" w:rsidRPr="00B46FD6" w14:paraId="08E638F0" w14:textId="77777777" w:rsidTr="000075CC">
        <w:trPr>
          <w:trHeight w:val="315"/>
          <w:jc w:val="center"/>
        </w:trPr>
        <w:tc>
          <w:tcPr>
            <w:tcW w:w="540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943F989" w14:textId="77777777" w:rsidR="00D26BB9" w:rsidRPr="00D26BB9" w:rsidRDefault="00D26BB9">
            <w:pPr>
              <w:jc w:val="center"/>
              <w:rPr>
                <w:rFonts w:cstheme="minorHAnsi"/>
                <w:b/>
                <w:bCs/>
                <w:color w:val="000000"/>
                <w:sz w:val="22"/>
                <w:szCs w:val="22"/>
              </w:rPr>
            </w:pPr>
            <w:r w:rsidRPr="00D26BB9">
              <w:rPr>
                <w:rFonts w:cstheme="minorHAnsi"/>
                <w:b/>
                <w:bCs/>
                <w:color w:val="000000"/>
                <w:sz w:val="22"/>
                <w:szCs w:val="22"/>
              </w:rPr>
              <w:t>Subtotal</w:t>
            </w:r>
          </w:p>
        </w:tc>
        <w:tc>
          <w:tcPr>
            <w:tcW w:w="2126" w:type="dxa"/>
            <w:tcBorders>
              <w:top w:val="nil"/>
              <w:left w:val="nil"/>
              <w:bottom w:val="single" w:sz="4" w:space="0" w:color="auto"/>
              <w:right w:val="single" w:sz="4" w:space="0" w:color="auto"/>
            </w:tcBorders>
            <w:shd w:val="clear" w:color="auto" w:fill="auto"/>
            <w:noWrap/>
            <w:vAlign w:val="bottom"/>
          </w:tcPr>
          <w:p w14:paraId="6FC8E42B" w14:textId="77777777" w:rsidR="00D26BB9" w:rsidRPr="00D26BB9" w:rsidRDefault="00D26BB9">
            <w:pPr>
              <w:rPr>
                <w:rFonts w:cstheme="minorHAnsi"/>
                <w:b/>
                <w:bCs/>
                <w:color w:val="000000"/>
                <w:sz w:val="22"/>
                <w:szCs w:val="22"/>
              </w:rPr>
            </w:pPr>
            <w:r w:rsidRPr="00D26BB9">
              <w:rPr>
                <w:rFonts w:cstheme="minorHAnsi"/>
                <w:b/>
                <w:bCs/>
                <w:color w:val="000000"/>
                <w:sz w:val="22"/>
                <w:szCs w:val="22"/>
              </w:rPr>
              <w:t xml:space="preserve"> $       62,906,316.53 </w:t>
            </w:r>
          </w:p>
        </w:tc>
      </w:tr>
      <w:tr w:rsidR="00B46FD6" w:rsidRPr="00B46FD6" w14:paraId="1122F7BE" w14:textId="77777777" w:rsidTr="00970DC6">
        <w:trPr>
          <w:trHeight w:val="315"/>
          <w:jc w:val="center"/>
        </w:trPr>
        <w:tc>
          <w:tcPr>
            <w:tcW w:w="540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2317A6" w14:textId="77777777" w:rsidR="00B46FD6" w:rsidRPr="00D26BB9" w:rsidRDefault="00B46FD6" w:rsidP="00B46FD6">
            <w:pPr>
              <w:jc w:val="center"/>
              <w:rPr>
                <w:rFonts w:eastAsia="Times New Roman" w:cstheme="minorHAnsi"/>
                <w:b/>
                <w:bCs/>
                <w:color w:val="000000"/>
                <w:sz w:val="22"/>
                <w:szCs w:val="22"/>
                <w:lang w:val="es-MX" w:eastAsia="es-MX"/>
              </w:rPr>
            </w:pPr>
            <w:r w:rsidRPr="00D26BB9">
              <w:rPr>
                <w:rFonts w:eastAsia="Times New Roman" w:cstheme="minorHAnsi"/>
                <w:b/>
                <w:bCs/>
                <w:color w:val="000000"/>
                <w:sz w:val="22"/>
                <w:szCs w:val="22"/>
                <w:lang w:val="es-MX" w:eastAsia="es-MX"/>
              </w:rPr>
              <w:t>Total</w:t>
            </w:r>
          </w:p>
        </w:tc>
        <w:tc>
          <w:tcPr>
            <w:tcW w:w="2126" w:type="dxa"/>
            <w:tcBorders>
              <w:top w:val="nil"/>
              <w:left w:val="nil"/>
              <w:bottom w:val="single" w:sz="4" w:space="0" w:color="auto"/>
              <w:right w:val="single" w:sz="4" w:space="0" w:color="auto"/>
            </w:tcBorders>
            <w:shd w:val="clear" w:color="auto" w:fill="auto"/>
            <w:noWrap/>
            <w:vAlign w:val="center"/>
            <w:hideMark/>
          </w:tcPr>
          <w:p w14:paraId="744EE137" w14:textId="77777777" w:rsidR="00B46FD6" w:rsidRPr="00D26BB9" w:rsidRDefault="00B46FD6" w:rsidP="00970DC6">
            <w:pPr>
              <w:jc w:val="right"/>
              <w:rPr>
                <w:rFonts w:eastAsia="Times New Roman" w:cstheme="minorHAnsi"/>
                <w:b/>
                <w:bCs/>
                <w:color w:val="000000"/>
                <w:sz w:val="22"/>
                <w:szCs w:val="22"/>
                <w:lang w:val="es-MX" w:eastAsia="es-MX"/>
              </w:rPr>
            </w:pPr>
            <w:r w:rsidRPr="00D26BB9">
              <w:rPr>
                <w:rFonts w:eastAsia="Times New Roman" w:cstheme="minorHAnsi"/>
                <w:b/>
                <w:bCs/>
                <w:color w:val="000000"/>
                <w:sz w:val="22"/>
                <w:szCs w:val="22"/>
                <w:lang w:val="es-MX" w:eastAsia="es-MX"/>
              </w:rPr>
              <w:t xml:space="preserve"> $     632,678,433.24 </w:t>
            </w:r>
          </w:p>
        </w:tc>
      </w:tr>
      <w:tr w:rsidR="00B46FD6" w:rsidRPr="00B46FD6" w14:paraId="2399E91B" w14:textId="77777777" w:rsidTr="00B46FD6">
        <w:trPr>
          <w:trHeight w:val="510"/>
          <w:jc w:val="center"/>
        </w:trPr>
        <w:tc>
          <w:tcPr>
            <w:tcW w:w="752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586E8B4" w14:textId="77777777" w:rsidR="00B46FD6" w:rsidRPr="00B46FD6" w:rsidRDefault="00B46FD6" w:rsidP="00B46FD6">
            <w:pPr>
              <w:rPr>
                <w:rFonts w:eastAsia="Times New Roman" w:cstheme="minorHAnsi"/>
                <w:color w:val="000000"/>
                <w:sz w:val="22"/>
                <w:szCs w:val="22"/>
                <w:lang w:val="es-MX" w:eastAsia="es-MX"/>
              </w:rPr>
            </w:pPr>
            <w:r w:rsidRPr="00B46FD6">
              <w:rPr>
                <w:rFonts w:eastAsia="Times New Roman" w:cstheme="minorHAnsi"/>
                <w:color w:val="000000"/>
                <w:sz w:val="20"/>
                <w:szCs w:val="22"/>
                <w:lang w:val="es-MX" w:eastAsia="es-MX"/>
              </w:rPr>
              <w:t>Fuente: Elaboración propia con base a información proporcionada por la SEIDUR "Resumen de obras contratadas 2016".</w:t>
            </w:r>
          </w:p>
        </w:tc>
      </w:tr>
    </w:tbl>
    <w:p w14:paraId="62906E9F" w14:textId="77777777" w:rsidR="00A651C2" w:rsidRPr="001478BC" w:rsidRDefault="00A651C2" w:rsidP="00F2366C">
      <w:pPr>
        <w:spacing w:after="240" w:line="276" w:lineRule="auto"/>
        <w:rPr>
          <w:rFonts w:ascii="Century Gothic" w:hAnsi="Century Gothic"/>
          <w:sz w:val="6"/>
          <w:lang w:val="es-MX"/>
        </w:rPr>
      </w:pPr>
    </w:p>
    <w:p w14:paraId="59F0C458" w14:textId="77777777" w:rsidR="00D91CFE" w:rsidRDefault="00795142" w:rsidP="00234CF3">
      <w:pPr>
        <w:spacing w:after="240" w:line="276" w:lineRule="auto"/>
        <w:jc w:val="both"/>
        <w:rPr>
          <w:rFonts w:ascii="Century Gothic" w:hAnsi="Century Gothic"/>
        </w:rPr>
      </w:pPr>
      <w:r>
        <w:rPr>
          <w:rFonts w:ascii="Century Gothic" w:hAnsi="Century Gothic"/>
        </w:rPr>
        <w:t>Se destaca que la mayoría de los recursos proviene de fuentes federales, bien sea directamente de un fondo (34.3%) o de algún convenio (55.8%), y en menor proporción (9.9%) fueron las aportaciones por parte de recursos estatales. Con esto se llevaron a cabo diversas obras encaminadas al desarrollo de la infraestructura social en el estado de Colima.</w:t>
      </w:r>
    </w:p>
    <w:p w14:paraId="04A9441B" w14:textId="77777777" w:rsidR="00234CF3" w:rsidRDefault="00234CF3" w:rsidP="00234CF3">
      <w:pPr>
        <w:spacing w:after="240" w:line="276" w:lineRule="auto"/>
        <w:jc w:val="both"/>
        <w:rPr>
          <w:rFonts w:ascii="Century Gothic" w:hAnsi="Century Gothic"/>
        </w:rPr>
      </w:pPr>
      <w:r>
        <w:rPr>
          <w:rFonts w:ascii="Century Gothic" w:hAnsi="Century Gothic"/>
        </w:rPr>
        <w:t xml:space="preserve">Dado que la evaluación es de </w:t>
      </w:r>
      <w:r w:rsidRPr="00234CF3">
        <w:rPr>
          <w:rFonts w:ascii="Century Gothic" w:hAnsi="Century Gothic"/>
        </w:rPr>
        <w:t>Procesos para</w:t>
      </w:r>
      <w:r w:rsidR="00795142">
        <w:rPr>
          <w:rFonts w:ascii="Century Gothic" w:hAnsi="Century Gothic"/>
        </w:rPr>
        <w:t xml:space="preserve"> el Fondo de</w:t>
      </w:r>
      <w:r w:rsidRPr="00234CF3">
        <w:rPr>
          <w:rFonts w:ascii="Century Gothic" w:hAnsi="Century Gothic"/>
        </w:rPr>
        <w:t xml:space="preserve"> la Infraestructura Social Estatal (FISE) a través del programa presupuestario “Construcción, Modernización y Mantenimiento de la Infraestructura para el Desarrollo”</w:t>
      </w:r>
      <w:r>
        <w:rPr>
          <w:rFonts w:ascii="Century Gothic" w:hAnsi="Century Gothic"/>
        </w:rPr>
        <w:t xml:space="preserve">, el análisis se centrara </w:t>
      </w:r>
      <w:r w:rsidR="008B53A5">
        <w:rPr>
          <w:rFonts w:ascii="Century Gothic" w:hAnsi="Century Gothic"/>
        </w:rPr>
        <w:t>en las obras realizadas con dicho Fondo.</w:t>
      </w:r>
    </w:p>
    <w:p w14:paraId="6CA67501" w14:textId="77777777" w:rsidR="00A651C2" w:rsidRDefault="00D22664" w:rsidP="00D22664">
      <w:pPr>
        <w:spacing w:after="240" w:line="276" w:lineRule="auto"/>
        <w:jc w:val="both"/>
        <w:rPr>
          <w:rFonts w:ascii="Century Gothic" w:hAnsi="Century Gothic"/>
        </w:rPr>
      </w:pPr>
      <w:r>
        <w:rPr>
          <w:rFonts w:ascii="Century Gothic" w:hAnsi="Century Gothic"/>
        </w:rPr>
        <w:t>Respecto al FISE, la SEIDUR ejerció en el año 2016 $</w:t>
      </w:r>
      <w:r w:rsidR="00F54D8F" w:rsidRPr="00F54D8F">
        <w:rPr>
          <w:rFonts w:ascii="Century Gothic" w:hAnsi="Century Gothic"/>
        </w:rPr>
        <w:t>5</w:t>
      </w:r>
      <w:r w:rsidR="00F54D8F">
        <w:rPr>
          <w:rFonts w:ascii="Century Gothic" w:hAnsi="Century Gothic"/>
        </w:rPr>
        <w:t>,</w:t>
      </w:r>
      <w:r w:rsidR="00F54D8F" w:rsidRPr="00F54D8F">
        <w:rPr>
          <w:rFonts w:ascii="Century Gothic" w:hAnsi="Century Gothic"/>
        </w:rPr>
        <w:t>470</w:t>
      </w:r>
      <w:r w:rsidR="00F54D8F">
        <w:rPr>
          <w:rFonts w:ascii="Century Gothic" w:hAnsi="Century Gothic"/>
        </w:rPr>
        <w:t>,</w:t>
      </w:r>
      <w:r w:rsidR="00F54D8F" w:rsidRPr="00F54D8F">
        <w:rPr>
          <w:rFonts w:ascii="Century Gothic" w:hAnsi="Century Gothic"/>
        </w:rPr>
        <w:t>770.98</w:t>
      </w:r>
      <w:r>
        <w:rPr>
          <w:rFonts w:ascii="Century Gothic" w:hAnsi="Century Gothic"/>
        </w:rPr>
        <w:t xml:space="preserve">, provenientes de dicho fondo, </w:t>
      </w:r>
      <w:r w:rsidR="00F54D8F">
        <w:rPr>
          <w:rFonts w:ascii="Century Gothic" w:hAnsi="Century Gothic"/>
        </w:rPr>
        <w:t>de los cuales $</w:t>
      </w:r>
      <w:r w:rsidR="00F54D8F" w:rsidRPr="00F54D8F">
        <w:rPr>
          <w:rFonts w:ascii="Century Gothic" w:hAnsi="Century Gothic"/>
        </w:rPr>
        <w:t>750</w:t>
      </w:r>
      <w:r w:rsidR="00F54D8F">
        <w:rPr>
          <w:rFonts w:ascii="Century Gothic" w:hAnsi="Century Gothic"/>
        </w:rPr>
        <w:t>,119.99 vienen del ejercicio</w:t>
      </w:r>
      <w:r w:rsidR="00795142">
        <w:rPr>
          <w:rFonts w:ascii="Century Gothic" w:hAnsi="Century Gothic"/>
        </w:rPr>
        <w:t xml:space="preserve"> </w:t>
      </w:r>
      <w:r w:rsidR="00F54D8F">
        <w:rPr>
          <w:rFonts w:ascii="Century Gothic" w:hAnsi="Century Gothic"/>
        </w:rPr>
        <w:t xml:space="preserve">2015 como remanente. En general estos recursos </w:t>
      </w:r>
      <w:r>
        <w:rPr>
          <w:rFonts w:ascii="Century Gothic" w:hAnsi="Century Gothic"/>
        </w:rPr>
        <w:t>se centraron principalmente en obras de agua y saneamiento e infraestructura</w:t>
      </w:r>
      <w:r w:rsidR="00F54D8F">
        <w:rPr>
          <w:rFonts w:ascii="Century Gothic" w:hAnsi="Century Gothic"/>
        </w:rPr>
        <w:t xml:space="preserve">, </w:t>
      </w:r>
      <w:r>
        <w:rPr>
          <w:rFonts w:ascii="Century Gothic" w:hAnsi="Century Gothic"/>
        </w:rPr>
        <w:t xml:space="preserve">obras </w:t>
      </w:r>
      <w:r w:rsidR="00F54D8F">
        <w:rPr>
          <w:rFonts w:ascii="Century Gothic" w:hAnsi="Century Gothic"/>
        </w:rPr>
        <w:t xml:space="preserve">que </w:t>
      </w:r>
      <w:r>
        <w:rPr>
          <w:rFonts w:ascii="Century Gothic" w:hAnsi="Century Gothic"/>
        </w:rPr>
        <w:t>en su mayoría se desarrollaron mediante convenios, tal como se detalla en el siguiente cuadro:</w:t>
      </w:r>
    </w:p>
    <w:tbl>
      <w:tblPr>
        <w:tblW w:w="5000" w:type="pct"/>
        <w:jc w:val="center"/>
        <w:tblCellMar>
          <w:left w:w="70" w:type="dxa"/>
          <w:right w:w="70" w:type="dxa"/>
        </w:tblCellMar>
        <w:tblLook w:val="04A0" w:firstRow="1" w:lastRow="0" w:firstColumn="1" w:lastColumn="0" w:noHBand="0" w:noVBand="1"/>
      </w:tblPr>
      <w:tblGrid>
        <w:gridCol w:w="2242"/>
        <w:gridCol w:w="1721"/>
        <w:gridCol w:w="1424"/>
        <w:gridCol w:w="1796"/>
        <w:gridCol w:w="1877"/>
      </w:tblGrid>
      <w:tr w:rsidR="00DC7EA2" w:rsidRPr="00DC7EA2" w14:paraId="606C79C0" w14:textId="77777777" w:rsidTr="00DC7EA2">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0E4E7A"/>
            <w:noWrap/>
            <w:vAlign w:val="center"/>
            <w:hideMark/>
          </w:tcPr>
          <w:p w14:paraId="48E3A637" w14:textId="77777777" w:rsidR="00DC7EA2" w:rsidRPr="00DC7EA2" w:rsidRDefault="004D49BD" w:rsidP="00DC7EA2">
            <w:pPr>
              <w:jc w:val="center"/>
              <w:rPr>
                <w:rFonts w:ascii="Calibri" w:eastAsia="Times New Roman" w:hAnsi="Calibri" w:cs="Calibri"/>
                <w:b/>
                <w:bCs/>
                <w:color w:val="FFFFFF"/>
                <w:sz w:val="22"/>
                <w:szCs w:val="22"/>
                <w:lang w:val="es-MX" w:eastAsia="es-MX"/>
              </w:rPr>
            </w:pPr>
            <w:r>
              <w:rPr>
                <w:rFonts w:ascii="Calibri" w:eastAsia="Times New Roman" w:hAnsi="Calibri" w:cs="Calibri"/>
                <w:b/>
                <w:bCs/>
                <w:color w:val="FFFFFF"/>
                <w:sz w:val="22"/>
                <w:szCs w:val="22"/>
                <w:lang w:val="es-MX" w:eastAsia="es-MX"/>
              </w:rPr>
              <w:t>Cuadro 3.2</w:t>
            </w:r>
            <w:r w:rsidR="00DC7EA2" w:rsidRPr="00DC7EA2">
              <w:rPr>
                <w:rFonts w:ascii="Calibri" w:eastAsia="Times New Roman" w:hAnsi="Calibri" w:cs="Calibri"/>
                <w:b/>
                <w:bCs/>
                <w:color w:val="FFFFFF"/>
                <w:sz w:val="22"/>
                <w:szCs w:val="22"/>
                <w:lang w:val="es-MX" w:eastAsia="es-MX"/>
              </w:rPr>
              <w:t>. Relación de obras - FISE 2016 SEIDUR</w:t>
            </w:r>
          </w:p>
        </w:tc>
      </w:tr>
      <w:tr w:rsidR="00DC7EA2" w:rsidRPr="00DC7EA2" w14:paraId="4ACD42D7" w14:textId="77777777" w:rsidTr="00DC7EA2">
        <w:trPr>
          <w:trHeight w:val="315"/>
          <w:jc w:val="center"/>
        </w:trPr>
        <w:tc>
          <w:tcPr>
            <w:tcW w:w="1237" w:type="pct"/>
            <w:tcBorders>
              <w:top w:val="nil"/>
              <w:left w:val="single" w:sz="4" w:space="0" w:color="auto"/>
              <w:bottom w:val="single" w:sz="4" w:space="0" w:color="auto"/>
              <w:right w:val="single" w:sz="4" w:space="0" w:color="auto"/>
            </w:tcBorders>
            <w:shd w:val="clear" w:color="000000" w:fill="0E4E7A"/>
            <w:noWrap/>
            <w:vAlign w:val="center"/>
            <w:hideMark/>
          </w:tcPr>
          <w:p w14:paraId="3C879890" w14:textId="77777777" w:rsidR="00DC7EA2" w:rsidRPr="00DC7EA2" w:rsidRDefault="00DC7EA2" w:rsidP="00DC7EA2">
            <w:pPr>
              <w:jc w:val="center"/>
              <w:rPr>
                <w:rFonts w:ascii="Calibri" w:eastAsia="Times New Roman" w:hAnsi="Calibri" w:cs="Calibri"/>
                <w:b/>
                <w:bCs/>
                <w:color w:val="FFFFFF"/>
                <w:sz w:val="22"/>
                <w:szCs w:val="22"/>
                <w:lang w:val="es-MX" w:eastAsia="es-MX"/>
              </w:rPr>
            </w:pPr>
            <w:r w:rsidRPr="00DC7EA2">
              <w:rPr>
                <w:rFonts w:ascii="Calibri" w:eastAsia="Times New Roman" w:hAnsi="Calibri" w:cs="Calibri"/>
                <w:b/>
                <w:bCs/>
                <w:color w:val="FFFFFF"/>
                <w:sz w:val="22"/>
                <w:szCs w:val="22"/>
                <w:lang w:val="es-MX" w:eastAsia="es-MX"/>
              </w:rPr>
              <w:t>Rubro del Gasto</w:t>
            </w:r>
          </w:p>
        </w:tc>
        <w:tc>
          <w:tcPr>
            <w:tcW w:w="950" w:type="pct"/>
            <w:tcBorders>
              <w:top w:val="nil"/>
              <w:left w:val="nil"/>
              <w:bottom w:val="single" w:sz="4" w:space="0" w:color="auto"/>
              <w:right w:val="single" w:sz="4" w:space="0" w:color="auto"/>
            </w:tcBorders>
            <w:shd w:val="clear" w:color="000000" w:fill="0E4E7A"/>
            <w:noWrap/>
            <w:vAlign w:val="center"/>
            <w:hideMark/>
          </w:tcPr>
          <w:p w14:paraId="38F48FAC" w14:textId="77777777" w:rsidR="00DC7EA2" w:rsidRPr="00DC7EA2" w:rsidRDefault="00DC7EA2" w:rsidP="00DC7EA2">
            <w:pPr>
              <w:jc w:val="center"/>
              <w:rPr>
                <w:rFonts w:ascii="Calibri" w:eastAsia="Times New Roman" w:hAnsi="Calibri" w:cs="Calibri"/>
                <w:b/>
                <w:bCs/>
                <w:color w:val="FFFFFF"/>
                <w:sz w:val="22"/>
                <w:szCs w:val="22"/>
                <w:lang w:val="es-MX" w:eastAsia="es-MX"/>
              </w:rPr>
            </w:pPr>
            <w:r w:rsidRPr="00DC7EA2">
              <w:rPr>
                <w:rFonts w:ascii="Calibri" w:eastAsia="Times New Roman" w:hAnsi="Calibri" w:cs="Calibri"/>
                <w:b/>
                <w:bCs/>
                <w:color w:val="FFFFFF"/>
                <w:sz w:val="22"/>
                <w:szCs w:val="22"/>
                <w:lang w:val="es-MX" w:eastAsia="es-MX"/>
              </w:rPr>
              <w:t>Subclasificación</w:t>
            </w:r>
          </w:p>
        </w:tc>
        <w:tc>
          <w:tcPr>
            <w:tcW w:w="786" w:type="pct"/>
            <w:tcBorders>
              <w:top w:val="nil"/>
              <w:left w:val="nil"/>
              <w:bottom w:val="single" w:sz="4" w:space="0" w:color="auto"/>
              <w:right w:val="single" w:sz="4" w:space="0" w:color="auto"/>
            </w:tcBorders>
            <w:shd w:val="clear" w:color="000000" w:fill="0E4E7A"/>
            <w:noWrap/>
            <w:vAlign w:val="center"/>
            <w:hideMark/>
          </w:tcPr>
          <w:p w14:paraId="19389EA4" w14:textId="77777777" w:rsidR="00DC7EA2" w:rsidRPr="00DC7EA2" w:rsidRDefault="00DC7EA2" w:rsidP="00DC7EA2">
            <w:pPr>
              <w:jc w:val="center"/>
              <w:rPr>
                <w:rFonts w:ascii="Calibri" w:eastAsia="Times New Roman" w:hAnsi="Calibri" w:cs="Calibri"/>
                <w:b/>
                <w:bCs/>
                <w:color w:val="FFFFFF"/>
                <w:sz w:val="22"/>
                <w:szCs w:val="22"/>
                <w:lang w:val="es-MX" w:eastAsia="es-MX"/>
              </w:rPr>
            </w:pPr>
            <w:r w:rsidRPr="00DC7EA2">
              <w:rPr>
                <w:rFonts w:ascii="Calibri" w:eastAsia="Times New Roman" w:hAnsi="Calibri" w:cs="Calibri"/>
                <w:b/>
                <w:bCs/>
                <w:color w:val="FFFFFF"/>
                <w:sz w:val="22"/>
                <w:szCs w:val="22"/>
                <w:lang w:val="es-MX" w:eastAsia="es-MX"/>
              </w:rPr>
              <w:t>Modalidad</w:t>
            </w:r>
          </w:p>
        </w:tc>
        <w:tc>
          <w:tcPr>
            <w:tcW w:w="991" w:type="pct"/>
            <w:tcBorders>
              <w:top w:val="nil"/>
              <w:left w:val="nil"/>
              <w:bottom w:val="single" w:sz="4" w:space="0" w:color="auto"/>
              <w:right w:val="single" w:sz="4" w:space="0" w:color="auto"/>
            </w:tcBorders>
            <w:shd w:val="clear" w:color="000000" w:fill="0E4E7A"/>
            <w:noWrap/>
            <w:vAlign w:val="center"/>
            <w:hideMark/>
          </w:tcPr>
          <w:p w14:paraId="2C2AB54C" w14:textId="77777777" w:rsidR="00DC7EA2" w:rsidRPr="00DC7EA2" w:rsidRDefault="00DC7EA2" w:rsidP="00DC7EA2">
            <w:pPr>
              <w:jc w:val="center"/>
              <w:rPr>
                <w:rFonts w:ascii="Calibri" w:eastAsia="Times New Roman" w:hAnsi="Calibri" w:cs="Calibri"/>
                <w:b/>
                <w:bCs/>
                <w:color w:val="FFFFFF"/>
                <w:sz w:val="22"/>
                <w:szCs w:val="22"/>
                <w:lang w:val="es-MX" w:eastAsia="es-MX"/>
              </w:rPr>
            </w:pPr>
            <w:r w:rsidRPr="00DC7EA2">
              <w:rPr>
                <w:rFonts w:ascii="Calibri" w:eastAsia="Times New Roman" w:hAnsi="Calibri" w:cs="Calibri"/>
                <w:b/>
                <w:bCs/>
                <w:color w:val="FFFFFF"/>
                <w:sz w:val="22"/>
                <w:szCs w:val="22"/>
                <w:lang w:val="es-MX" w:eastAsia="es-MX"/>
              </w:rPr>
              <w:t>Monto FISE</w:t>
            </w:r>
          </w:p>
        </w:tc>
        <w:tc>
          <w:tcPr>
            <w:tcW w:w="1037" w:type="pct"/>
            <w:tcBorders>
              <w:top w:val="nil"/>
              <w:left w:val="nil"/>
              <w:bottom w:val="single" w:sz="4" w:space="0" w:color="auto"/>
              <w:right w:val="single" w:sz="4" w:space="0" w:color="auto"/>
            </w:tcBorders>
            <w:shd w:val="clear" w:color="000000" w:fill="0E4E7A"/>
            <w:vAlign w:val="center"/>
            <w:hideMark/>
          </w:tcPr>
          <w:p w14:paraId="7D79F587" w14:textId="77777777" w:rsidR="00DC7EA2" w:rsidRPr="00DC7EA2" w:rsidRDefault="00DC7EA2" w:rsidP="00DC7EA2">
            <w:pPr>
              <w:jc w:val="center"/>
              <w:rPr>
                <w:rFonts w:ascii="Calibri" w:eastAsia="Times New Roman" w:hAnsi="Calibri" w:cs="Calibri"/>
                <w:b/>
                <w:bCs/>
                <w:color w:val="FFFFFF"/>
                <w:sz w:val="22"/>
                <w:szCs w:val="22"/>
                <w:lang w:val="es-MX" w:eastAsia="es-MX"/>
              </w:rPr>
            </w:pPr>
            <w:r w:rsidRPr="00DC7EA2">
              <w:rPr>
                <w:rFonts w:ascii="Calibri" w:eastAsia="Times New Roman" w:hAnsi="Calibri" w:cs="Calibri"/>
                <w:b/>
                <w:bCs/>
                <w:color w:val="FFFFFF"/>
                <w:sz w:val="22"/>
                <w:szCs w:val="22"/>
                <w:lang w:val="es-MX" w:eastAsia="es-MX"/>
              </w:rPr>
              <w:t>Monto Convenio</w:t>
            </w:r>
          </w:p>
        </w:tc>
      </w:tr>
      <w:tr w:rsidR="00DC7EA2" w:rsidRPr="00DC7EA2" w14:paraId="53146AE5" w14:textId="77777777" w:rsidTr="000D3AD0">
        <w:trPr>
          <w:trHeight w:val="315"/>
          <w:jc w:val="center"/>
        </w:trPr>
        <w:tc>
          <w:tcPr>
            <w:tcW w:w="1237" w:type="pct"/>
            <w:vMerge w:val="restart"/>
            <w:tcBorders>
              <w:top w:val="nil"/>
              <w:left w:val="single" w:sz="4" w:space="0" w:color="auto"/>
              <w:bottom w:val="single" w:sz="4" w:space="0" w:color="000000"/>
              <w:right w:val="single" w:sz="4" w:space="0" w:color="auto"/>
            </w:tcBorders>
            <w:shd w:val="clear" w:color="auto" w:fill="auto"/>
            <w:vAlign w:val="center"/>
            <w:hideMark/>
          </w:tcPr>
          <w:p w14:paraId="3F8A0341" w14:textId="77777777" w:rsidR="00DC7EA2" w:rsidRPr="00DC7EA2" w:rsidRDefault="00DC7EA2" w:rsidP="000D3AD0">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Agua y Saneamiento</w:t>
            </w:r>
          </w:p>
        </w:tc>
        <w:tc>
          <w:tcPr>
            <w:tcW w:w="950" w:type="pct"/>
            <w:tcBorders>
              <w:top w:val="nil"/>
              <w:left w:val="nil"/>
              <w:bottom w:val="single" w:sz="4" w:space="0" w:color="auto"/>
              <w:right w:val="single" w:sz="4" w:space="0" w:color="auto"/>
            </w:tcBorders>
            <w:shd w:val="clear" w:color="auto" w:fill="auto"/>
            <w:noWrap/>
            <w:vAlign w:val="bottom"/>
            <w:hideMark/>
          </w:tcPr>
          <w:p w14:paraId="2CABA397"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Agua potable</w:t>
            </w:r>
          </w:p>
        </w:tc>
        <w:tc>
          <w:tcPr>
            <w:tcW w:w="7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AF9C90"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Ampliación</w:t>
            </w:r>
          </w:p>
        </w:tc>
        <w:tc>
          <w:tcPr>
            <w:tcW w:w="991" w:type="pct"/>
            <w:tcBorders>
              <w:top w:val="nil"/>
              <w:left w:val="nil"/>
              <w:bottom w:val="single" w:sz="4" w:space="0" w:color="auto"/>
              <w:right w:val="single" w:sz="4" w:space="0" w:color="auto"/>
            </w:tcBorders>
            <w:shd w:val="clear" w:color="auto" w:fill="auto"/>
            <w:noWrap/>
            <w:vAlign w:val="bottom"/>
            <w:hideMark/>
          </w:tcPr>
          <w:p w14:paraId="1F162FCF"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 xml:space="preserve"> $    1,203,141.99 </w:t>
            </w:r>
          </w:p>
        </w:tc>
        <w:tc>
          <w:tcPr>
            <w:tcW w:w="1037" w:type="pct"/>
            <w:tcBorders>
              <w:top w:val="nil"/>
              <w:left w:val="nil"/>
              <w:bottom w:val="single" w:sz="4" w:space="0" w:color="auto"/>
              <w:right w:val="single" w:sz="4" w:space="0" w:color="auto"/>
            </w:tcBorders>
            <w:shd w:val="clear" w:color="auto" w:fill="auto"/>
            <w:noWrap/>
            <w:vAlign w:val="bottom"/>
            <w:hideMark/>
          </w:tcPr>
          <w:p w14:paraId="3134D677"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 xml:space="preserve"> $      4,812,568.06 </w:t>
            </w:r>
          </w:p>
        </w:tc>
      </w:tr>
      <w:tr w:rsidR="00DC7EA2" w:rsidRPr="00DC7EA2" w14:paraId="72708A85" w14:textId="77777777" w:rsidTr="00DC7EA2">
        <w:trPr>
          <w:trHeight w:val="315"/>
          <w:jc w:val="center"/>
        </w:trPr>
        <w:tc>
          <w:tcPr>
            <w:tcW w:w="1237" w:type="pct"/>
            <w:vMerge/>
            <w:tcBorders>
              <w:top w:val="nil"/>
              <w:left w:val="single" w:sz="4" w:space="0" w:color="auto"/>
              <w:bottom w:val="single" w:sz="4" w:space="0" w:color="000000"/>
              <w:right w:val="single" w:sz="4" w:space="0" w:color="auto"/>
            </w:tcBorders>
            <w:vAlign w:val="center"/>
            <w:hideMark/>
          </w:tcPr>
          <w:p w14:paraId="5155C0F6" w14:textId="77777777" w:rsidR="00DC7EA2" w:rsidRPr="00DC7EA2" w:rsidRDefault="00DC7EA2" w:rsidP="00DC7EA2">
            <w:pPr>
              <w:rPr>
                <w:rFonts w:ascii="Calibri" w:eastAsia="Times New Roman" w:hAnsi="Calibri" w:cs="Calibri"/>
                <w:color w:val="000000"/>
                <w:sz w:val="22"/>
                <w:szCs w:val="22"/>
                <w:lang w:val="es-MX" w:eastAsia="es-MX"/>
              </w:rPr>
            </w:pPr>
          </w:p>
        </w:tc>
        <w:tc>
          <w:tcPr>
            <w:tcW w:w="950" w:type="pct"/>
            <w:tcBorders>
              <w:top w:val="nil"/>
              <w:left w:val="nil"/>
              <w:bottom w:val="single" w:sz="4" w:space="0" w:color="auto"/>
              <w:right w:val="single" w:sz="4" w:space="0" w:color="auto"/>
            </w:tcBorders>
            <w:shd w:val="clear" w:color="auto" w:fill="auto"/>
            <w:noWrap/>
            <w:vAlign w:val="bottom"/>
            <w:hideMark/>
          </w:tcPr>
          <w:p w14:paraId="61D87B2D"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Alcantarillado</w:t>
            </w:r>
          </w:p>
        </w:tc>
        <w:tc>
          <w:tcPr>
            <w:tcW w:w="786" w:type="pct"/>
            <w:vMerge/>
            <w:tcBorders>
              <w:top w:val="nil"/>
              <w:left w:val="single" w:sz="4" w:space="0" w:color="auto"/>
              <w:bottom w:val="single" w:sz="4" w:space="0" w:color="auto"/>
              <w:right w:val="single" w:sz="4" w:space="0" w:color="auto"/>
            </w:tcBorders>
            <w:vAlign w:val="center"/>
            <w:hideMark/>
          </w:tcPr>
          <w:p w14:paraId="48FA5712" w14:textId="77777777" w:rsidR="00DC7EA2" w:rsidRPr="00DC7EA2" w:rsidRDefault="00DC7EA2" w:rsidP="00DC7EA2">
            <w:pPr>
              <w:rPr>
                <w:rFonts w:ascii="Calibri" w:eastAsia="Times New Roman" w:hAnsi="Calibri" w:cs="Calibri"/>
                <w:color w:val="000000"/>
                <w:sz w:val="22"/>
                <w:szCs w:val="22"/>
                <w:lang w:val="es-MX" w:eastAsia="es-MX"/>
              </w:rPr>
            </w:pPr>
          </w:p>
        </w:tc>
        <w:tc>
          <w:tcPr>
            <w:tcW w:w="991" w:type="pct"/>
            <w:tcBorders>
              <w:top w:val="nil"/>
              <w:left w:val="nil"/>
              <w:bottom w:val="single" w:sz="4" w:space="0" w:color="auto"/>
              <w:right w:val="single" w:sz="4" w:space="0" w:color="auto"/>
            </w:tcBorders>
            <w:shd w:val="clear" w:color="auto" w:fill="auto"/>
            <w:noWrap/>
            <w:vAlign w:val="bottom"/>
            <w:hideMark/>
          </w:tcPr>
          <w:p w14:paraId="46EB32B1"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 xml:space="preserve"> $    3,645,149.79 </w:t>
            </w:r>
          </w:p>
        </w:tc>
        <w:tc>
          <w:tcPr>
            <w:tcW w:w="1037" w:type="pct"/>
            <w:tcBorders>
              <w:top w:val="nil"/>
              <w:left w:val="nil"/>
              <w:bottom w:val="single" w:sz="4" w:space="0" w:color="auto"/>
              <w:right w:val="single" w:sz="4" w:space="0" w:color="auto"/>
            </w:tcBorders>
            <w:shd w:val="clear" w:color="auto" w:fill="auto"/>
            <w:noWrap/>
            <w:vAlign w:val="bottom"/>
            <w:hideMark/>
          </w:tcPr>
          <w:p w14:paraId="48049262"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 xml:space="preserve"> $      4,061,859.40 </w:t>
            </w:r>
          </w:p>
        </w:tc>
      </w:tr>
      <w:tr w:rsidR="00DC7EA2" w:rsidRPr="00DC7EA2" w14:paraId="464DC345" w14:textId="77777777" w:rsidTr="00DC7EA2">
        <w:trPr>
          <w:trHeight w:val="315"/>
          <w:jc w:val="center"/>
        </w:trPr>
        <w:tc>
          <w:tcPr>
            <w:tcW w:w="1237" w:type="pct"/>
            <w:tcBorders>
              <w:top w:val="nil"/>
              <w:left w:val="single" w:sz="4" w:space="0" w:color="auto"/>
              <w:bottom w:val="single" w:sz="4" w:space="0" w:color="auto"/>
              <w:right w:val="single" w:sz="4" w:space="0" w:color="auto"/>
            </w:tcBorders>
            <w:shd w:val="clear" w:color="auto" w:fill="auto"/>
            <w:noWrap/>
            <w:vAlign w:val="bottom"/>
            <w:hideMark/>
          </w:tcPr>
          <w:p w14:paraId="627F171C"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Vivienda</w:t>
            </w:r>
          </w:p>
        </w:tc>
        <w:tc>
          <w:tcPr>
            <w:tcW w:w="950" w:type="pct"/>
            <w:tcBorders>
              <w:top w:val="nil"/>
              <w:left w:val="nil"/>
              <w:bottom w:val="single" w:sz="4" w:space="0" w:color="auto"/>
              <w:right w:val="single" w:sz="4" w:space="0" w:color="auto"/>
            </w:tcBorders>
            <w:shd w:val="clear" w:color="auto" w:fill="auto"/>
            <w:noWrap/>
            <w:vAlign w:val="bottom"/>
            <w:hideMark/>
          </w:tcPr>
          <w:p w14:paraId="40A684AF"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Piso Firme</w:t>
            </w:r>
          </w:p>
        </w:tc>
        <w:tc>
          <w:tcPr>
            <w:tcW w:w="786" w:type="pct"/>
            <w:tcBorders>
              <w:top w:val="nil"/>
              <w:left w:val="nil"/>
              <w:bottom w:val="single" w:sz="4" w:space="0" w:color="auto"/>
              <w:right w:val="single" w:sz="4" w:space="0" w:color="auto"/>
            </w:tcBorders>
            <w:shd w:val="clear" w:color="auto" w:fill="auto"/>
            <w:noWrap/>
            <w:vAlign w:val="bottom"/>
            <w:hideMark/>
          </w:tcPr>
          <w:p w14:paraId="4F3CFC8C"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Construcción</w:t>
            </w:r>
          </w:p>
        </w:tc>
        <w:tc>
          <w:tcPr>
            <w:tcW w:w="991" w:type="pct"/>
            <w:tcBorders>
              <w:top w:val="nil"/>
              <w:left w:val="nil"/>
              <w:bottom w:val="single" w:sz="4" w:space="0" w:color="auto"/>
              <w:right w:val="single" w:sz="4" w:space="0" w:color="auto"/>
            </w:tcBorders>
            <w:shd w:val="clear" w:color="auto" w:fill="auto"/>
            <w:noWrap/>
            <w:vAlign w:val="bottom"/>
            <w:hideMark/>
          </w:tcPr>
          <w:p w14:paraId="71B171EE"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 xml:space="preserve"> $        622,479.20 </w:t>
            </w:r>
          </w:p>
        </w:tc>
        <w:tc>
          <w:tcPr>
            <w:tcW w:w="1037" w:type="pct"/>
            <w:tcBorders>
              <w:top w:val="nil"/>
              <w:left w:val="nil"/>
              <w:bottom w:val="single" w:sz="4" w:space="0" w:color="auto"/>
              <w:right w:val="single" w:sz="4" w:space="0" w:color="auto"/>
            </w:tcBorders>
            <w:shd w:val="clear" w:color="auto" w:fill="auto"/>
            <w:noWrap/>
            <w:vAlign w:val="bottom"/>
            <w:hideMark/>
          </w:tcPr>
          <w:p w14:paraId="3F6CA6F4"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t xml:space="preserve"> $                           -   </w:t>
            </w:r>
          </w:p>
        </w:tc>
      </w:tr>
      <w:tr w:rsidR="00DC7EA2" w:rsidRPr="00DC7EA2" w14:paraId="5A5A8D40" w14:textId="77777777" w:rsidTr="00DC7EA2">
        <w:trPr>
          <w:trHeight w:val="315"/>
          <w:jc w:val="center"/>
        </w:trPr>
        <w:tc>
          <w:tcPr>
            <w:tcW w:w="297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905BC" w14:textId="77777777" w:rsidR="00DC7EA2" w:rsidRPr="00DC7EA2" w:rsidRDefault="00DC7EA2" w:rsidP="00DC7EA2">
            <w:pPr>
              <w:jc w:val="center"/>
              <w:rPr>
                <w:rFonts w:ascii="Calibri" w:eastAsia="Times New Roman" w:hAnsi="Calibri" w:cs="Calibri"/>
                <w:b/>
                <w:bCs/>
                <w:color w:val="000000"/>
                <w:sz w:val="22"/>
                <w:szCs w:val="22"/>
                <w:lang w:val="es-MX" w:eastAsia="es-MX"/>
              </w:rPr>
            </w:pPr>
            <w:r w:rsidRPr="00DC7EA2">
              <w:rPr>
                <w:rFonts w:ascii="Calibri" w:eastAsia="Times New Roman" w:hAnsi="Calibri" w:cs="Calibri"/>
                <w:b/>
                <w:bCs/>
                <w:color w:val="000000"/>
                <w:sz w:val="22"/>
                <w:szCs w:val="22"/>
                <w:lang w:val="es-MX" w:eastAsia="es-MX"/>
              </w:rPr>
              <w:t>Total</w:t>
            </w:r>
          </w:p>
        </w:tc>
        <w:tc>
          <w:tcPr>
            <w:tcW w:w="991" w:type="pct"/>
            <w:tcBorders>
              <w:top w:val="nil"/>
              <w:left w:val="nil"/>
              <w:bottom w:val="single" w:sz="4" w:space="0" w:color="auto"/>
              <w:right w:val="single" w:sz="4" w:space="0" w:color="auto"/>
            </w:tcBorders>
            <w:shd w:val="clear" w:color="auto" w:fill="auto"/>
            <w:noWrap/>
            <w:vAlign w:val="bottom"/>
            <w:hideMark/>
          </w:tcPr>
          <w:p w14:paraId="7C6DC4B3" w14:textId="77777777" w:rsidR="00DC7EA2" w:rsidRPr="00DC7EA2" w:rsidRDefault="00DC7EA2" w:rsidP="00DC7EA2">
            <w:pPr>
              <w:rPr>
                <w:rFonts w:ascii="Calibri" w:eastAsia="Times New Roman" w:hAnsi="Calibri" w:cs="Calibri"/>
                <w:b/>
                <w:bCs/>
                <w:color w:val="000000"/>
                <w:sz w:val="22"/>
                <w:szCs w:val="22"/>
                <w:lang w:val="es-MX" w:eastAsia="es-MX"/>
              </w:rPr>
            </w:pPr>
            <w:r w:rsidRPr="00DC7EA2">
              <w:rPr>
                <w:rFonts w:ascii="Calibri" w:eastAsia="Times New Roman" w:hAnsi="Calibri" w:cs="Calibri"/>
                <w:b/>
                <w:bCs/>
                <w:color w:val="000000"/>
                <w:sz w:val="22"/>
                <w:szCs w:val="22"/>
                <w:lang w:val="es-MX" w:eastAsia="es-MX"/>
              </w:rPr>
              <w:t xml:space="preserve"> $    5,470,770.98 </w:t>
            </w:r>
          </w:p>
        </w:tc>
        <w:tc>
          <w:tcPr>
            <w:tcW w:w="1037" w:type="pct"/>
            <w:tcBorders>
              <w:top w:val="nil"/>
              <w:left w:val="nil"/>
              <w:bottom w:val="single" w:sz="4" w:space="0" w:color="auto"/>
              <w:right w:val="single" w:sz="4" w:space="0" w:color="auto"/>
            </w:tcBorders>
            <w:shd w:val="clear" w:color="auto" w:fill="auto"/>
            <w:noWrap/>
            <w:vAlign w:val="bottom"/>
            <w:hideMark/>
          </w:tcPr>
          <w:p w14:paraId="1A200B34" w14:textId="77777777" w:rsidR="00DC7EA2" w:rsidRPr="00DC7EA2" w:rsidRDefault="00DC7EA2" w:rsidP="00DC7EA2">
            <w:pPr>
              <w:rPr>
                <w:rFonts w:ascii="Calibri" w:eastAsia="Times New Roman" w:hAnsi="Calibri" w:cs="Calibri"/>
                <w:b/>
                <w:bCs/>
                <w:color w:val="000000"/>
                <w:sz w:val="22"/>
                <w:szCs w:val="22"/>
                <w:lang w:val="es-MX" w:eastAsia="es-MX"/>
              </w:rPr>
            </w:pPr>
            <w:r w:rsidRPr="00DC7EA2">
              <w:rPr>
                <w:rFonts w:ascii="Calibri" w:eastAsia="Times New Roman" w:hAnsi="Calibri" w:cs="Calibri"/>
                <w:b/>
                <w:bCs/>
                <w:color w:val="000000"/>
                <w:sz w:val="22"/>
                <w:szCs w:val="22"/>
                <w:lang w:val="es-MX" w:eastAsia="es-MX"/>
              </w:rPr>
              <w:t xml:space="preserve"> $      8,874,427.46 </w:t>
            </w:r>
          </w:p>
        </w:tc>
      </w:tr>
      <w:tr w:rsidR="00DC7EA2" w:rsidRPr="00DC7EA2" w14:paraId="438F896C" w14:textId="77777777" w:rsidTr="00DC7EA2">
        <w:trPr>
          <w:trHeight w:val="315"/>
          <w:jc w:val="center"/>
        </w:trPr>
        <w:tc>
          <w:tcPr>
            <w:tcW w:w="297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9B567" w14:textId="77777777" w:rsidR="00DC7EA2" w:rsidRPr="00DC7EA2" w:rsidRDefault="00DC7EA2" w:rsidP="00DC7EA2">
            <w:pPr>
              <w:jc w:val="center"/>
              <w:rPr>
                <w:rFonts w:ascii="Calibri" w:eastAsia="Times New Roman" w:hAnsi="Calibri" w:cs="Calibri"/>
                <w:b/>
                <w:bCs/>
                <w:color w:val="000000"/>
                <w:sz w:val="22"/>
                <w:szCs w:val="22"/>
                <w:lang w:val="es-MX" w:eastAsia="es-MX"/>
              </w:rPr>
            </w:pPr>
            <w:r w:rsidRPr="00DC7EA2">
              <w:rPr>
                <w:rFonts w:ascii="Calibri" w:eastAsia="Times New Roman" w:hAnsi="Calibri" w:cs="Calibri"/>
                <w:b/>
                <w:bCs/>
                <w:color w:val="000000"/>
                <w:sz w:val="22"/>
                <w:szCs w:val="22"/>
                <w:lang w:val="es-MX" w:eastAsia="es-MX"/>
              </w:rPr>
              <w:t>Gran total</w:t>
            </w:r>
          </w:p>
        </w:tc>
        <w:tc>
          <w:tcPr>
            <w:tcW w:w="2027"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6E11280" w14:textId="77777777" w:rsidR="00DC7EA2" w:rsidRPr="00DC7EA2" w:rsidRDefault="00DC7EA2" w:rsidP="00DC7EA2">
            <w:pPr>
              <w:jc w:val="center"/>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 xml:space="preserve"> $     </w:t>
            </w:r>
            <w:r w:rsidRPr="00DC7EA2">
              <w:rPr>
                <w:rFonts w:ascii="Calibri" w:eastAsia="Times New Roman" w:hAnsi="Calibri" w:cs="Calibri"/>
                <w:b/>
                <w:bCs/>
                <w:color w:val="000000"/>
                <w:sz w:val="22"/>
                <w:szCs w:val="22"/>
                <w:lang w:val="es-MX" w:eastAsia="es-MX"/>
              </w:rPr>
              <w:t xml:space="preserve"> 14,345,198.44 </w:t>
            </w:r>
          </w:p>
        </w:tc>
      </w:tr>
      <w:tr w:rsidR="00DC7EA2" w:rsidRPr="00DC7EA2" w14:paraId="7FC67531" w14:textId="77777777" w:rsidTr="00DC7EA2">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497D4AA" w14:textId="77777777" w:rsidR="00DC7EA2" w:rsidRPr="00DC7EA2" w:rsidRDefault="00DC7EA2" w:rsidP="00DC7EA2">
            <w:pPr>
              <w:rPr>
                <w:rFonts w:ascii="Calibri" w:eastAsia="Times New Roman" w:hAnsi="Calibri" w:cs="Calibri"/>
                <w:color w:val="000000"/>
                <w:sz w:val="22"/>
                <w:szCs w:val="22"/>
                <w:lang w:val="es-MX" w:eastAsia="es-MX"/>
              </w:rPr>
            </w:pPr>
            <w:r w:rsidRPr="00DC7EA2">
              <w:rPr>
                <w:rFonts w:ascii="Calibri" w:eastAsia="Times New Roman" w:hAnsi="Calibri" w:cs="Calibri"/>
                <w:color w:val="000000"/>
                <w:sz w:val="22"/>
                <w:szCs w:val="22"/>
                <w:lang w:val="es-MX" w:eastAsia="es-MX"/>
              </w:rPr>
              <w:lastRenderedPageBreak/>
              <w:t>Fuente: Elaboración propia con base a información proporcionada por la SEIDUR "Resumen de obras contratadas 2016".</w:t>
            </w:r>
          </w:p>
        </w:tc>
      </w:tr>
    </w:tbl>
    <w:p w14:paraId="7B8AC751" w14:textId="77777777" w:rsidR="00B45BC5" w:rsidRPr="00DC7EA2" w:rsidRDefault="00B45BC5" w:rsidP="00D56069">
      <w:pPr>
        <w:spacing w:after="240" w:line="276" w:lineRule="auto"/>
        <w:jc w:val="both"/>
        <w:rPr>
          <w:rFonts w:ascii="Century Gothic" w:hAnsi="Century Gothic"/>
          <w:sz w:val="2"/>
          <w:lang w:val="es-MX"/>
        </w:rPr>
      </w:pPr>
    </w:p>
    <w:p w14:paraId="160D6BA2" w14:textId="77777777" w:rsidR="008B53A5" w:rsidRPr="008F0DB2" w:rsidRDefault="00CE0E0E" w:rsidP="00D56069">
      <w:pPr>
        <w:spacing w:after="240" w:line="276" w:lineRule="auto"/>
        <w:jc w:val="both"/>
        <w:rPr>
          <w:rFonts w:ascii="Century Gothic" w:hAnsi="Century Gothic"/>
          <w:lang w:val="es-MX"/>
        </w:rPr>
      </w:pPr>
      <w:r>
        <w:rPr>
          <w:rFonts w:ascii="Century Gothic" w:hAnsi="Century Gothic"/>
          <w:lang w:val="es-MX"/>
        </w:rPr>
        <w:t xml:space="preserve">Al analizar la inversión total </w:t>
      </w:r>
      <w:r w:rsidR="00D56069">
        <w:rPr>
          <w:rFonts w:ascii="Century Gothic" w:hAnsi="Century Gothic"/>
          <w:lang w:val="es-MX"/>
        </w:rPr>
        <w:t xml:space="preserve">por municipio, se tiene que la SEIDUR </w:t>
      </w:r>
      <w:r w:rsidR="00B45BC5">
        <w:rPr>
          <w:rFonts w:ascii="Century Gothic" w:hAnsi="Century Gothic"/>
          <w:lang w:val="es-MX"/>
        </w:rPr>
        <w:t xml:space="preserve">con recursos del FISE, </w:t>
      </w:r>
      <w:r w:rsidR="00D56069">
        <w:rPr>
          <w:rFonts w:ascii="Century Gothic" w:hAnsi="Century Gothic"/>
          <w:lang w:val="es-MX"/>
        </w:rPr>
        <w:t xml:space="preserve">realizó obras en </w:t>
      </w:r>
      <w:r w:rsidR="00BE1AFC">
        <w:rPr>
          <w:rFonts w:ascii="Century Gothic" w:hAnsi="Century Gothic"/>
          <w:lang w:val="es-MX"/>
        </w:rPr>
        <w:t>cinco</w:t>
      </w:r>
      <w:r w:rsidR="00D56069">
        <w:rPr>
          <w:rFonts w:ascii="Century Gothic" w:hAnsi="Century Gothic"/>
          <w:lang w:val="es-MX"/>
        </w:rPr>
        <w:t xml:space="preserve"> de los diez que tiene el Estado. Destacando </w:t>
      </w:r>
      <w:r w:rsidR="00BE1AFC">
        <w:rPr>
          <w:rFonts w:ascii="Century Gothic" w:hAnsi="Century Gothic"/>
          <w:lang w:val="es-MX"/>
        </w:rPr>
        <w:t>que las obras fueron en su mayoría hacia agua y saneamiento</w:t>
      </w:r>
      <w:r w:rsidR="00D56069">
        <w:rPr>
          <w:rFonts w:ascii="Century Gothic" w:hAnsi="Century Gothic"/>
          <w:lang w:val="es-MX"/>
        </w:rPr>
        <w:t>:</w:t>
      </w:r>
    </w:p>
    <w:tbl>
      <w:tblPr>
        <w:tblW w:w="8041" w:type="dxa"/>
        <w:jc w:val="center"/>
        <w:tblCellMar>
          <w:left w:w="70" w:type="dxa"/>
          <w:right w:w="70" w:type="dxa"/>
        </w:tblCellMar>
        <w:tblLook w:val="04A0" w:firstRow="1" w:lastRow="0" w:firstColumn="1" w:lastColumn="0" w:noHBand="0" w:noVBand="1"/>
      </w:tblPr>
      <w:tblGrid>
        <w:gridCol w:w="1898"/>
        <w:gridCol w:w="2166"/>
        <w:gridCol w:w="1855"/>
        <w:gridCol w:w="2122"/>
      </w:tblGrid>
      <w:tr w:rsidR="00576198" w:rsidRPr="00576198" w14:paraId="052E9A88" w14:textId="77777777" w:rsidTr="002D1603">
        <w:trPr>
          <w:trHeight w:val="315"/>
          <w:jc w:val="center"/>
        </w:trPr>
        <w:tc>
          <w:tcPr>
            <w:tcW w:w="8041" w:type="dxa"/>
            <w:gridSpan w:val="4"/>
            <w:tcBorders>
              <w:top w:val="single" w:sz="4" w:space="0" w:color="auto"/>
              <w:left w:val="single" w:sz="4" w:space="0" w:color="auto"/>
              <w:bottom w:val="single" w:sz="4" w:space="0" w:color="auto"/>
              <w:right w:val="single" w:sz="4" w:space="0" w:color="auto"/>
            </w:tcBorders>
            <w:shd w:val="clear" w:color="000000" w:fill="0E4E7A"/>
            <w:noWrap/>
            <w:vAlign w:val="center"/>
            <w:hideMark/>
          </w:tcPr>
          <w:p w14:paraId="1BE6ED69" w14:textId="77777777" w:rsidR="00576198" w:rsidRPr="00576198" w:rsidRDefault="004D49BD" w:rsidP="00576198">
            <w:pPr>
              <w:jc w:val="center"/>
              <w:rPr>
                <w:rFonts w:ascii="Calibri" w:eastAsia="Times New Roman" w:hAnsi="Calibri" w:cs="Calibri"/>
                <w:b/>
                <w:bCs/>
                <w:color w:val="FFFFFF"/>
                <w:sz w:val="22"/>
                <w:szCs w:val="22"/>
                <w:lang w:val="es-MX" w:eastAsia="es-MX"/>
              </w:rPr>
            </w:pPr>
            <w:r>
              <w:rPr>
                <w:rFonts w:ascii="Calibri" w:eastAsia="Times New Roman" w:hAnsi="Calibri" w:cs="Calibri"/>
                <w:b/>
                <w:bCs/>
                <w:color w:val="FFFFFF"/>
                <w:sz w:val="22"/>
                <w:szCs w:val="22"/>
                <w:lang w:val="es-MX" w:eastAsia="es-MX"/>
              </w:rPr>
              <w:t>Cuadro 3.3</w:t>
            </w:r>
            <w:r w:rsidR="00576198" w:rsidRPr="00576198">
              <w:rPr>
                <w:rFonts w:ascii="Calibri" w:eastAsia="Times New Roman" w:hAnsi="Calibri" w:cs="Calibri"/>
                <w:b/>
                <w:bCs/>
                <w:color w:val="FFFFFF"/>
                <w:sz w:val="22"/>
                <w:szCs w:val="22"/>
                <w:lang w:val="es-MX" w:eastAsia="es-MX"/>
              </w:rPr>
              <w:t>. Inversión FISE - SEIDUR por municipio, 2016</w:t>
            </w:r>
          </w:p>
        </w:tc>
      </w:tr>
      <w:tr w:rsidR="00576198" w:rsidRPr="00576198" w14:paraId="284FAAFF" w14:textId="77777777" w:rsidTr="002D1603">
        <w:trPr>
          <w:trHeight w:val="315"/>
          <w:jc w:val="center"/>
        </w:trPr>
        <w:tc>
          <w:tcPr>
            <w:tcW w:w="1898" w:type="dxa"/>
            <w:tcBorders>
              <w:top w:val="nil"/>
              <w:left w:val="single" w:sz="4" w:space="0" w:color="auto"/>
              <w:bottom w:val="single" w:sz="4" w:space="0" w:color="auto"/>
              <w:right w:val="single" w:sz="4" w:space="0" w:color="auto"/>
            </w:tcBorders>
            <w:shd w:val="clear" w:color="000000" w:fill="0E4E7A"/>
            <w:noWrap/>
            <w:vAlign w:val="center"/>
            <w:hideMark/>
          </w:tcPr>
          <w:p w14:paraId="67EB0E86" w14:textId="77777777" w:rsidR="00576198" w:rsidRPr="00576198" w:rsidRDefault="00576198" w:rsidP="00576198">
            <w:pPr>
              <w:rPr>
                <w:rFonts w:ascii="Calibri" w:eastAsia="Times New Roman" w:hAnsi="Calibri" w:cs="Calibri"/>
                <w:b/>
                <w:bCs/>
                <w:color w:val="FFFFFF"/>
                <w:sz w:val="22"/>
                <w:szCs w:val="22"/>
                <w:lang w:val="es-MX" w:eastAsia="es-MX"/>
              </w:rPr>
            </w:pPr>
            <w:r w:rsidRPr="00576198">
              <w:rPr>
                <w:rFonts w:ascii="Calibri" w:eastAsia="Times New Roman" w:hAnsi="Calibri" w:cs="Calibri"/>
                <w:b/>
                <w:bCs/>
                <w:color w:val="FFFFFF"/>
                <w:sz w:val="22"/>
                <w:szCs w:val="22"/>
                <w:lang w:val="es-MX" w:eastAsia="es-MX"/>
              </w:rPr>
              <w:t>Municipio</w:t>
            </w:r>
          </w:p>
        </w:tc>
        <w:tc>
          <w:tcPr>
            <w:tcW w:w="2166" w:type="dxa"/>
            <w:tcBorders>
              <w:top w:val="nil"/>
              <w:left w:val="nil"/>
              <w:bottom w:val="single" w:sz="4" w:space="0" w:color="auto"/>
              <w:right w:val="single" w:sz="4" w:space="0" w:color="auto"/>
            </w:tcBorders>
            <w:shd w:val="clear" w:color="000000" w:fill="0E4E7A"/>
            <w:noWrap/>
            <w:vAlign w:val="center"/>
            <w:hideMark/>
          </w:tcPr>
          <w:p w14:paraId="3F991095" w14:textId="77777777" w:rsidR="00576198" w:rsidRPr="00576198" w:rsidRDefault="00576198" w:rsidP="00576198">
            <w:pPr>
              <w:rPr>
                <w:rFonts w:ascii="Calibri" w:eastAsia="Times New Roman" w:hAnsi="Calibri" w:cs="Calibri"/>
                <w:b/>
                <w:bCs/>
                <w:color w:val="FFFFFF"/>
                <w:sz w:val="22"/>
                <w:szCs w:val="22"/>
                <w:lang w:val="es-MX" w:eastAsia="es-MX"/>
              </w:rPr>
            </w:pPr>
            <w:r w:rsidRPr="00576198">
              <w:rPr>
                <w:rFonts w:ascii="Calibri" w:eastAsia="Times New Roman" w:hAnsi="Calibri" w:cs="Calibri"/>
                <w:b/>
                <w:bCs/>
                <w:color w:val="FFFFFF"/>
                <w:sz w:val="22"/>
                <w:szCs w:val="22"/>
                <w:lang w:val="es-MX" w:eastAsia="es-MX"/>
              </w:rPr>
              <w:t>Tipo de obra</w:t>
            </w:r>
          </w:p>
        </w:tc>
        <w:tc>
          <w:tcPr>
            <w:tcW w:w="1855" w:type="dxa"/>
            <w:tcBorders>
              <w:top w:val="nil"/>
              <w:left w:val="nil"/>
              <w:bottom w:val="single" w:sz="4" w:space="0" w:color="auto"/>
              <w:right w:val="single" w:sz="4" w:space="0" w:color="auto"/>
            </w:tcBorders>
            <w:shd w:val="clear" w:color="000000" w:fill="0E4E7A"/>
            <w:noWrap/>
            <w:vAlign w:val="center"/>
            <w:hideMark/>
          </w:tcPr>
          <w:p w14:paraId="6E1DFF2A" w14:textId="77777777" w:rsidR="00576198" w:rsidRPr="00576198" w:rsidRDefault="00576198" w:rsidP="00576198">
            <w:pPr>
              <w:rPr>
                <w:rFonts w:ascii="Calibri" w:eastAsia="Times New Roman" w:hAnsi="Calibri" w:cs="Calibri"/>
                <w:b/>
                <w:bCs/>
                <w:color w:val="FFFFFF"/>
                <w:sz w:val="22"/>
                <w:szCs w:val="22"/>
                <w:lang w:val="es-MX" w:eastAsia="es-MX"/>
              </w:rPr>
            </w:pPr>
            <w:r w:rsidRPr="00576198">
              <w:rPr>
                <w:rFonts w:ascii="Calibri" w:eastAsia="Times New Roman" w:hAnsi="Calibri" w:cs="Calibri"/>
                <w:b/>
                <w:bCs/>
                <w:color w:val="FFFFFF"/>
                <w:sz w:val="22"/>
                <w:szCs w:val="22"/>
                <w:lang w:val="es-MX" w:eastAsia="es-MX"/>
              </w:rPr>
              <w:t>Monto FISE</w:t>
            </w:r>
          </w:p>
        </w:tc>
        <w:tc>
          <w:tcPr>
            <w:tcW w:w="2122" w:type="dxa"/>
            <w:tcBorders>
              <w:top w:val="nil"/>
              <w:left w:val="nil"/>
              <w:bottom w:val="single" w:sz="4" w:space="0" w:color="auto"/>
              <w:right w:val="single" w:sz="4" w:space="0" w:color="auto"/>
            </w:tcBorders>
            <w:shd w:val="clear" w:color="000000" w:fill="0E4E7A"/>
            <w:noWrap/>
            <w:vAlign w:val="center"/>
            <w:hideMark/>
          </w:tcPr>
          <w:p w14:paraId="0FD2E2B3" w14:textId="77777777" w:rsidR="00576198" w:rsidRPr="00576198" w:rsidRDefault="00576198" w:rsidP="00576198">
            <w:pPr>
              <w:rPr>
                <w:rFonts w:ascii="Calibri" w:eastAsia="Times New Roman" w:hAnsi="Calibri" w:cs="Calibri"/>
                <w:b/>
                <w:bCs/>
                <w:color w:val="FFFFFF"/>
                <w:sz w:val="22"/>
                <w:szCs w:val="22"/>
                <w:lang w:val="es-MX" w:eastAsia="es-MX"/>
              </w:rPr>
            </w:pPr>
            <w:r w:rsidRPr="00576198">
              <w:rPr>
                <w:rFonts w:ascii="Calibri" w:eastAsia="Times New Roman" w:hAnsi="Calibri" w:cs="Calibri"/>
                <w:b/>
                <w:bCs/>
                <w:color w:val="FFFFFF"/>
                <w:sz w:val="22"/>
                <w:szCs w:val="22"/>
                <w:lang w:val="es-MX" w:eastAsia="es-MX"/>
              </w:rPr>
              <w:t>Monto Convenio</w:t>
            </w:r>
          </w:p>
        </w:tc>
      </w:tr>
      <w:tr w:rsidR="00576198" w:rsidRPr="00576198" w14:paraId="198CDF69" w14:textId="77777777" w:rsidTr="002D1603">
        <w:trPr>
          <w:trHeight w:val="315"/>
          <w:jc w:val="center"/>
        </w:trPr>
        <w:tc>
          <w:tcPr>
            <w:tcW w:w="1898" w:type="dxa"/>
            <w:tcBorders>
              <w:top w:val="nil"/>
              <w:left w:val="single" w:sz="4" w:space="0" w:color="auto"/>
              <w:bottom w:val="nil"/>
              <w:right w:val="single" w:sz="4" w:space="0" w:color="auto"/>
            </w:tcBorders>
            <w:shd w:val="clear" w:color="auto" w:fill="auto"/>
            <w:noWrap/>
            <w:vAlign w:val="center"/>
            <w:hideMark/>
          </w:tcPr>
          <w:p w14:paraId="135FB46F"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Tecomán</w:t>
            </w:r>
          </w:p>
        </w:tc>
        <w:tc>
          <w:tcPr>
            <w:tcW w:w="2166" w:type="dxa"/>
            <w:tcBorders>
              <w:top w:val="nil"/>
              <w:left w:val="nil"/>
              <w:bottom w:val="single" w:sz="4" w:space="0" w:color="auto"/>
              <w:right w:val="single" w:sz="4" w:space="0" w:color="auto"/>
            </w:tcBorders>
            <w:shd w:val="clear" w:color="auto" w:fill="auto"/>
            <w:noWrap/>
            <w:vAlign w:val="center"/>
            <w:hideMark/>
          </w:tcPr>
          <w:p w14:paraId="5999B7DA"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Agua y Saneamiento</w:t>
            </w:r>
          </w:p>
        </w:tc>
        <w:tc>
          <w:tcPr>
            <w:tcW w:w="1855" w:type="dxa"/>
            <w:tcBorders>
              <w:top w:val="nil"/>
              <w:left w:val="nil"/>
              <w:bottom w:val="single" w:sz="4" w:space="0" w:color="auto"/>
              <w:right w:val="single" w:sz="4" w:space="0" w:color="auto"/>
            </w:tcBorders>
            <w:shd w:val="clear" w:color="auto" w:fill="auto"/>
            <w:noWrap/>
            <w:vAlign w:val="center"/>
            <w:hideMark/>
          </w:tcPr>
          <w:p w14:paraId="792F0281" w14:textId="77777777" w:rsidR="00576198" w:rsidRPr="00576198" w:rsidRDefault="00576198" w:rsidP="00576198">
            <w:pPr>
              <w:jc w:val="right"/>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 xml:space="preserve"> $    1,879,564.95 </w:t>
            </w:r>
          </w:p>
        </w:tc>
        <w:tc>
          <w:tcPr>
            <w:tcW w:w="2122" w:type="dxa"/>
            <w:tcBorders>
              <w:top w:val="nil"/>
              <w:left w:val="nil"/>
              <w:bottom w:val="single" w:sz="4" w:space="0" w:color="auto"/>
              <w:right w:val="single" w:sz="4" w:space="0" w:color="auto"/>
            </w:tcBorders>
            <w:shd w:val="clear" w:color="auto" w:fill="auto"/>
            <w:noWrap/>
            <w:vAlign w:val="bottom"/>
            <w:hideMark/>
          </w:tcPr>
          <w:p w14:paraId="1B8006AD"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 </w:t>
            </w:r>
          </w:p>
        </w:tc>
      </w:tr>
      <w:tr w:rsidR="00576198" w:rsidRPr="00576198" w14:paraId="36B98284" w14:textId="77777777" w:rsidTr="002D1603">
        <w:trPr>
          <w:trHeight w:val="315"/>
          <w:jc w:val="center"/>
        </w:trPr>
        <w:tc>
          <w:tcPr>
            <w:tcW w:w="1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37A56"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Ixtlahuacán</w:t>
            </w:r>
          </w:p>
        </w:tc>
        <w:tc>
          <w:tcPr>
            <w:tcW w:w="2166" w:type="dxa"/>
            <w:tcBorders>
              <w:top w:val="nil"/>
              <w:left w:val="nil"/>
              <w:bottom w:val="single" w:sz="4" w:space="0" w:color="auto"/>
              <w:right w:val="single" w:sz="4" w:space="0" w:color="auto"/>
            </w:tcBorders>
            <w:shd w:val="clear" w:color="auto" w:fill="auto"/>
            <w:noWrap/>
            <w:vAlign w:val="center"/>
            <w:hideMark/>
          </w:tcPr>
          <w:p w14:paraId="1F59221E"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Agua y Saneamiento</w:t>
            </w:r>
          </w:p>
        </w:tc>
        <w:tc>
          <w:tcPr>
            <w:tcW w:w="1855" w:type="dxa"/>
            <w:tcBorders>
              <w:top w:val="nil"/>
              <w:left w:val="nil"/>
              <w:bottom w:val="single" w:sz="4" w:space="0" w:color="auto"/>
              <w:right w:val="single" w:sz="4" w:space="0" w:color="auto"/>
            </w:tcBorders>
            <w:shd w:val="clear" w:color="auto" w:fill="auto"/>
            <w:noWrap/>
            <w:vAlign w:val="center"/>
            <w:hideMark/>
          </w:tcPr>
          <w:p w14:paraId="397E8974" w14:textId="77777777" w:rsidR="00576198" w:rsidRPr="00576198" w:rsidRDefault="00576198" w:rsidP="00576198">
            <w:pPr>
              <w:jc w:val="right"/>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 xml:space="preserve"> $    1,070,850.49 </w:t>
            </w:r>
          </w:p>
        </w:tc>
        <w:tc>
          <w:tcPr>
            <w:tcW w:w="2122" w:type="dxa"/>
            <w:tcBorders>
              <w:top w:val="nil"/>
              <w:left w:val="nil"/>
              <w:bottom w:val="single" w:sz="4" w:space="0" w:color="auto"/>
              <w:right w:val="single" w:sz="4" w:space="0" w:color="auto"/>
            </w:tcBorders>
            <w:shd w:val="clear" w:color="auto" w:fill="auto"/>
            <w:noWrap/>
            <w:vAlign w:val="bottom"/>
            <w:hideMark/>
          </w:tcPr>
          <w:p w14:paraId="466BF597"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 xml:space="preserve"> $      4,283,402.08 </w:t>
            </w:r>
          </w:p>
        </w:tc>
      </w:tr>
      <w:tr w:rsidR="00576198" w:rsidRPr="00576198" w14:paraId="3F3FF948" w14:textId="77777777" w:rsidTr="002D1603">
        <w:trPr>
          <w:trHeight w:val="315"/>
          <w:jc w:val="center"/>
        </w:trPr>
        <w:tc>
          <w:tcPr>
            <w:tcW w:w="18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D0C192"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Armería</w:t>
            </w:r>
          </w:p>
        </w:tc>
        <w:tc>
          <w:tcPr>
            <w:tcW w:w="2166" w:type="dxa"/>
            <w:tcBorders>
              <w:top w:val="nil"/>
              <w:left w:val="nil"/>
              <w:bottom w:val="single" w:sz="4" w:space="0" w:color="auto"/>
              <w:right w:val="single" w:sz="4" w:space="0" w:color="auto"/>
            </w:tcBorders>
            <w:shd w:val="clear" w:color="auto" w:fill="auto"/>
            <w:noWrap/>
            <w:vAlign w:val="center"/>
            <w:hideMark/>
          </w:tcPr>
          <w:p w14:paraId="349EB9AF"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Agua y Saneamiento</w:t>
            </w:r>
          </w:p>
        </w:tc>
        <w:tc>
          <w:tcPr>
            <w:tcW w:w="1855" w:type="dxa"/>
            <w:tcBorders>
              <w:top w:val="nil"/>
              <w:left w:val="nil"/>
              <w:bottom w:val="single" w:sz="4" w:space="0" w:color="auto"/>
              <w:right w:val="single" w:sz="4" w:space="0" w:color="auto"/>
            </w:tcBorders>
            <w:shd w:val="clear" w:color="auto" w:fill="auto"/>
            <w:noWrap/>
            <w:vAlign w:val="center"/>
            <w:hideMark/>
          </w:tcPr>
          <w:p w14:paraId="48463887" w14:textId="77777777" w:rsidR="00576198" w:rsidRPr="00576198" w:rsidRDefault="00576198" w:rsidP="00576198">
            <w:pPr>
              <w:jc w:val="right"/>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 xml:space="preserve"> $        750,120.00 </w:t>
            </w:r>
          </w:p>
        </w:tc>
        <w:tc>
          <w:tcPr>
            <w:tcW w:w="2122" w:type="dxa"/>
            <w:tcBorders>
              <w:top w:val="nil"/>
              <w:left w:val="nil"/>
              <w:bottom w:val="single" w:sz="4" w:space="0" w:color="auto"/>
              <w:right w:val="single" w:sz="4" w:space="0" w:color="auto"/>
            </w:tcBorders>
            <w:shd w:val="clear" w:color="auto" w:fill="auto"/>
            <w:noWrap/>
            <w:vAlign w:val="bottom"/>
            <w:hideMark/>
          </w:tcPr>
          <w:p w14:paraId="48F37799"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 </w:t>
            </w:r>
          </w:p>
        </w:tc>
      </w:tr>
      <w:tr w:rsidR="00576198" w:rsidRPr="00576198" w14:paraId="7E11A066" w14:textId="77777777" w:rsidTr="002D1603">
        <w:trPr>
          <w:trHeight w:val="315"/>
          <w:jc w:val="center"/>
        </w:trPr>
        <w:tc>
          <w:tcPr>
            <w:tcW w:w="1898" w:type="dxa"/>
            <w:vMerge/>
            <w:tcBorders>
              <w:top w:val="nil"/>
              <w:left w:val="single" w:sz="4" w:space="0" w:color="auto"/>
              <w:bottom w:val="single" w:sz="4" w:space="0" w:color="000000"/>
              <w:right w:val="single" w:sz="4" w:space="0" w:color="auto"/>
            </w:tcBorders>
            <w:vAlign w:val="center"/>
            <w:hideMark/>
          </w:tcPr>
          <w:p w14:paraId="144B0AB0" w14:textId="77777777" w:rsidR="00576198" w:rsidRPr="00576198" w:rsidRDefault="00576198" w:rsidP="00576198">
            <w:pPr>
              <w:rPr>
                <w:rFonts w:ascii="Calibri" w:eastAsia="Times New Roman" w:hAnsi="Calibri" w:cs="Calibri"/>
                <w:color w:val="000000"/>
                <w:sz w:val="22"/>
                <w:szCs w:val="22"/>
                <w:lang w:val="es-MX" w:eastAsia="es-MX"/>
              </w:rPr>
            </w:pPr>
          </w:p>
        </w:tc>
        <w:tc>
          <w:tcPr>
            <w:tcW w:w="2166" w:type="dxa"/>
            <w:tcBorders>
              <w:top w:val="nil"/>
              <w:left w:val="nil"/>
              <w:bottom w:val="single" w:sz="4" w:space="0" w:color="auto"/>
              <w:right w:val="single" w:sz="4" w:space="0" w:color="auto"/>
            </w:tcBorders>
            <w:shd w:val="clear" w:color="auto" w:fill="auto"/>
            <w:noWrap/>
            <w:vAlign w:val="center"/>
            <w:hideMark/>
          </w:tcPr>
          <w:p w14:paraId="1DE5B903"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Vivienda</w:t>
            </w:r>
          </w:p>
        </w:tc>
        <w:tc>
          <w:tcPr>
            <w:tcW w:w="1855" w:type="dxa"/>
            <w:tcBorders>
              <w:top w:val="nil"/>
              <w:left w:val="nil"/>
              <w:bottom w:val="single" w:sz="4" w:space="0" w:color="auto"/>
              <w:right w:val="single" w:sz="4" w:space="0" w:color="auto"/>
            </w:tcBorders>
            <w:shd w:val="clear" w:color="auto" w:fill="auto"/>
            <w:noWrap/>
            <w:vAlign w:val="center"/>
            <w:hideMark/>
          </w:tcPr>
          <w:p w14:paraId="10F76EFA" w14:textId="77777777" w:rsidR="00576198" w:rsidRPr="00576198" w:rsidRDefault="00576198" w:rsidP="00576198">
            <w:pPr>
              <w:jc w:val="right"/>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 xml:space="preserve"> $        622,479.20 </w:t>
            </w:r>
          </w:p>
        </w:tc>
        <w:tc>
          <w:tcPr>
            <w:tcW w:w="2122" w:type="dxa"/>
            <w:tcBorders>
              <w:top w:val="nil"/>
              <w:left w:val="nil"/>
              <w:bottom w:val="single" w:sz="4" w:space="0" w:color="auto"/>
              <w:right w:val="single" w:sz="4" w:space="0" w:color="auto"/>
            </w:tcBorders>
            <w:shd w:val="clear" w:color="auto" w:fill="auto"/>
            <w:noWrap/>
            <w:vAlign w:val="bottom"/>
            <w:hideMark/>
          </w:tcPr>
          <w:p w14:paraId="7F6919D9"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 </w:t>
            </w:r>
          </w:p>
        </w:tc>
      </w:tr>
      <w:tr w:rsidR="00576198" w:rsidRPr="00576198" w14:paraId="0924B297" w14:textId="77777777" w:rsidTr="002D1603">
        <w:trPr>
          <w:trHeight w:val="315"/>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054371F4"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Cómala</w:t>
            </w:r>
          </w:p>
        </w:tc>
        <w:tc>
          <w:tcPr>
            <w:tcW w:w="2166" w:type="dxa"/>
            <w:tcBorders>
              <w:top w:val="nil"/>
              <w:left w:val="nil"/>
              <w:bottom w:val="single" w:sz="4" w:space="0" w:color="auto"/>
              <w:right w:val="single" w:sz="4" w:space="0" w:color="auto"/>
            </w:tcBorders>
            <w:shd w:val="clear" w:color="auto" w:fill="auto"/>
            <w:noWrap/>
            <w:vAlign w:val="center"/>
            <w:hideMark/>
          </w:tcPr>
          <w:p w14:paraId="07774BBA"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Agua y Saneamiento</w:t>
            </w:r>
          </w:p>
        </w:tc>
        <w:tc>
          <w:tcPr>
            <w:tcW w:w="1855" w:type="dxa"/>
            <w:tcBorders>
              <w:top w:val="nil"/>
              <w:left w:val="nil"/>
              <w:bottom w:val="single" w:sz="4" w:space="0" w:color="auto"/>
              <w:right w:val="single" w:sz="4" w:space="0" w:color="auto"/>
            </w:tcBorders>
            <w:shd w:val="clear" w:color="auto" w:fill="auto"/>
            <w:noWrap/>
            <w:vAlign w:val="center"/>
            <w:hideMark/>
          </w:tcPr>
          <w:p w14:paraId="06A0C6E3" w14:textId="77777777" w:rsidR="00576198" w:rsidRPr="00576198" w:rsidRDefault="00576198" w:rsidP="00576198">
            <w:pPr>
              <w:jc w:val="right"/>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 xml:space="preserve"> $        661,275.89 </w:t>
            </w:r>
          </w:p>
        </w:tc>
        <w:tc>
          <w:tcPr>
            <w:tcW w:w="2122" w:type="dxa"/>
            <w:tcBorders>
              <w:top w:val="nil"/>
              <w:left w:val="nil"/>
              <w:bottom w:val="single" w:sz="4" w:space="0" w:color="auto"/>
              <w:right w:val="single" w:sz="4" w:space="0" w:color="auto"/>
            </w:tcBorders>
            <w:shd w:val="clear" w:color="auto" w:fill="auto"/>
            <w:noWrap/>
            <w:vAlign w:val="bottom"/>
            <w:hideMark/>
          </w:tcPr>
          <w:p w14:paraId="60FA9B4D"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 xml:space="preserve"> $      2,645,103.53 </w:t>
            </w:r>
          </w:p>
        </w:tc>
      </w:tr>
      <w:tr w:rsidR="00576198" w:rsidRPr="00576198" w14:paraId="47D376D9" w14:textId="77777777" w:rsidTr="002D1603">
        <w:trPr>
          <w:trHeight w:val="315"/>
          <w:jc w:val="center"/>
        </w:trPr>
        <w:tc>
          <w:tcPr>
            <w:tcW w:w="1898" w:type="dxa"/>
            <w:tcBorders>
              <w:top w:val="nil"/>
              <w:left w:val="single" w:sz="4" w:space="0" w:color="auto"/>
              <w:bottom w:val="single" w:sz="4" w:space="0" w:color="auto"/>
              <w:right w:val="single" w:sz="4" w:space="0" w:color="auto"/>
            </w:tcBorders>
            <w:shd w:val="clear" w:color="auto" w:fill="auto"/>
            <w:noWrap/>
            <w:vAlign w:val="center"/>
            <w:hideMark/>
          </w:tcPr>
          <w:p w14:paraId="5FE4079F"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Minatitlán</w:t>
            </w:r>
          </w:p>
        </w:tc>
        <w:tc>
          <w:tcPr>
            <w:tcW w:w="2166" w:type="dxa"/>
            <w:tcBorders>
              <w:top w:val="nil"/>
              <w:left w:val="nil"/>
              <w:bottom w:val="single" w:sz="4" w:space="0" w:color="auto"/>
              <w:right w:val="single" w:sz="4" w:space="0" w:color="auto"/>
            </w:tcBorders>
            <w:shd w:val="clear" w:color="auto" w:fill="auto"/>
            <w:noWrap/>
            <w:vAlign w:val="center"/>
            <w:hideMark/>
          </w:tcPr>
          <w:p w14:paraId="4A054484"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Agua y Saneamiento</w:t>
            </w:r>
          </w:p>
        </w:tc>
        <w:tc>
          <w:tcPr>
            <w:tcW w:w="1855" w:type="dxa"/>
            <w:tcBorders>
              <w:top w:val="nil"/>
              <w:left w:val="nil"/>
              <w:bottom w:val="single" w:sz="4" w:space="0" w:color="auto"/>
              <w:right w:val="single" w:sz="4" w:space="0" w:color="auto"/>
            </w:tcBorders>
            <w:shd w:val="clear" w:color="auto" w:fill="auto"/>
            <w:noWrap/>
            <w:vAlign w:val="center"/>
            <w:hideMark/>
          </w:tcPr>
          <w:p w14:paraId="4722490E" w14:textId="77777777" w:rsidR="00576198" w:rsidRPr="00576198" w:rsidRDefault="00576198" w:rsidP="00576198">
            <w:pPr>
              <w:jc w:val="right"/>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 xml:space="preserve"> $        486,480.46 </w:t>
            </w:r>
          </w:p>
        </w:tc>
        <w:tc>
          <w:tcPr>
            <w:tcW w:w="2122" w:type="dxa"/>
            <w:tcBorders>
              <w:top w:val="nil"/>
              <w:left w:val="nil"/>
              <w:bottom w:val="single" w:sz="4" w:space="0" w:color="auto"/>
              <w:right w:val="single" w:sz="4" w:space="0" w:color="auto"/>
            </w:tcBorders>
            <w:shd w:val="clear" w:color="auto" w:fill="auto"/>
            <w:noWrap/>
            <w:vAlign w:val="bottom"/>
            <w:hideMark/>
          </w:tcPr>
          <w:p w14:paraId="09597468"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 xml:space="preserve"> $      1,945,921.85 </w:t>
            </w:r>
          </w:p>
        </w:tc>
      </w:tr>
      <w:tr w:rsidR="00576198" w:rsidRPr="00576198" w14:paraId="58520721" w14:textId="77777777" w:rsidTr="002D1603">
        <w:trPr>
          <w:trHeight w:val="315"/>
          <w:jc w:val="center"/>
        </w:trPr>
        <w:tc>
          <w:tcPr>
            <w:tcW w:w="1898" w:type="dxa"/>
            <w:tcBorders>
              <w:top w:val="nil"/>
              <w:left w:val="single" w:sz="4" w:space="0" w:color="auto"/>
              <w:bottom w:val="single" w:sz="4" w:space="0" w:color="auto"/>
              <w:right w:val="nil"/>
            </w:tcBorders>
            <w:shd w:val="clear" w:color="auto" w:fill="auto"/>
            <w:noWrap/>
            <w:vAlign w:val="bottom"/>
            <w:hideMark/>
          </w:tcPr>
          <w:p w14:paraId="16833E19" w14:textId="77777777" w:rsidR="00576198" w:rsidRPr="00576198" w:rsidRDefault="00576198" w:rsidP="00576198">
            <w:pPr>
              <w:jc w:val="center"/>
              <w:rPr>
                <w:rFonts w:ascii="Calibri" w:eastAsia="Times New Roman" w:hAnsi="Calibri" w:cs="Calibri"/>
                <w:b/>
                <w:bCs/>
                <w:color w:val="000000"/>
                <w:sz w:val="22"/>
                <w:szCs w:val="22"/>
                <w:lang w:val="es-MX" w:eastAsia="es-MX"/>
              </w:rPr>
            </w:pPr>
            <w:r w:rsidRPr="00576198">
              <w:rPr>
                <w:rFonts w:ascii="Calibri" w:eastAsia="Times New Roman" w:hAnsi="Calibri" w:cs="Calibri"/>
                <w:b/>
                <w:bCs/>
                <w:color w:val="000000"/>
                <w:sz w:val="22"/>
                <w:szCs w:val="22"/>
                <w:lang w:val="es-MX" w:eastAsia="es-MX"/>
              </w:rPr>
              <w:t>Total</w:t>
            </w:r>
          </w:p>
        </w:tc>
        <w:tc>
          <w:tcPr>
            <w:tcW w:w="2166" w:type="dxa"/>
            <w:tcBorders>
              <w:top w:val="nil"/>
              <w:left w:val="nil"/>
              <w:bottom w:val="single" w:sz="4" w:space="0" w:color="auto"/>
              <w:right w:val="single" w:sz="4" w:space="0" w:color="auto"/>
            </w:tcBorders>
            <w:shd w:val="clear" w:color="auto" w:fill="auto"/>
            <w:noWrap/>
            <w:vAlign w:val="bottom"/>
            <w:hideMark/>
          </w:tcPr>
          <w:p w14:paraId="43F201B3" w14:textId="77777777" w:rsidR="00576198" w:rsidRPr="00576198" w:rsidRDefault="00576198" w:rsidP="00576198">
            <w:pPr>
              <w:jc w:val="center"/>
              <w:rPr>
                <w:rFonts w:ascii="Calibri" w:eastAsia="Times New Roman" w:hAnsi="Calibri" w:cs="Calibri"/>
                <w:b/>
                <w:bCs/>
                <w:color w:val="000000"/>
                <w:sz w:val="22"/>
                <w:szCs w:val="22"/>
                <w:lang w:val="es-MX" w:eastAsia="es-MX"/>
              </w:rPr>
            </w:pPr>
            <w:r w:rsidRPr="00576198">
              <w:rPr>
                <w:rFonts w:ascii="Calibri" w:eastAsia="Times New Roman" w:hAnsi="Calibri" w:cs="Calibri"/>
                <w:b/>
                <w:bCs/>
                <w:color w:val="000000"/>
                <w:sz w:val="22"/>
                <w:szCs w:val="22"/>
                <w:lang w:val="es-MX" w:eastAsia="es-MX"/>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3807D8" w14:textId="77777777" w:rsidR="00576198" w:rsidRPr="00576198" w:rsidRDefault="00576198" w:rsidP="00576198">
            <w:pPr>
              <w:rPr>
                <w:rFonts w:ascii="Calibri" w:eastAsia="Times New Roman" w:hAnsi="Calibri" w:cs="Calibri"/>
                <w:b/>
                <w:bCs/>
                <w:color w:val="000000"/>
                <w:sz w:val="22"/>
                <w:szCs w:val="22"/>
                <w:lang w:val="es-MX" w:eastAsia="es-MX"/>
              </w:rPr>
            </w:pPr>
            <w:r w:rsidRPr="00576198">
              <w:rPr>
                <w:rFonts w:ascii="Calibri" w:eastAsia="Times New Roman" w:hAnsi="Calibri" w:cs="Calibri"/>
                <w:b/>
                <w:bCs/>
                <w:color w:val="000000"/>
                <w:sz w:val="22"/>
                <w:szCs w:val="22"/>
                <w:lang w:val="es-MX" w:eastAsia="es-MX"/>
              </w:rPr>
              <w:t xml:space="preserve"> $    5,470,770.98 </w:t>
            </w:r>
          </w:p>
        </w:tc>
        <w:tc>
          <w:tcPr>
            <w:tcW w:w="2122" w:type="dxa"/>
            <w:tcBorders>
              <w:top w:val="nil"/>
              <w:left w:val="nil"/>
              <w:bottom w:val="single" w:sz="4" w:space="0" w:color="auto"/>
              <w:right w:val="single" w:sz="4" w:space="0" w:color="auto"/>
            </w:tcBorders>
            <w:shd w:val="clear" w:color="auto" w:fill="auto"/>
            <w:noWrap/>
            <w:vAlign w:val="bottom"/>
            <w:hideMark/>
          </w:tcPr>
          <w:p w14:paraId="1E91BED0" w14:textId="77777777" w:rsidR="00576198" w:rsidRPr="00576198" w:rsidRDefault="00576198" w:rsidP="00576198">
            <w:pPr>
              <w:rPr>
                <w:rFonts w:ascii="Calibri" w:eastAsia="Times New Roman" w:hAnsi="Calibri" w:cs="Calibri"/>
                <w:b/>
                <w:bCs/>
                <w:color w:val="000000"/>
                <w:sz w:val="22"/>
                <w:szCs w:val="22"/>
                <w:lang w:val="es-MX" w:eastAsia="es-MX"/>
              </w:rPr>
            </w:pPr>
            <w:r w:rsidRPr="00576198">
              <w:rPr>
                <w:rFonts w:ascii="Calibri" w:eastAsia="Times New Roman" w:hAnsi="Calibri" w:cs="Calibri"/>
                <w:b/>
                <w:bCs/>
                <w:color w:val="000000"/>
                <w:sz w:val="22"/>
                <w:szCs w:val="22"/>
                <w:lang w:val="es-MX" w:eastAsia="es-MX"/>
              </w:rPr>
              <w:t xml:space="preserve"> $      8,874,427.46 </w:t>
            </w:r>
          </w:p>
        </w:tc>
      </w:tr>
      <w:tr w:rsidR="00576198" w:rsidRPr="00576198" w14:paraId="0C761AC2" w14:textId="77777777" w:rsidTr="002D1603">
        <w:trPr>
          <w:trHeight w:val="315"/>
          <w:jc w:val="center"/>
        </w:trPr>
        <w:tc>
          <w:tcPr>
            <w:tcW w:w="1898" w:type="dxa"/>
            <w:tcBorders>
              <w:top w:val="nil"/>
              <w:left w:val="single" w:sz="4" w:space="0" w:color="auto"/>
              <w:bottom w:val="single" w:sz="4" w:space="0" w:color="auto"/>
              <w:right w:val="nil"/>
            </w:tcBorders>
            <w:shd w:val="clear" w:color="auto" w:fill="auto"/>
            <w:noWrap/>
            <w:vAlign w:val="center"/>
            <w:hideMark/>
          </w:tcPr>
          <w:p w14:paraId="5DE86776" w14:textId="77777777" w:rsidR="00576198" w:rsidRPr="00576198" w:rsidRDefault="00576198" w:rsidP="00576198">
            <w:pPr>
              <w:jc w:val="center"/>
              <w:rPr>
                <w:rFonts w:ascii="Calibri" w:eastAsia="Times New Roman" w:hAnsi="Calibri" w:cs="Calibri"/>
                <w:b/>
                <w:bCs/>
                <w:color w:val="000000"/>
                <w:sz w:val="22"/>
                <w:szCs w:val="22"/>
                <w:lang w:val="es-MX" w:eastAsia="es-MX"/>
              </w:rPr>
            </w:pPr>
            <w:r w:rsidRPr="00576198">
              <w:rPr>
                <w:rFonts w:ascii="Calibri" w:eastAsia="Times New Roman" w:hAnsi="Calibri" w:cs="Calibri"/>
                <w:b/>
                <w:bCs/>
                <w:color w:val="000000"/>
                <w:sz w:val="22"/>
                <w:szCs w:val="22"/>
                <w:lang w:val="es-MX" w:eastAsia="es-MX"/>
              </w:rPr>
              <w:t>Gran Total</w:t>
            </w:r>
          </w:p>
        </w:tc>
        <w:tc>
          <w:tcPr>
            <w:tcW w:w="2166" w:type="dxa"/>
            <w:tcBorders>
              <w:top w:val="nil"/>
              <w:left w:val="nil"/>
              <w:bottom w:val="single" w:sz="4" w:space="0" w:color="auto"/>
              <w:right w:val="single" w:sz="4" w:space="0" w:color="auto"/>
            </w:tcBorders>
            <w:shd w:val="clear" w:color="auto" w:fill="auto"/>
            <w:noWrap/>
            <w:vAlign w:val="center"/>
            <w:hideMark/>
          </w:tcPr>
          <w:p w14:paraId="37D5F7FA" w14:textId="77777777" w:rsidR="00576198" w:rsidRPr="00576198" w:rsidRDefault="00576198" w:rsidP="00576198">
            <w:pPr>
              <w:jc w:val="center"/>
              <w:rPr>
                <w:rFonts w:ascii="Calibri" w:eastAsia="Times New Roman" w:hAnsi="Calibri" w:cs="Calibri"/>
                <w:b/>
                <w:bCs/>
                <w:color w:val="000000"/>
                <w:sz w:val="22"/>
                <w:szCs w:val="22"/>
                <w:lang w:val="es-MX" w:eastAsia="es-MX"/>
              </w:rPr>
            </w:pPr>
            <w:r w:rsidRPr="00576198">
              <w:rPr>
                <w:rFonts w:ascii="Calibri" w:eastAsia="Times New Roman" w:hAnsi="Calibri" w:cs="Calibri"/>
                <w:b/>
                <w:bCs/>
                <w:color w:val="000000"/>
                <w:sz w:val="22"/>
                <w:szCs w:val="22"/>
                <w:lang w:val="es-MX" w:eastAsia="es-MX"/>
              </w:rPr>
              <w:t> </w:t>
            </w:r>
          </w:p>
        </w:tc>
        <w:tc>
          <w:tcPr>
            <w:tcW w:w="397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97110E" w14:textId="77777777" w:rsidR="00576198" w:rsidRPr="00576198" w:rsidRDefault="00576198" w:rsidP="00576198">
            <w:pPr>
              <w:jc w:val="right"/>
              <w:rPr>
                <w:rFonts w:ascii="Calibri" w:eastAsia="Times New Roman" w:hAnsi="Calibri" w:cs="Calibri"/>
                <w:b/>
                <w:bCs/>
                <w:color w:val="000000"/>
                <w:sz w:val="22"/>
                <w:szCs w:val="22"/>
                <w:lang w:val="es-MX" w:eastAsia="es-MX"/>
              </w:rPr>
            </w:pPr>
            <w:r w:rsidRPr="00576198">
              <w:rPr>
                <w:rFonts w:ascii="Calibri" w:eastAsia="Times New Roman" w:hAnsi="Calibri" w:cs="Calibri"/>
                <w:b/>
                <w:bCs/>
                <w:color w:val="000000"/>
                <w:sz w:val="22"/>
                <w:szCs w:val="22"/>
                <w:lang w:val="es-MX" w:eastAsia="es-MX"/>
              </w:rPr>
              <w:t xml:space="preserve"> $                                       14,345,198.44 </w:t>
            </w:r>
          </w:p>
        </w:tc>
      </w:tr>
      <w:tr w:rsidR="00576198" w:rsidRPr="00576198" w14:paraId="0DFE0C81" w14:textId="77777777" w:rsidTr="002D1603">
        <w:trPr>
          <w:trHeight w:val="315"/>
          <w:jc w:val="center"/>
        </w:trPr>
        <w:tc>
          <w:tcPr>
            <w:tcW w:w="804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9ED41B2" w14:textId="77777777" w:rsidR="00576198" w:rsidRPr="00576198" w:rsidRDefault="00576198" w:rsidP="00576198">
            <w:pPr>
              <w:rPr>
                <w:rFonts w:ascii="Calibri" w:eastAsia="Times New Roman" w:hAnsi="Calibri" w:cs="Calibri"/>
                <w:color w:val="000000"/>
                <w:sz w:val="22"/>
                <w:szCs w:val="22"/>
                <w:lang w:val="es-MX" w:eastAsia="es-MX"/>
              </w:rPr>
            </w:pPr>
            <w:r w:rsidRPr="00576198">
              <w:rPr>
                <w:rFonts w:ascii="Calibri" w:eastAsia="Times New Roman" w:hAnsi="Calibri" w:cs="Calibri"/>
                <w:color w:val="000000"/>
                <w:sz w:val="22"/>
                <w:szCs w:val="22"/>
                <w:lang w:val="es-MX" w:eastAsia="es-MX"/>
              </w:rPr>
              <w:t>Fuente: Elaboración propia con base a información proporcionada por la SEIDUR "Resumen de obras contratadas 2016".</w:t>
            </w:r>
          </w:p>
        </w:tc>
      </w:tr>
    </w:tbl>
    <w:p w14:paraId="6632653C" w14:textId="77777777" w:rsidR="00A651C2" w:rsidRPr="00D56069" w:rsidRDefault="00A651C2" w:rsidP="00F2366C">
      <w:pPr>
        <w:spacing w:after="240" w:line="276" w:lineRule="auto"/>
        <w:rPr>
          <w:rFonts w:ascii="Century Gothic" w:hAnsi="Century Gothic"/>
          <w:sz w:val="6"/>
          <w:lang w:val="es-MX"/>
        </w:rPr>
      </w:pPr>
    </w:p>
    <w:p w14:paraId="3662ADBA" w14:textId="77777777" w:rsidR="00F04762" w:rsidRDefault="00F04762" w:rsidP="00F04762">
      <w:pPr>
        <w:spacing w:after="240" w:line="276" w:lineRule="auto"/>
        <w:jc w:val="both"/>
        <w:rPr>
          <w:rFonts w:ascii="Century Gothic" w:hAnsi="Century Gothic"/>
          <w:lang w:val="es-MX"/>
        </w:rPr>
      </w:pPr>
      <w:r>
        <w:rPr>
          <w:rFonts w:ascii="Century Gothic" w:hAnsi="Century Gothic"/>
          <w:lang w:val="es-MX"/>
        </w:rPr>
        <w:t xml:space="preserve">Ante esto, en general se concluye que la inversión fue adecuada, destacando en primer lugar </w:t>
      </w:r>
      <w:r w:rsidRPr="00340C07">
        <w:rPr>
          <w:rFonts w:ascii="Century Gothic" w:hAnsi="Century Gothic"/>
          <w:b/>
          <w:lang w:val="es-MX"/>
        </w:rPr>
        <w:t>el tipo de inversión</w:t>
      </w:r>
      <w:r>
        <w:rPr>
          <w:rFonts w:ascii="Century Gothic" w:hAnsi="Century Gothic"/>
          <w:lang w:val="es-MX"/>
        </w:rPr>
        <w:t xml:space="preserve"> realizada, pues fueron en obras que </w:t>
      </w:r>
      <w:r w:rsidRPr="00340C07">
        <w:rPr>
          <w:rFonts w:ascii="Century Gothic" w:hAnsi="Century Gothic"/>
          <w:b/>
          <w:lang w:val="es-MX"/>
        </w:rPr>
        <w:t>contribuyen de manera directa a la reducción de la pobreza</w:t>
      </w:r>
      <w:r>
        <w:rPr>
          <w:rFonts w:ascii="Century Gothic" w:hAnsi="Century Gothic"/>
          <w:lang w:val="es-MX"/>
        </w:rPr>
        <w:t xml:space="preserve">, tal como lo contemplan los Lineamientos generales para la operación del FAIS. </w:t>
      </w:r>
      <w:r>
        <w:rPr>
          <w:rFonts w:ascii="Century Gothic" w:hAnsi="Century Gothic"/>
        </w:rPr>
        <w:t xml:space="preserve">Resaltando que las obras  realizadas en </w:t>
      </w:r>
      <w:r w:rsidRPr="00DB0A3C">
        <w:rPr>
          <w:rFonts w:ascii="Century Gothic" w:hAnsi="Century Gothic"/>
        </w:rPr>
        <w:t xml:space="preserve">Agua y Saneamiento </w:t>
      </w:r>
      <w:r w:rsidRPr="00B86118">
        <w:rPr>
          <w:rFonts w:ascii="Century Gothic" w:hAnsi="Century Gothic"/>
        </w:rPr>
        <w:t>favorece las con</w:t>
      </w:r>
      <w:r>
        <w:rPr>
          <w:rFonts w:ascii="Century Gothic" w:hAnsi="Century Gothic"/>
        </w:rPr>
        <w:t xml:space="preserve">diciones de salubridad general de su población beneficiada; de igual forma los proyectos dirigidos a la dotación de piso firme de las viviendas que carecían de este beneficio; mejorando con ello </w:t>
      </w:r>
      <w:r w:rsidRPr="00B86118">
        <w:rPr>
          <w:rFonts w:ascii="Century Gothic" w:hAnsi="Century Gothic"/>
        </w:rPr>
        <w:t xml:space="preserve">sus condiciones de </w:t>
      </w:r>
      <w:r>
        <w:rPr>
          <w:rFonts w:ascii="Century Gothic" w:hAnsi="Century Gothic"/>
        </w:rPr>
        <w:t xml:space="preserve">calidad y espacios de la vivienda así como también del </w:t>
      </w:r>
      <w:r w:rsidRPr="00B86118">
        <w:rPr>
          <w:rFonts w:ascii="Century Gothic" w:hAnsi="Century Gothic"/>
        </w:rPr>
        <w:t>aseo</w:t>
      </w:r>
      <w:r>
        <w:rPr>
          <w:rFonts w:ascii="Century Gothic" w:hAnsi="Century Gothic"/>
        </w:rPr>
        <w:t xml:space="preserve"> y salubridad dentro del hogar.</w:t>
      </w:r>
    </w:p>
    <w:p w14:paraId="02AF86E0" w14:textId="77777777" w:rsidR="00F04762" w:rsidRDefault="00F04762" w:rsidP="00F04762">
      <w:pPr>
        <w:spacing w:after="240" w:line="276" w:lineRule="auto"/>
        <w:jc w:val="both"/>
        <w:rPr>
          <w:rFonts w:ascii="Century Gothic" w:hAnsi="Century Gothic"/>
        </w:rPr>
      </w:pPr>
      <w:r>
        <w:rPr>
          <w:rFonts w:ascii="Century Gothic" w:hAnsi="Century Gothic"/>
          <w:lang w:val="es-MX"/>
        </w:rPr>
        <w:t xml:space="preserve">En segundo lugar se resalta </w:t>
      </w:r>
      <w:r w:rsidRPr="008944CD">
        <w:rPr>
          <w:rFonts w:ascii="Century Gothic" w:hAnsi="Century Gothic"/>
          <w:b/>
          <w:lang w:val="es-MX"/>
        </w:rPr>
        <w:t>la ampliación del recurso mediante los convenios</w:t>
      </w:r>
      <w:r>
        <w:rPr>
          <w:rFonts w:ascii="Century Gothic" w:hAnsi="Century Gothic"/>
          <w:lang w:val="es-MX"/>
        </w:rPr>
        <w:t xml:space="preserve"> para las obras en </w:t>
      </w:r>
      <w:r w:rsidRPr="00DB0A3C">
        <w:rPr>
          <w:rFonts w:ascii="Century Gothic" w:hAnsi="Century Gothic"/>
        </w:rPr>
        <w:t>Agua y Saneamiento</w:t>
      </w:r>
      <w:r>
        <w:rPr>
          <w:rFonts w:ascii="Century Gothic" w:hAnsi="Century Gothic"/>
        </w:rPr>
        <w:t>, lo cual representa una adecuada gestión por parte del estado y que permitió ampliar el recurso para estas obras generando un mayor beneficio a la población.</w:t>
      </w:r>
    </w:p>
    <w:p w14:paraId="22D5EBBC" w14:textId="77777777" w:rsidR="0027031D" w:rsidRDefault="0027031D" w:rsidP="00F04762">
      <w:pPr>
        <w:spacing w:after="240" w:line="276" w:lineRule="auto"/>
        <w:jc w:val="both"/>
        <w:rPr>
          <w:rFonts w:ascii="Century Gothic" w:hAnsi="Century Gothic"/>
          <w:lang w:val="es-MX"/>
        </w:rPr>
      </w:pPr>
      <w:r>
        <w:rPr>
          <w:rFonts w:ascii="Century Gothic" w:hAnsi="Century Gothic"/>
        </w:rPr>
        <w:t xml:space="preserve">Una vez presentadas las obras que desarrolló la SEIDUR que involucraron recursos del FISE, en el siguiente capítulo se presenta el proceso que se lleva a cabo para su ejecución, es decir desde la planeación, hasta la evaluación y rendición de cuentas. Tema que es el eje central de esta evaluación. </w:t>
      </w:r>
    </w:p>
    <w:p w14:paraId="03C15329" w14:textId="77777777" w:rsidR="00F2366C" w:rsidRDefault="00F2366C" w:rsidP="00F2366C">
      <w:pPr>
        <w:rPr>
          <w:rFonts w:ascii="Century Gothic" w:hAnsi="Century Gothic"/>
        </w:rPr>
      </w:pPr>
      <w:r>
        <w:rPr>
          <w:rFonts w:ascii="Century Gothic" w:hAnsi="Century Gothic"/>
        </w:rPr>
        <w:lastRenderedPageBreak/>
        <w:br w:type="page"/>
      </w:r>
    </w:p>
    <w:p w14:paraId="2A9FF76E" w14:textId="77777777" w:rsidR="00B07691" w:rsidRPr="006954B3" w:rsidRDefault="00070A10" w:rsidP="006954B3">
      <w:pPr>
        <w:pStyle w:val="Ttulo1"/>
        <w:numPr>
          <w:ilvl w:val="0"/>
          <w:numId w:val="6"/>
        </w:numPr>
        <w:spacing w:before="0" w:after="240" w:line="276" w:lineRule="auto"/>
        <w:jc w:val="both"/>
        <w:rPr>
          <w:rFonts w:ascii="Century Gothic" w:hAnsi="Century Gothic"/>
          <w:color w:val="0E4E7A"/>
        </w:rPr>
      </w:pPr>
      <w:bookmarkStart w:id="36" w:name="_Toc511236524"/>
      <w:r>
        <w:rPr>
          <w:rFonts w:ascii="Century Gothic" w:hAnsi="Century Gothic"/>
          <w:color w:val="0E4E7A"/>
        </w:rPr>
        <w:lastRenderedPageBreak/>
        <w:t>Análisis del</w:t>
      </w:r>
      <w:r w:rsidR="00E84C5A">
        <w:rPr>
          <w:rFonts w:ascii="Century Gothic" w:hAnsi="Century Gothic"/>
          <w:color w:val="0E4E7A"/>
        </w:rPr>
        <w:t xml:space="preserve"> Macro-</w:t>
      </w:r>
      <w:r>
        <w:rPr>
          <w:rFonts w:ascii="Century Gothic" w:hAnsi="Century Gothic"/>
          <w:color w:val="0E4E7A"/>
        </w:rPr>
        <w:t>proceso</w:t>
      </w:r>
      <w:bookmarkEnd w:id="36"/>
      <w:r>
        <w:rPr>
          <w:rFonts w:ascii="Century Gothic" w:hAnsi="Century Gothic"/>
          <w:color w:val="0E4E7A"/>
        </w:rPr>
        <w:t xml:space="preserve"> </w:t>
      </w:r>
    </w:p>
    <w:p w14:paraId="55E3FEE4" w14:textId="77777777" w:rsidR="006954B3" w:rsidRDefault="006954B3" w:rsidP="00D96F9D">
      <w:pPr>
        <w:spacing w:after="240" w:line="276" w:lineRule="auto"/>
        <w:jc w:val="both"/>
        <w:rPr>
          <w:rFonts w:ascii="Century Gothic" w:hAnsi="Century Gothic"/>
        </w:rPr>
      </w:pPr>
      <w:r w:rsidRPr="006954B3">
        <w:rPr>
          <w:rFonts w:ascii="Century Gothic" w:hAnsi="Century Gothic"/>
        </w:rPr>
        <w:t>En este apartado se describirán y analizarán los procesos y procedimientos específicos, para</w:t>
      </w:r>
      <w:r w:rsidR="00175E28">
        <w:rPr>
          <w:rFonts w:ascii="Century Gothic" w:hAnsi="Century Gothic"/>
        </w:rPr>
        <w:t xml:space="preserve"> el desarrollo de las obras con recursos del Fondo para</w:t>
      </w:r>
      <w:r w:rsidRPr="006954B3">
        <w:rPr>
          <w:rFonts w:ascii="Century Gothic" w:hAnsi="Century Gothic"/>
        </w:rPr>
        <w:t xml:space="preserve"> la Infraestructura Social Estatal (FISE) a través del programa presupuestario “Construcción, Modernización y Mantenimiento de la Infraestructura para el Desarrollo” tomando como base el “Modelo general de procesos”</w:t>
      </w:r>
      <w:r>
        <w:rPr>
          <w:rFonts w:ascii="Century Gothic" w:hAnsi="Century Gothic"/>
        </w:rPr>
        <w:t>, presentado en la metodología.</w:t>
      </w:r>
    </w:p>
    <w:p w14:paraId="26B6590E" w14:textId="77777777" w:rsidR="00D96F9D" w:rsidRPr="00D96F9D" w:rsidRDefault="00D96F9D" w:rsidP="00D96F9D">
      <w:pPr>
        <w:spacing w:after="240" w:line="276" w:lineRule="auto"/>
        <w:jc w:val="both"/>
        <w:rPr>
          <w:rFonts w:ascii="Century Gothic" w:hAnsi="Century Gothic"/>
        </w:rPr>
      </w:pPr>
      <w:r>
        <w:rPr>
          <w:rFonts w:ascii="Century Gothic" w:hAnsi="Century Gothic"/>
        </w:rPr>
        <w:t xml:space="preserve">Es importante mencionar que el contar con una </w:t>
      </w:r>
      <w:r w:rsidRPr="00D96F9D">
        <w:rPr>
          <w:rFonts w:ascii="Century Gothic" w:hAnsi="Century Gothic"/>
        </w:rPr>
        <w:t>documentación de procesos adquiere particular relevancia en la</w:t>
      </w:r>
      <w:r>
        <w:rPr>
          <w:rFonts w:ascii="Century Gothic" w:hAnsi="Century Gothic"/>
        </w:rPr>
        <w:t xml:space="preserve"> </w:t>
      </w:r>
      <w:r w:rsidRPr="00D96F9D">
        <w:rPr>
          <w:rFonts w:ascii="Century Gothic" w:hAnsi="Century Gothic"/>
        </w:rPr>
        <w:t>administración pública, pues se convierte en una herramienta que es ajena</w:t>
      </w:r>
      <w:r>
        <w:rPr>
          <w:rFonts w:ascii="Century Gothic" w:hAnsi="Century Gothic"/>
        </w:rPr>
        <w:t xml:space="preserve"> </w:t>
      </w:r>
      <w:r w:rsidRPr="00D96F9D">
        <w:rPr>
          <w:rFonts w:ascii="Century Gothic" w:hAnsi="Century Gothic"/>
        </w:rPr>
        <w:t>a los cambios de personas o responsables de procesos, hasta que éstos</w:t>
      </w:r>
      <w:r>
        <w:rPr>
          <w:rFonts w:ascii="Century Gothic" w:hAnsi="Century Gothic"/>
        </w:rPr>
        <w:t xml:space="preserve"> </w:t>
      </w:r>
      <w:r w:rsidRPr="00D96F9D">
        <w:rPr>
          <w:rFonts w:ascii="Century Gothic" w:hAnsi="Century Gothic"/>
        </w:rPr>
        <w:t>sufran modificaciones para su mejora o adaptación a las nuevas</w:t>
      </w:r>
      <w:r>
        <w:rPr>
          <w:rFonts w:ascii="Century Gothic" w:hAnsi="Century Gothic"/>
        </w:rPr>
        <w:t xml:space="preserve"> </w:t>
      </w:r>
      <w:r w:rsidRPr="00D96F9D">
        <w:rPr>
          <w:rFonts w:ascii="Century Gothic" w:hAnsi="Century Gothic"/>
        </w:rPr>
        <w:t>circunstancias normativas o administrativas.</w:t>
      </w:r>
    </w:p>
    <w:p w14:paraId="3C833AF7" w14:textId="77777777" w:rsidR="00D96F9D" w:rsidRDefault="00D96F9D" w:rsidP="00D96F9D">
      <w:pPr>
        <w:spacing w:after="240" w:line="276" w:lineRule="auto"/>
        <w:jc w:val="both"/>
        <w:rPr>
          <w:rFonts w:ascii="Century Gothic" w:hAnsi="Century Gothic"/>
        </w:rPr>
      </w:pPr>
      <w:r w:rsidRPr="00D96F9D">
        <w:rPr>
          <w:rFonts w:ascii="Century Gothic" w:hAnsi="Century Gothic"/>
        </w:rPr>
        <w:t>Por lo que de esta manera es importante disponer de procesos bien</w:t>
      </w:r>
      <w:r>
        <w:rPr>
          <w:rFonts w:ascii="Century Gothic" w:hAnsi="Century Gothic"/>
        </w:rPr>
        <w:t xml:space="preserve"> </w:t>
      </w:r>
      <w:r w:rsidRPr="00D96F9D">
        <w:rPr>
          <w:rFonts w:ascii="Century Gothic" w:hAnsi="Century Gothic"/>
        </w:rPr>
        <w:t>documentados que den cuenta de la forma en que se realiza la asignación</w:t>
      </w:r>
      <w:r>
        <w:rPr>
          <w:rFonts w:ascii="Century Gothic" w:hAnsi="Century Gothic"/>
        </w:rPr>
        <w:t xml:space="preserve"> </w:t>
      </w:r>
      <w:r w:rsidRPr="00D96F9D">
        <w:rPr>
          <w:rFonts w:ascii="Century Gothic" w:hAnsi="Century Gothic"/>
        </w:rPr>
        <w:t>de recursos, planeación, operación del programa y seguimiento y</w:t>
      </w:r>
      <w:r>
        <w:rPr>
          <w:rFonts w:ascii="Century Gothic" w:hAnsi="Century Gothic"/>
        </w:rPr>
        <w:t xml:space="preserve"> evaluación de los recursos.</w:t>
      </w:r>
    </w:p>
    <w:p w14:paraId="1179D725" w14:textId="77777777" w:rsidR="00D96F9D" w:rsidRDefault="00D96F9D" w:rsidP="00D96F9D">
      <w:pPr>
        <w:spacing w:after="240" w:line="276" w:lineRule="auto"/>
        <w:jc w:val="both"/>
        <w:rPr>
          <w:rFonts w:ascii="Century Gothic" w:hAnsi="Century Gothic"/>
        </w:rPr>
      </w:pPr>
      <w:r>
        <w:rPr>
          <w:rFonts w:ascii="Century Gothic" w:hAnsi="Century Gothic"/>
        </w:rPr>
        <w:t>Ante ello la SEIDUR manifestó que desde el año 2014 se cuenta con un proceso de certificación ISO 9001 para algunos procedimientos a desarrollar, sin embargo estos no han sido actualizados.</w:t>
      </w:r>
    </w:p>
    <w:p w14:paraId="0A3F6FE0" w14:textId="77777777" w:rsidR="00D96F9D" w:rsidRPr="006954B3" w:rsidRDefault="00D96F9D" w:rsidP="00D96F9D">
      <w:pPr>
        <w:spacing w:after="240" w:line="276" w:lineRule="auto"/>
        <w:jc w:val="both"/>
        <w:rPr>
          <w:rFonts w:ascii="Century Gothic" w:hAnsi="Century Gothic"/>
        </w:rPr>
      </w:pPr>
      <w:r>
        <w:rPr>
          <w:rFonts w:ascii="Century Gothic" w:hAnsi="Century Gothic"/>
        </w:rPr>
        <w:t>De los que se identificaron se tienen los siguientes:</w:t>
      </w:r>
    </w:p>
    <w:p w14:paraId="3EB39827" w14:textId="77777777" w:rsidR="001649BF" w:rsidRPr="008C5259" w:rsidRDefault="001649BF" w:rsidP="008C5259">
      <w:pPr>
        <w:pStyle w:val="Prrafodelista"/>
        <w:numPr>
          <w:ilvl w:val="0"/>
          <w:numId w:val="18"/>
        </w:numPr>
        <w:spacing w:after="120" w:line="276" w:lineRule="auto"/>
        <w:ind w:left="714" w:hanging="357"/>
        <w:contextualSpacing w:val="0"/>
        <w:jc w:val="both"/>
        <w:rPr>
          <w:rFonts w:ascii="Century Gothic" w:hAnsi="Century Gothic"/>
          <w:lang w:val="es-MX"/>
        </w:rPr>
      </w:pPr>
      <w:r w:rsidRPr="008C5259">
        <w:rPr>
          <w:rFonts w:ascii="Century Gothic" w:hAnsi="Century Gothic"/>
          <w:lang w:val="es-MX"/>
        </w:rPr>
        <w:t>Plan de la calidad para la contratación</w:t>
      </w:r>
    </w:p>
    <w:p w14:paraId="0AE0D75A" w14:textId="77777777" w:rsidR="008C5259" w:rsidRPr="008C5259" w:rsidRDefault="008C5259" w:rsidP="008C5259">
      <w:pPr>
        <w:pStyle w:val="Prrafodelista"/>
        <w:numPr>
          <w:ilvl w:val="0"/>
          <w:numId w:val="18"/>
        </w:numPr>
        <w:spacing w:after="120" w:line="276" w:lineRule="auto"/>
        <w:ind w:left="714" w:hanging="357"/>
        <w:contextualSpacing w:val="0"/>
        <w:jc w:val="both"/>
        <w:rPr>
          <w:rFonts w:ascii="Century Gothic" w:hAnsi="Century Gothic"/>
          <w:lang w:val="es-MX"/>
        </w:rPr>
      </w:pPr>
      <w:r w:rsidRPr="008C5259">
        <w:rPr>
          <w:rFonts w:ascii="Century Gothic" w:hAnsi="Century Gothic"/>
          <w:lang w:val="es-MX"/>
        </w:rPr>
        <w:t>Plan de la calidad para proyectos ejecutivos</w:t>
      </w:r>
    </w:p>
    <w:p w14:paraId="6EB26099" w14:textId="77777777" w:rsidR="008C5259" w:rsidRPr="008C5259" w:rsidRDefault="008C5259" w:rsidP="008C5259">
      <w:pPr>
        <w:pStyle w:val="Prrafodelista"/>
        <w:numPr>
          <w:ilvl w:val="0"/>
          <w:numId w:val="18"/>
        </w:numPr>
        <w:spacing w:after="120" w:line="276" w:lineRule="auto"/>
        <w:ind w:left="714" w:hanging="357"/>
        <w:contextualSpacing w:val="0"/>
        <w:jc w:val="both"/>
        <w:rPr>
          <w:rFonts w:ascii="Century Gothic" w:hAnsi="Century Gothic"/>
          <w:lang w:val="es-MX"/>
        </w:rPr>
      </w:pPr>
      <w:r w:rsidRPr="008C5259">
        <w:rPr>
          <w:rFonts w:ascii="Century Gothic" w:hAnsi="Century Gothic"/>
          <w:lang w:val="es-MX"/>
        </w:rPr>
        <w:t>Plan de la calidad para la ejecución de obra</w:t>
      </w:r>
    </w:p>
    <w:p w14:paraId="4C30C3AB" w14:textId="77777777" w:rsidR="008C5259" w:rsidRPr="008C5259" w:rsidRDefault="008C5259" w:rsidP="008C5259">
      <w:pPr>
        <w:pStyle w:val="Prrafodelista"/>
        <w:numPr>
          <w:ilvl w:val="0"/>
          <w:numId w:val="18"/>
        </w:numPr>
        <w:spacing w:after="240" w:line="276" w:lineRule="auto"/>
        <w:jc w:val="both"/>
        <w:rPr>
          <w:rFonts w:ascii="Century Gothic" w:hAnsi="Century Gothic"/>
          <w:lang w:val="es-MX"/>
        </w:rPr>
      </w:pPr>
      <w:r w:rsidRPr="008C5259">
        <w:rPr>
          <w:rFonts w:ascii="Century Gothic" w:hAnsi="Century Gothic"/>
          <w:lang w:val="es-MX"/>
        </w:rPr>
        <w:t>Procedimiento de Ejecución de Obra Contratada</w:t>
      </w:r>
    </w:p>
    <w:p w14:paraId="05CF5B27" w14:textId="77777777" w:rsidR="008C5259" w:rsidRDefault="00046D23" w:rsidP="001649BF">
      <w:pPr>
        <w:spacing w:after="240" w:line="276" w:lineRule="auto"/>
        <w:jc w:val="both"/>
        <w:rPr>
          <w:rFonts w:ascii="Century Gothic" w:hAnsi="Century Gothic"/>
          <w:lang w:val="es-MX"/>
        </w:rPr>
      </w:pPr>
      <w:r>
        <w:rPr>
          <w:rFonts w:ascii="Century Gothic" w:hAnsi="Century Gothic"/>
          <w:lang w:val="es-MX"/>
        </w:rPr>
        <w:t>Cada uno de estos procesos cuen</w:t>
      </w:r>
      <w:r w:rsidR="00D96F9D">
        <w:rPr>
          <w:rFonts w:ascii="Century Gothic" w:hAnsi="Century Gothic"/>
          <w:lang w:val="es-MX"/>
        </w:rPr>
        <w:t>ta con su documento donde se detalla el objetivo por el que se desarrollaron y su respectivos flujogramas.</w:t>
      </w:r>
    </w:p>
    <w:p w14:paraId="7EE8AD72" w14:textId="77777777" w:rsidR="00046D23" w:rsidRDefault="00046D23" w:rsidP="001649BF">
      <w:pPr>
        <w:spacing w:after="240" w:line="276" w:lineRule="auto"/>
        <w:jc w:val="both"/>
        <w:rPr>
          <w:rFonts w:ascii="Century Gothic" w:hAnsi="Century Gothic"/>
          <w:lang w:val="es-MX"/>
        </w:rPr>
      </w:pPr>
    </w:p>
    <w:p w14:paraId="3F52FD27" w14:textId="77777777" w:rsidR="00046D23" w:rsidRDefault="00046D23" w:rsidP="001649BF">
      <w:pPr>
        <w:spacing w:after="240" w:line="276" w:lineRule="auto"/>
        <w:jc w:val="both"/>
        <w:rPr>
          <w:rFonts w:ascii="Century Gothic" w:hAnsi="Century Gothic"/>
          <w:lang w:val="es-MX"/>
        </w:rPr>
      </w:pPr>
    </w:p>
    <w:p w14:paraId="6DC69C0E" w14:textId="77777777" w:rsidR="00046D23" w:rsidRDefault="00046D23" w:rsidP="001649BF">
      <w:pPr>
        <w:spacing w:after="240" w:line="276" w:lineRule="auto"/>
        <w:jc w:val="both"/>
        <w:rPr>
          <w:rFonts w:ascii="Century Gothic" w:hAnsi="Century Gothic"/>
          <w:lang w:val="es-MX"/>
        </w:rPr>
      </w:pPr>
    </w:p>
    <w:tbl>
      <w:tblPr>
        <w:tblStyle w:val="Tablaconcuadrcula"/>
        <w:tblW w:w="0" w:type="auto"/>
        <w:tblLook w:val="04A0" w:firstRow="1" w:lastRow="0" w:firstColumn="1" w:lastColumn="0" w:noHBand="0" w:noVBand="1"/>
      </w:tblPr>
      <w:tblGrid>
        <w:gridCol w:w="2493"/>
        <w:gridCol w:w="6567"/>
      </w:tblGrid>
      <w:tr w:rsidR="00D96F9D" w:rsidRPr="00046D23" w14:paraId="5F8C85E9" w14:textId="77777777" w:rsidTr="00093EA6">
        <w:trPr>
          <w:trHeight w:val="416"/>
        </w:trPr>
        <w:tc>
          <w:tcPr>
            <w:tcW w:w="9212" w:type="dxa"/>
            <w:gridSpan w:val="2"/>
            <w:shd w:val="clear" w:color="auto" w:fill="0E4E7A"/>
            <w:vAlign w:val="center"/>
          </w:tcPr>
          <w:p w14:paraId="775DAB96" w14:textId="77777777" w:rsidR="00D96F9D" w:rsidRPr="00046D23" w:rsidRDefault="004D49BD" w:rsidP="00046D23">
            <w:pPr>
              <w:jc w:val="center"/>
              <w:rPr>
                <w:rFonts w:cstheme="minorHAnsi"/>
                <w:b/>
              </w:rPr>
            </w:pPr>
            <w:r>
              <w:rPr>
                <w:rFonts w:cstheme="minorHAnsi"/>
                <w:b/>
                <w:color w:val="FFFFFF" w:themeColor="background1"/>
              </w:rPr>
              <w:lastRenderedPageBreak/>
              <w:t>Cuadro 4.1</w:t>
            </w:r>
            <w:r w:rsidR="00046D23" w:rsidRPr="00046D23">
              <w:rPr>
                <w:rFonts w:cstheme="minorHAnsi"/>
                <w:b/>
                <w:color w:val="FFFFFF" w:themeColor="background1"/>
              </w:rPr>
              <w:t>. Procesos certificados y sus objetivos</w:t>
            </w:r>
          </w:p>
        </w:tc>
      </w:tr>
      <w:tr w:rsidR="00D96F9D" w:rsidRPr="00046D23" w14:paraId="19490071" w14:textId="77777777" w:rsidTr="00093EA6">
        <w:trPr>
          <w:trHeight w:val="416"/>
        </w:trPr>
        <w:tc>
          <w:tcPr>
            <w:tcW w:w="2518" w:type="dxa"/>
            <w:shd w:val="clear" w:color="auto" w:fill="0E4E7A"/>
            <w:vAlign w:val="center"/>
          </w:tcPr>
          <w:p w14:paraId="2CFA358E" w14:textId="77777777" w:rsidR="00D96F9D" w:rsidRPr="00046D23" w:rsidRDefault="00046D23" w:rsidP="00046D23">
            <w:pPr>
              <w:jc w:val="center"/>
              <w:rPr>
                <w:rFonts w:cstheme="minorHAnsi"/>
                <w:b/>
                <w:color w:val="FFFFFF" w:themeColor="background1"/>
              </w:rPr>
            </w:pPr>
            <w:r w:rsidRPr="00046D23">
              <w:rPr>
                <w:rFonts w:cstheme="minorHAnsi"/>
                <w:b/>
                <w:color w:val="FFFFFF" w:themeColor="background1"/>
              </w:rPr>
              <w:t>Proceso</w:t>
            </w:r>
          </w:p>
        </w:tc>
        <w:tc>
          <w:tcPr>
            <w:tcW w:w="6694" w:type="dxa"/>
            <w:shd w:val="clear" w:color="auto" w:fill="0E4E7A"/>
            <w:vAlign w:val="center"/>
          </w:tcPr>
          <w:p w14:paraId="15E5505F" w14:textId="77777777" w:rsidR="00D96F9D" w:rsidRPr="00046D23" w:rsidRDefault="00046D23" w:rsidP="00046D23">
            <w:pPr>
              <w:jc w:val="center"/>
              <w:rPr>
                <w:rFonts w:cstheme="minorHAnsi"/>
                <w:b/>
                <w:color w:val="FFFFFF" w:themeColor="background1"/>
              </w:rPr>
            </w:pPr>
            <w:r w:rsidRPr="00046D23">
              <w:rPr>
                <w:rFonts w:cstheme="minorHAnsi"/>
                <w:b/>
                <w:color w:val="FFFFFF" w:themeColor="background1"/>
              </w:rPr>
              <w:t>Objetivo</w:t>
            </w:r>
          </w:p>
        </w:tc>
      </w:tr>
      <w:tr w:rsidR="00D96F9D" w:rsidRPr="00046D23" w14:paraId="49E8C4C2" w14:textId="77777777" w:rsidTr="00093EA6">
        <w:trPr>
          <w:trHeight w:val="2251"/>
        </w:trPr>
        <w:tc>
          <w:tcPr>
            <w:tcW w:w="2518" w:type="dxa"/>
            <w:vAlign w:val="center"/>
          </w:tcPr>
          <w:p w14:paraId="20A29DCF" w14:textId="77777777" w:rsidR="00D96F9D" w:rsidRPr="00046D23" w:rsidRDefault="00046D23" w:rsidP="00093EA6">
            <w:pPr>
              <w:spacing w:after="120" w:line="276" w:lineRule="auto"/>
              <w:jc w:val="both"/>
              <w:rPr>
                <w:rFonts w:cstheme="minorHAnsi"/>
              </w:rPr>
            </w:pPr>
            <w:r w:rsidRPr="00046D23">
              <w:rPr>
                <w:rFonts w:cstheme="minorHAnsi"/>
              </w:rPr>
              <w:t>Plan de la calidad para la contratación</w:t>
            </w:r>
          </w:p>
        </w:tc>
        <w:tc>
          <w:tcPr>
            <w:tcW w:w="6694" w:type="dxa"/>
            <w:vAlign w:val="center"/>
          </w:tcPr>
          <w:p w14:paraId="198CCEDD" w14:textId="77777777" w:rsidR="00D96F9D" w:rsidRPr="00046D23" w:rsidRDefault="00046D23" w:rsidP="00093EA6">
            <w:pPr>
              <w:spacing w:after="120"/>
              <w:jc w:val="both"/>
              <w:rPr>
                <w:rFonts w:cstheme="minorHAnsi"/>
              </w:rPr>
            </w:pPr>
            <w:r w:rsidRPr="00046D23">
              <w:rPr>
                <w:rFonts w:cstheme="minorHAnsi"/>
              </w:rPr>
              <w:t>Formalizar la contratación de Obra Pública, Servicios, Adquisiciones y Arrendamientos a través de las modalidades de Adjudicación Directa, Invitación a cuando menos tres personas y Convocatoria Pública Abierta con aquellas personas físicas o morales que ofrezcan las mejores condiciones económicas y que, a juicio de la Secretaría, cuenten con la capacidad técnica y económica para ejecutar la obra correspondiente de acuerdo a la Normatividad Vigente.</w:t>
            </w:r>
          </w:p>
        </w:tc>
      </w:tr>
      <w:tr w:rsidR="00D96F9D" w:rsidRPr="00046D23" w14:paraId="70DF18E1" w14:textId="77777777" w:rsidTr="00093EA6">
        <w:trPr>
          <w:trHeight w:val="1971"/>
        </w:trPr>
        <w:tc>
          <w:tcPr>
            <w:tcW w:w="2518" w:type="dxa"/>
            <w:vAlign w:val="center"/>
          </w:tcPr>
          <w:p w14:paraId="01D12377" w14:textId="77777777" w:rsidR="00D96F9D" w:rsidRPr="00046D23" w:rsidRDefault="00046D23" w:rsidP="00093EA6">
            <w:pPr>
              <w:spacing w:after="120" w:line="276" w:lineRule="auto"/>
              <w:jc w:val="both"/>
              <w:rPr>
                <w:rFonts w:cstheme="minorHAnsi"/>
              </w:rPr>
            </w:pPr>
            <w:r w:rsidRPr="00046D23">
              <w:rPr>
                <w:rFonts w:cstheme="minorHAnsi"/>
              </w:rPr>
              <w:t>Plan de la calidad para proyectos ejecutivos</w:t>
            </w:r>
          </w:p>
        </w:tc>
        <w:tc>
          <w:tcPr>
            <w:tcW w:w="6694" w:type="dxa"/>
            <w:vAlign w:val="center"/>
          </w:tcPr>
          <w:p w14:paraId="4F4A4FAA" w14:textId="77777777" w:rsidR="00D96F9D" w:rsidRPr="00046D23" w:rsidRDefault="00046D23" w:rsidP="00093EA6">
            <w:pPr>
              <w:spacing w:after="120"/>
              <w:jc w:val="both"/>
              <w:rPr>
                <w:rFonts w:cstheme="minorHAnsi"/>
              </w:rPr>
            </w:pPr>
            <w:r w:rsidRPr="00046D23">
              <w:rPr>
                <w:rFonts w:cstheme="minorHAnsi"/>
              </w:rPr>
              <w:t>Establecer un plan para la elaboración del proyecto ejecutivo, que permita desarrollar de manera eficiente los proyectos que elaboran la Dirección de Proyectos y la Dirección de Caminos. Que el proyecto ejecutivo permita una correcta ejecución de la obra que construye esta Secretaría, evitando que se realicen modificaciones durante la construcción de la obra por causas imputables a un proyecto deficiente.</w:t>
            </w:r>
          </w:p>
        </w:tc>
      </w:tr>
      <w:tr w:rsidR="00D96F9D" w:rsidRPr="00046D23" w14:paraId="46FB325E" w14:textId="77777777" w:rsidTr="00093EA6">
        <w:trPr>
          <w:trHeight w:val="1984"/>
        </w:trPr>
        <w:tc>
          <w:tcPr>
            <w:tcW w:w="2518" w:type="dxa"/>
            <w:vAlign w:val="center"/>
          </w:tcPr>
          <w:p w14:paraId="39CA64B4" w14:textId="77777777" w:rsidR="00D96F9D" w:rsidRPr="00046D23" w:rsidRDefault="00046D23" w:rsidP="00093EA6">
            <w:pPr>
              <w:spacing w:after="120" w:line="276" w:lineRule="auto"/>
              <w:jc w:val="both"/>
              <w:rPr>
                <w:rFonts w:cstheme="minorHAnsi"/>
              </w:rPr>
            </w:pPr>
            <w:r w:rsidRPr="00046D23">
              <w:rPr>
                <w:rFonts w:cstheme="minorHAnsi"/>
              </w:rPr>
              <w:t>Plan de la calidad para la ejecución de obra</w:t>
            </w:r>
          </w:p>
        </w:tc>
        <w:tc>
          <w:tcPr>
            <w:tcW w:w="6694" w:type="dxa"/>
            <w:vAlign w:val="center"/>
          </w:tcPr>
          <w:p w14:paraId="248615B3" w14:textId="77777777" w:rsidR="00D96F9D" w:rsidRPr="00046D23" w:rsidRDefault="00046D23" w:rsidP="00093EA6">
            <w:pPr>
              <w:spacing w:before="40" w:after="120"/>
              <w:jc w:val="both"/>
              <w:rPr>
                <w:rFonts w:cstheme="minorHAnsi"/>
              </w:rPr>
            </w:pPr>
            <w:r w:rsidRPr="00046D23">
              <w:rPr>
                <w:rFonts w:cstheme="minorHAnsi"/>
              </w:rPr>
              <w:t>Supervisar, Controlar y Ejecutar la Obra Pública que realiza la Secretaría de Desarrollo Urbano, buscando la Excelencia y Calidad  respecto  al proyecto ejecutivo, plazos y presupuestos establecidos en el Contrato o Acuerdo, así como el cabal cumplimiento de las Especificaciones Generales de Construcción de la Secretaría de Desarrollo Urbano y la normatividad aplicable.</w:t>
            </w:r>
          </w:p>
        </w:tc>
      </w:tr>
      <w:tr w:rsidR="00D96F9D" w:rsidRPr="00046D23" w14:paraId="697E3685" w14:textId="77777777" w:rsidTr="00093EA6">
        <w:trPr>
          <w:trHeight w:val="1687"/>
        </w:trPr>
        <w:tc>
          <w:tcPr>
            <w:tcW w:w="2518" w:type="dxa"/>
            <w:vAlign w:val="center"/>
          </w:tcPr>
          <w:p w14:paraId="2DC81EC9" w14:textId="77777777" w:rsidR="00D96F9D" w:rsidRPr="00046D23" w:rsidRDefault="00046D23" w:rsidP="00093EA6">
            <w:pPr>
              <w:spacing w:after="120" w:line="276" w:lineRule="auto"/>
              <w:jc w:val="both"/>
              <w:rPr>
                <w:rFonts w:cstheme="minorHAnsi"/>
              </w:rPr>
            </w:pPr>
            <w:r w:rsidRPr="00046D23">
              <w:rPr>
                <w:rFonts w:cstheme="minorHAnsi"/>
              </w:rPr>
              <w:t>Procedimiento de Ejecución de Obra Contratada</w:t>
            </w:r>
          </w:p>
        </w:tc>
        <w:tc>
          <w:tcPr>
            <w:tcW w:w="6694" w:type="dxa"/>
            <w:vAlign w:val="center"/>
          </w:tcPr>
          <w:p w14:paraId="7151C84D" w14:textId="77777777" w:rsidR="00D96F9D" w:rsidRPr="00046D23" w:rsidRDefault="00046D23" w:rsidP="00093EA6">
            <w:pPr>
              <w:spacing w:before="120" w:after="120"/>
              <w:jc w:val="both"/>
              <w:rPr>
                <w:rFonts w:cstheme="minorHAnsi"/>
              </w:rPr>
            </w:pPr>
            <w:r w:rsidRPr="00046D23">
              <w:rPr>
                <w:rFonts w:cstheme="minorHAnsi"/>
                <w:color w:val="000000"/>
              </w:rPr>
              <w:t>Supervisar la ejecución de la Obra Pública, buscando la Excelencia y Calidad respecto al proyecto ejecutivo, plazos y presupuestos establecidos en el Contrato así como el cabal cumplimiento de las Especificaciones Generales de Construcción de la Secretaría de Desarrollo Urbano y la normatividad aplicable.</w:t>
            </w:r>
          </w:p>
        </w:tc>
      </w:tr>
      <w:tr w:rsidR="00046D23" w:rsidRPr="00046D23" w14:paraId="217F08BD" w14:textId="77777777" w:rsidTr="00093EA6">
        <w:trPr>
          <w:trHeight w:val="420"/>
        </w:trPr>
        <w:tc>
          <w:tcPr>
            <w:tcW w:w="9212" w:type="dxa"/>
            <w:gridSpan w:val="2"/>
          </w:tcPr>
          <w:p w14:paraId="29FE7298" w14:textId="77777777" w:rsidR="00046D23" w:rsidRPr="00046D23" w:rsidRDefault="00046D23" w:rsidP="00046D23">
            <w:pPr>
              <w:jc w:val="both"/>
              <w:rPr>
                <w:rFonts w:cstheme="minorHAnsi"/>
              </w:rPr>
            </w:pPr>
            <w:r w:rsidRPr="00046D23">
              <w:rPr>
                <w:rFonts w:cstheme="minorHAnsi"/>
              </w:rPr>
              <w:t>Fuente: Elaboración propia con base en evidencia suministrada por la SEIDUR.</w:t>
            </w:r>
          </w:p>
        </w:tc>
      </w:tr>
    </w:tbl>
    <w:p w14:paraId="217EF422" w14:textId="77777777" w:rsidR="00D96F9D" w:rsidRPr="00F7380E" w:rsidRDefault="00D96F9D" w:rsidP="001649BF">
      <w:pPr>
        <w:spacing w:after="240" w:line="276" w:lineRule="auto"/>
        <w:jc w:val="both"/>
        <w:rPr>
          <w:rFonts w:ascii="Century Gothic" w:hAnsi="Century Gothic"/>
          <w:sz w:val="10"/>
          <w:lang w:val="es-MX"/>
        </w:rPr>
      </w:pPr>
    </w:p>
    <w:p w14:paraId="1E687C0B" w14:textId="77777777" w:rsidR="0092759A" w:rsidRDefault="008B66B5" w:rsidP="00093EA6">
      <w:pPr>
        <w:spacing w:after="240" w:line="276" w:lineRule="auto"/>
        <w:jc w:val="both"/>
        <w:rPr>
          <w:rFonts w:ascii="Century Gothic" w:hAnsi="Century Gothic"/>
        </w:rPr>
      </w:pPr>
      <w:r>
        <w:rPr>
          <w:rFonts w:ascii="Century Gothic" w:hAnsi="Century Gothic"/>
        </w:rPr>
        <w:t xml:space="preserve">Aunado </w:t>
      </w:r>
      <w:r w:rsidR="00FC7676">
        <w:rPr>
          <w:rFonts w:ascii="Century Gothic" w:hAnsi="Century Gothic"/>
        </w:rPr>
        <w:t xml:space="preserve">a estos documentos se </w:t>
      </w:r>
      <w:r w:rsidR="00093EA6">
        <w:rPr>
          <w:rFonts w:ascii="Century Gothic" w:hAnsi="Century Gothic"/>
        </w:rPr>
        <w:t>llevó a cabo</w:t>
      </w:r>
      <w:r w:rsidR="00FC7676">
        <w:rPr>
          <w:rFonts w:ascii="Century Gothic" w:hAnsi="Century Gothic"/>
        </w:rPr>
        <w:t xml:space="preserve"> un</w:t>
      </w:r>
      <w:r w:rsidR="00440C44">
        <w:rPr>
          <w:rFonts w:ascii="Century Gothic" w:hAnsi="Century Gothic"/>
        </w:rPr>
        <w:t xml:space="preserve"> taller </w:t>
      </w:r>
      <w:r w:rsidR="00093EA6" w:rsidRPr="00093EA6">
        <w:rPr>
          <w:rFonts w:ascii="Century Gothic" w:hAnsi="Century Gothic"/>
        </w:rPr>
        <w:t>con funcionarios</w:t>
      </w:r>
      <w:r w:rsidR="00093EA6" w:rsidRPr="004F3AAA">
        <w:rPr>
          <w:rFonts w:ascii="Century Gothic" w:hAnsi="Century Gothic"/>
        </w:rPr>
        <w:t xml:space="preserve"> claves que intervienen en la gestión del programa</w:t>
      </w:r>
      <w:r w:rsidR="00093EA6">
        <w:rPr>
          <w:rFonts w:ascii="Century Gothic" w:hAnsi="Century Gothic"/>
        </w:rPr>
        <w:t xml:space="preserve">, en este </w:t>
      </w:r>
      <w:r w:rsidR="0092759A">
        <w:rPr>
          <w:rFonts w:ascii="Century Gothic" w:hAnsi="Century Gothic"/>
        </w:rPr>
        <w:t xml:space="preserve">participaron las áreas de </w:t>
      </w:r>
      <w:r w:rsidR="00C80AF0" w:rsidRPr="00C80AF0">
        <w:rPr>
          <w:rFonts w:ascii="Century Gothic" w:hAnsi="Century Gothic"/>
        </w:rPr>
        <w:t>Planeación y Finanzas</w:t>
      </w:r>
      <w:r w:rsidR="00C80AF0">
        <w:rPr>
          <w:rFonts w:ascii="Century Gothic" w:hAnsi="Century Gothic"/>
        </w:rPr>
        <w:t xml:space="preserve">, </w:t>
      </w:r>
      <w:r w:rsidR="00093EA6" w:rsidRPr="004F3AAA">
        <w:rPr>
          <w:rFonts w:ascii="Century Gothic" w:hAnsi="Century Gothic" w:cs="Arial"/>
          <w:szCs w:val="28"/>
        </w:rPr>
        <w:t xml:space="preserve">Secretaría de Infraestructura y Desarrollo Urbano </w:t>
      </w:r>
      <w:r w:rsidR="00093EA6">
        <w:rPr>
          <w:rFonts w:ascii="Century Gothic" w:hAnsi="Century Gothic" w:cs="Arial"/>
          <w:szCs w:val="28"/>
        </w:rPr>
        <w:t xml:space="preserve">(SEIDUR) </w:t>
      </w:r>
      <w:r w:rsidR="00093EA6" w:rsidRPr="004F3AAA">
        <w:rPr>
          <w:rFonts w:ascii="Century Gothic" w:hAnsi="Century Gothic" w:cs="Arial"/>
          <w:szCs w:val="28"/>
        </w:rPr>
        <w:t xml:space="preserve">y la </w:t>
      </w:r>
      <w:r w:rsidR="00093EA6" w:rsidRPr="004F3AAA">
        <w:rPr>
          <w:rFonts w:ascii="Century Gothic" w:hAnsi="Century Gothic"/>
        </w:rPr>
        <w:t>Coordinación Administrativa de Obra Pública</w:t>
      </w:r>
      <w:r w:rsidR="00C80AF0">
        <w:rPr>
          <w:rFonts w:ascii="Century Gothic" w:hAnsi="Century Gothic"/>
        </w:rPr>
        <w:t xml:space="preserve">, </w:t>
      </w:r>
      <w:r w:rsidR="00C80AF0" w:rsidRPr="00C80AF0">
        <w:rPr>
          <w:rFonts w:ascii="Century Gothic" w:hAnsi="Century Gothic"/>
        </w:rPr>
        <w:t>SEDESOL</w:t>
      </w:r>
      <w:r w:rsidR="00C80AF0">
        <w:rPr>
          <w:rFonts w:ascii="Century Gothic" w:hAnsi="Century Gothic"/>
        </w:rPr>
        <w:t xml:space="preserve"> y </w:t>
      </w:r>
      <w:r w:rsidR="00C80AF0" w:rsidRPr="00C80AF0">
        <w:rPr>
          <w:rFonts w:ascii="Century Gothic" w:hAnsi="Century Gothic"/>
        </w:rPr>
        <w:t>SEDESCOL</w:t>
      </w:r>
      <w:r w:rsidR="0092759A">
        <w:rPr>
          <w:rFonts w:ascii="Century Gothic" w:hAnsi="Century Gothic"/>
        </w:rPr>
        <w:t xml:space="preserve">, </w:t>
      </w:r>
      <w:r w:rsidR="00FC7676">
        <w:rPr>
          <w:rFonts w:ascii="Century Gothic" w:hAnsi="Century Gothic"/>
        </w:rPr>
        <w:t xml:space="preserve">donde </w:t>
      </w:r>
      <w:r w:rsidR="0092759A">
        <w:rPr>
          <w:rFonts w:ascii="Century Gothic" w:hAnsi="Century Gothic"/>
        </w:rPr>
        <w:t xml:space="preserve">se identificaron puntos cruciales en cada uno de los procesos que se llevan a cabo. </w:t>
      </w:r>
    </w:p>
    <w:p w14:paraId="296B749C" w14:textId="77777777" w:rsidR="00093EA6" w:rsidRDefault="00093EA6" w:rsidP="00093EA6">
      <w:pPr>
        <w:spacing w:after="240" w:line="276" w:lineRule="auto"/>
        <w:jc w:val="both"/>
        <w:rPr>
          <w:rFonts w:ascii="Century Gothic" w:hAnsi="Century Gothic"/>
        </w:rPr>
      </w:pPr>
    </w:p>
    <w:p w14:paraId="1A654A82" w14:textId="77777777" w:rsidR="00093EA6" w:rsidRDefault="00093EA6" w:rsidP="00093EA6">
      <w:pPr>
        <w:spacing w:after="240" w:line="276" w:lineRule="auto"/>
        <w:jc w:val="both"/>
        <w:rPr>
          <w:rFonts w:ascii="Century Gothic" w:hAnsi="Century Gothic"/>
        </w:rPr>
      </w:pPr>
    </w:p>
    <w:p w14:paraId="3AE81BCB" w14:textId="77777777" w:rsidR="00093EA6" w:rsidRPr="00937355" w:rsidRDefault="00093EA6" w:rsidP="00093EA6">
      <w:pPr>
        <w:spacing w:after="240" w:line="276" w:lineRule="auto"/>
        <w:jc w:val="center"/>
        <w:rPr>
          <w:rFonts w:ascii="Century Gothic" w:hAnsi="Century Gothic"/>
          <w:b/>
        </w:rPr>
      </w:pPr>
      <w:r w:rsidRPr="00937355">
        <w:rPr>
          <w:rFonts w:ascii="Century Gothic" w:hAnsi="Century Gothic"/>
          <w:b/>
        </w:rPr>
        <w:lastRenderedPageBreak/>
        <w:t>Fotografías</w:t>
      </w:r>
      <w:r w:rsidR="004D49BD" w:rsidRPr="00937355">
        <w:rPr>
          <w:rFonts w:ascii="Century Gothic" w:hAnsi="Century Gothic"/>
          <w:b/>
        </w:rPr>
        <w:t xml:space="preserve"> 4.1.</w:t>
      </w:r>
      <w:r w:rsidRPr="00937355">
        <w:rPr>
          <w:rFonts w:ascii="Century Gothic" w:hAnsi="Century Gothic"/>
          <w:b/>
        </w:rPr>
        <w:t xml:space="preserve"> Taller con funcionarios</w:t>
      </w:r>
    </w:p>
    <w:p w14:paraId="757F07EB" w14:textId="77777777" w:rsidR="00093EA6" w:rsidRDefault="00CD0C8F" w:rsidP="00CD0C8F">
      <w:pPr>
        <w:spacing w:after="240" w:line="276" w:lineRule="auto"/>
        <w:rPr>
          <w:rFonts w:ascii="Century Gothic" w:hAnsi="Century Gothic"/>
        </w:rPr>
      </w:pPr>
      <w:r>
        <w:rPr>
          <w:rFonts w:ascii="Century Gothic" w:hAnsi="Century Gothic"/>
          <w:noProof/>
          <w:lang w:val="es-MX" w:eastAsia="es-MX"/>
        </w:rPr>
        <mc:AlternateContent>
          <mc:Choice Requires="wps">
            <w:drawing>
              <wp:anchor distT="0" distB="0" distL="114300" distR="114300" simplePos="0" relativeHeight="251663360" behindDoc="0" locked="0" layoutInCell="1" allowOverlap="1" wp14:anchorId="4E1DDD95" wp14:editId="6ACA802F">
                <wp:simplePos x="0" y="0"/>
                <wp:positionH relativeFrom="column">
                  <wp:posOffset>1790655</wp:posOffset>
                </wp:positionH>
                <wp:positionV relativeFrom="paragraph">
                  <wp:posOffset>1901042</wp:posOffset>
                </wp:positionV>
                <wp:extent cx="3721395" cy="2700670"/>
                <wp:effectExtent l="0" t="0" r="0" b="4445"/>
                <wp:wrapNone/>
                <wp:docPr id="7" name="7 Cuadro de texto"/>
                <wp:cNvGraphicFramePr/>
                <a:graphic xmlns:a="http://schemas.openxmlformats.org/drawingml/2006/main">
                  <a:graphicData uri="http://schemas.microsoft.com/office/word/2010/wordprocessingShape">
                    <wps:wsp>
                      <wps:cNvSpPr txBox="1"/>
                      <wps:spPr>
                        <a:xfrm>
                          <a:off x="0" y="0"/>
                          <a:ext cx="3721395" cy="270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2CFA9" w14:textId="77777777" w:rsidR="004F75FB" w:rsidRDefault="004F75FB">
                            <w:r>
                              <w:rPr>
                                <w:rFonts w:ascii="Century Gothic" w:hAnsi="Century Gothic"/>
                                <w:noProof/>
                                <w:lang w:val="es-MX" w:eastAsia="es-MX"/>
                              </w:rPr>
                              <w:drawing>
                                <wp:inline distT="0" distB="0" distL="0" distR="0" wp14:anchorId="6EEF8C80" wp14:editId="76EE09F3">
                                  <wp:extent cx="3487479" cy="261561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08-WA00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3168" cy="26198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DDD95" id="_x0000_t202" coordsize="21600,21600" o:spt="202" path="m,l,21600r21600,l21600,xe">
                <v:stroke joinstyle="miter"/>
                <v:path gradientshapeok="t" o:connecttype="rect"/>
              </v:shapetype>
              <v:shape id="7 Cuadro de texto" o:spid="_x0000_s1026" type="#_x0000_t202" style="position:absolute;margin-left:141pt;margin-top:149.7pt;width:293pt;height:21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" fillcolor="white [3201]" stroked="f" strokeweight=".5pt">
                <v:textbox>
                  <w:txbxContent>
                    <w:p w14:paraId="0592CFA9" w14:textId="77777777" w:rsidR="004F75FB" w:rsidRDefault="004F75FB">
                      <w:r>
                        <w:rPr>
                          <w:rFonts w:ascii="Century Gothic" w:hAnsi="Century Gothic"/>
                          <w:noProof/>
                          <w:lang w:val="es-MX" w:eastAsia="es-MX"/>
                        </w:rPr>
                        <w:drawing>
                          <wp:inline distT="0" distB="0" distL="0" distR="0" wp14:anchorId="6EEF8C80" wp14:editId="76EE09F3">
                            <wp:extent cx="3487479" cy="261561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08-WA0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3168" cy="2619877"/>
                                    </a:xfrm>
                                    <a:prstGeom prst="rect">
                                      <a:avLst/>
                                    </a:prstGeom>
                                  </pic:spPr>
                                </pic:pic>
                              </a:graphicData>
                            </a:graphic>
                          </wp:inline>
                        </w:drawing>
                      </w:r>
                    </w:p>
                  </w:txbxContent>
                </v:textbox>
              </v:shape>
            </w:pict>
          </mc:Fallback>
        </mc:AlternateContent>
      </w:r>
      <w:r w:rsidR="00093EA6">
        <w:rPr>
          <w:rFonts w:ascii="Century Gothic" w:hAnsi="Century Gothic"/>
          <w:noProof/>
          <w:lang w:val="es-MX" w:eastAsia="es-MX"/>
        </w:rPr>
        <w:drawing>
          <wp:inline distT="0" distB="0" distL="0" distR="0" wp14:anchorId="75A469DB" wp14:editId="3F7DEE38">
            <wp:extent cx="3604437" cy="2720590"/>
            <wp:effectExtent l="0" t="0" r="0" b="381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08-WA0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2756" cy="2726869"/>
                    </a:xfrm>
                    <a:prstGeom prst="rect">
                      <a:avLst/>
                    </a:prstGeom>
                  </pic:spPr>
                </pic:pic>
              </a:graphicData>
            </a:graphic>
          </wp:inline>
        </w:drawing>
      </w:r>
    </w:p>
    <w:p w14:paraId="255FC606" w14:textId="77777777" w:rsidR="00CD0C8F" w:rsidRDefault="00CD0C8F" w:rsidP="00CD0C8F">
      <w:pPr>
        <w:spacing w:after="240" w:line="276" w:lineRule="auto"/>
        <w:jc w:val="center"/>
        <w:rPr>
          <w:rFonts w:ascii="Century Gothic" w:hAnsi="Century Gothic"/>
        </w:rPr>
      </w:pPr>
    </w:p>
    <w:p w14:paraId="663C8D33" w14:textId="77777777" w:rsidR="00CD0C8F" w:rsidRDefault="00CD0C8F" w:rsidP="00CD0C8F">
      <w:pPr>
        <w:spacing w:after="240" w:line="276" w:lineRule="auto"/>
        <w:jc w:val="center"/>
        <w:rPr>
          <w:rFonts w:ascii="Century Gothic" w:hAnsi="Century Gothic"/>
        </w:rPr>
      </w:pPr>
    </w:p>
    <w:p w14:paraId="3C01C022" w14:textId="77777777" w:rsidR="00CD0C8F" w:rsidRDefault="00CD0C8F" w:rsidP="00093EA6">
      <w:pPr>
        <w:spacing w:after="240" w:line="276" w:lineRule="auto"/>
        <w:jc w:val="both"/>
        <w:rPr>
          <w:rFonts w:ascii="Century Gothic" w:hAnsi="Century Gothic"/>
        </w:rPr>
      </w:pPr>
    </w:p>
    <w:p w14:paraId="2A34B3B1" w14:textId="77777777" w:rsidR="00CD0C8F" w:rsidRDefault="00CD0C8F" w:rsidP="00093EA6">
      <w:pPr>
        <w:spacing w:after="240" w:line="276" w:lineRule="auto"/>
        <w:jc w:val="both"/>
        <w:rPr>
          <w:rFonts w:ascii="Century Gothic" w:hAnsi="Century Gothic"/>
        </w:rPr>
      </w:pPr>
    </w:p>
    <w:p w14:paraId="42DE50E3" w14:textId="77777777" w:rsidR="00CD0C8F" w:rsidRDefault="00CD0C8F" w:rsidP="00093EA6">
      <w:pPr>
        <w:spacing w:after="240" w:line="276" w:lineRule="auto"/>
        <w:jc w:val="both"/>
        <w:rPr>
          <w:rFonts w:ascii="Century Gothic" w:hAnsi="Century Gothic"/>
        </w:rPr>
      </w:pPr>
    </w:p>
    <w:p w14:paraId="65D1E828" w14:textId="77777777" w:rsidR="00093EA6" w:rsidRDefault="00093EA6" w:rsidP="00093EA6">
      <w:pPr>
        <w:spacing w:after="240" w:line="276" w:lineRule="auto"/>
        <w:jc w:val="both"/>
        <w:rPr>
          <w:rFonts w:ascii="Century Gothic" w:hAnsi="Century Gothic"/>
        </w:rPr>
      </w:pPr>
      <w:r>
        <w:rPr>
          <w:rFonts w:ascii="Century Gothic" w:hAnsi="Century Gothic"/>
        </w:rPr>
        <w:t>Fuente: Tomada por TECSO</w:t>
      </w:r>
    </w:p>
    <w:p w14:paraId="40C4429D" w14:textId="77777777" w:rsidR="008A62A7" w:rsidRDefault="008A62A7" w:rsidP="00093EA6">
      <w:pPr>
        <w:spacing w:after="240" w:line="276" w:lineRule="auto"/>
        <w:jc w:val="both"/>
        <w:rPr>
          <w:rFonts w:ascii="Century Gothic" w:hAnsi="Century Gothic"/>
        </w:rPr>
      </w:pPr>
      <w:r>
        <w:rPr>
          <w:rFonts w:ascii="Century Gothic" w:hAnsi="Century Gothic"/>
        </w:rPr>
        <w:t xml:space="preserve">En el desarrollo de este taller se discutieron cada uno de los procesos establecidos, donde se identificaron vacíos en algunos de ellos, principalmente la falta de contar con un mecanismo que documente cada una de las actividades que se desarrollan. </w:t>
      </w:r>
    </w:p>
    <w:p w14:paraId="443C5315" w14:textId="77777777" w:rsidR="008B66B5" w:rsidRDefault="0092759A" w:rsidP="008A62A7">
      <w:pPr>
        <w:spacing w:after="240" w:line="276" w:lineRule="auto"/>
        <w:jc w:val="both"/>
        <w:rPr>
          <w:rFonts w:ascii="Century Gothic" w:hAnsi="Century Gothic"/>
        </w:rPr>
      </w:pPr>
      <w:r>
        <w:rPr>
          <w:rFonts w:ascii="Century Gothic" w:hAnsi="Century Gothic"/>
        </w:rPr>
        <w:t>Así, c</w:t>
      </w:r>
      <w:r w:rsidR="00D96F9D" w:rsidRPr="008D263C">
        <w:rPr>
          <w:rFonts w:ascii="Century Gothic" w:hAnsi="Century Gothic"/>
        </w:rPr>
        <w:t>on estos elementos se realizó el análisis de los procesos que van desde la asignación de recursos</w:t>
      </w:r>
      <w:r w:rsidR="00D96F9D">
        <w:rPr>
          <w:rFonts w:ascii="Century Gothic" w:hAnsi="Century Gothic"/>
        </w:rPr>
        <w:t>, planeación, ejercicio, seguimiento y control y finalmente la evaluación y Rendición de cuentas.</w:t>
      </w:r>
    </w:p>
    <w:p w14:paraId="594C227F" w14:textId="77777777" w:rsidR="003C38A6" w:rsidRPr="00070A10" w:rsidRDefault="00E84C5A" w:rsidP="00070A10">
      <w:pPr>
        <w:pStyle w:val="Ttulo2"/>
        <w:spacing w:before="0" w:after="240" w:line="276" w:lineRule="auto"/>
        <w:rPr>
          <w:rFonts w:ascii="Century Gothic" w:hAnsi="Century Gothic"/>
          <w:color w:val="0E4E7A"/>
          <w:sz w:val="24"/>
          <w:szCs w:val="24"/>
        </w:rPr>
      </w:pPr>
      <w:bookmarkStart w:id="37" w:name="_Toc511236525"/>
      <w:r>
        <w:rPr>
          <w:rFonts w:ascii="Century Gothic" w:hAnsi="Century Gothic"/>
          <w:color w:val="0E4E7A"/>
          <w:sz w:val="24"/>
          <w:szCs w:val="24"/>
        </w:rPr>
        <w:lastRenderedPageBreak/>
        <w:t>4.1 P</w:t>
      </w:r>
      <w:r w:rsidR="00813636">
        <w:rPr>
          <w:rFonts w:ascii="Century Gothic" w:hAnsi="Century Gothic"/>
          <w:color w:val="0E4E7A"/>
          <w:sz w:val="24"/>
          <w:szCs w:val="24"/>
        </w:rPr>
        <w:t>roceso: Asignación</w:t>
      </w:r>
      <w:r w:rsidR="00AC6A2D">
        <w:rPr>
          <w:rFonts w:ascii="Century Gothic" w:hAnsi="Century Gothic"/>
          <w:color w:val="0E4E7A"/>
          <w:sz w:val="24"/>
          <w:szCs w:val="24"/>
        </w:rPr>
        <w:t xml:space="preserve"> del Recurso</w:t>
      </w:r>
      <w:bookmarkEnd w:id="37"/>
    </w:p>
    <w:p w14:paraId="58D4421E" w14:textId="77777777" w:rsidR="003C38A6" w:rsidRDefault="009F224A" w:rsidP="009F224A">
      <w:pPr>
        <w:spacing w:after="240" w:line="276" w:lineRule="auto"/>
        <w:jc w:val="both"/>
        <w:rPr>
          <w:rFonts w:ascii="Century Gothic" w:hAnsi="Century Gothic"/>
        </w:rPr>
      </w:pPr>
      <w:r w:rsidRPr="009F224A">
        <w:rPr>
          <w:rFonts w:ascii="Century Gothic" w:hAnsi="Century Gothic"/>
        </w:rPr>
        <w:t>Este es el primer procedimiento para el desarrollo de la operación del</w:t>
      </w:r>
      <w:r>
        <w:rPr>
          <w:rFonts w:ascii="Century Gothic" w:hAnsi="Century Gothic"/>
        </w:rPr>
        <w:t xml:space="preserve"> </w:t>
      </w:r>
      <w:r w:rsidRPr="009F224A">
        <w:rPr>
          <w:rFonts w:ascii="Century Gothic" w:hAnsi="Century Gothic"/>
        </w:rPr>
        <w:t xml:space="preserve">programa, </w:t>
      </w:r>
      <w:r>
        <w:rPr>
          <w:rFonts w:ascii="Century Gothic" w:hAnsi="Century Gothic"/>
        </w:rPr>
        <w:t>por lo que es importante contar con el desglose de actividades</w:t>
      </w:r>
      <w:r w:rsidR="00A53A59">
        <w:rPr>
          <w:rFonts w:ascii="Century Gothic" w:hAnsi="Century Gothic"/>
        </w:rPr>
        <w:t>, las cuales se presentan a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8"/>
        <w:gridCol w:w="2649"/>
        <w:gridCol w:w="3484"/>
        <w:gridCol w:w="2299"/>
      </w:tblGrid>
      <w:tr w:rsidR="0053513E" w:rsidRPr="009F224A" w14:paraId="38D32133" w14:textId="77777777" w:rsidTr="00B16CC1">
        <w:trPr>
          <w:trHeight w:val="280"/>
          <w:jc w:val="center"/>
        </w:trPr>
        <w:tc>
          <w:tcPr>
            <w:tcW w:w="5000" w:type="pct"/>
            <w:gridSpan w:val="4"/>
            <w:shd w:val="clear" w:color="auto" w:fill="0E4E7A"/>
            <w:noWrap/>
            <w:vAlign w:val="center"/>
          </w:tcPr>
          <w:p w14:paraId="61F96CE3" w14:textId="77777777" w:rsidR="0053513E" w:rsidRPr="009F224A" w:rsidRDefault="004D49BD" w:rsidP="00BF1265">
            <w:pPr>
              <w:spacing w:after="120"/>
              <w:contextualSpacing/>
              <w:jc w:val="center"/>
              <w:rPr>
                <w:rFonts w:eastAsia="Times New Roman" w:cstheme="minorHAnsi"/>
                <w:b/>
                <w:bCs/>
                <w:color w:val="FFFFFF" w:themeColor="background1"/>
                <w:sz w:val="22"/>
                <w:szCs w:val="22"/>
                <w:lang w:eastAsia="es-MX"/>
              </w:rPr>
            </w:pPr>
            <w:r>
              <w:rPr>
                <w:rFonts w:eastAsia="Times New Roman" w:cstheme="minorHAnsi"/>
                <w:b/>
                <w:bCs/>
                <w:color w:val="FFFFFF" w:themeColor="background1"/>
                <w:sz w:val="22"/>
                <w:szCs w:val="22"/>
                <w:lang w:eastAsia="es-MX"/>
              </w:rPr>
              <w:t>Cuadro 4.2</w:t>
            </w:r>
            <w:r w:rsidR="0053513E">
              <w:rPr>
                <w:rFonts w:eastAsia="Times New Roman" w:cstheme="minorHAnsi"/>
                <w:b/>
                <w:bCs/>
                <w:color w:val="FFFFFF" w:themeColor="background1"/>
                <w:sz w:val="22"/>
                <w:szCs w:val="22"/>
                <w:lang w:eastAsia="es-MX"/>
              </w:rPr>
              <w:t>. Desagregado de Actividades para la Asignación del Recurso</w:t>
            </w:r>
          </w:p>
        </w:tc>
      </w:tr>
      <w:tr w:rsidR="0053513E" w:rsidRPr="009F224A" w14:paraId="33E0A29C" w14:textId="77777777" w:rsidTr="00B16CC1">
        <w:trPr>
          <w:trHeight w:val="286"/>
          <w:jc w:val="center"/>
        </w:trPr>
        <w:tc>
          <w:tcPr>
            <w:tcW w:w="346" w:type="pct"/>
            <w:shd w:val="clear" w:color="auto" w:fill="0E4E7A"/>
            <w:noWrap/>
            <w:vAlign w:val="center"/>
            <w:hideMark/>
          </w:tcPr>
          <w:p w14:paraId="16AD681D" w14:textId="77777777" w:rsidR="0053513E" w:rsidRPr="009F224A" w:rsidRDefault="0053513E" w:rsidP="00BF1265">
            <w:pPr>
              <w:spacing w:after="120"/>
              <w:ind w:left="142"/>
              <w:contextualSpacing/>
              <w:rPr>
                <w:rFonts w:eastAsia="Times New Roman" w:cstheme="minorHAnsi"/>
                <w:b/>
                <w:bCs/>
                <w:color w:val="FFFFFF" w:themeColor="background1"/>
                <w:sz w:val="22"/>
                <w:szCs w:val="22"/>
                <w:lang w:eastAsia="es-MX"/>
              </w:rPr>
            </w:pPr>
            <w:r>
              <w:rPr>
                <w:rFonts w:eastAsia="Times New Roman" w:cstheme="minorHAnsi"/>
                <w:b/>
                <w:bCs/>
                <w:color w:val="FFFFFF" w:themeColor="background1"/>
                <w:sz w:val="22"/>
                <w:szCs w:val="22"/>
                <w:lang w:eastAsia="es-MX"/>
              </w:rPr>
              <w:t>No.</w:t>
            </w:r>
          </w:p>
        </w:tc>
        <w:tc>
          <w:tcPr>
            <w:tcW w:w="1462" w:type="pct"/>
            <w:shd w:val="clear" w:color="auto" w:fill="0E4E7A"/>
            <w:noWrap/>
            <w:vAlign w:val="center"/>
            <w:hideMark/>
          </w:tcPr>
          <w:p w14:paraId="157FD80F" w14:textId="77777777" w:rsidR="0053513E" w:rsidRPr="009F224A" w:rsidRDefault="0053513E" w:rsidP="00BF1265">
            <w:pPr>
              <w:spacing w:after="120"/>
              <w:ind w:left="-70"/>
              <w:contextualSpacing/>
              <w:jc w:val="center"/>
              <w:rPr>
                <w:rFonts w:eastAsia="Times New Roman" w:cstheme="minorHAnsi"/>
                <w:b/>
                <w:bCs/>
                <w:color w:val="FFFFFF" w:themeColor="background1"/>
                <w:sz w:val="22"/>
                <w:szCs w:val="22"/>
                <w:lang w:eastAsia="es-MX"/>
              </w:rPr>
            </w:pPr>
            <w:r w:rsidRPr="009F224A">
              <w:rPr>
                <w:rFonts w:eastAsia="Times New Roman" w:cstheme="minorHAnsi"/>
                <w:b/>
                <w:bCs/>
                <w:color w:val="FFFFFF" w:themeColor="background1"/>
                <w:sz w:val="22"/>
                <w:szCs w:val="22"/>
                <w:lang w:eastAsia="es-MX"/>
              </w:rPr>
              <w:t xml:space="preserve">Nombre del </w:t>
            </w:r>
            <w:r>
              <w:rPr>
                <w:rFonts w:eastAsia="Times New Roman" w:cstheme="minorHAnsi"/>
                <w:b/>
                <w:bCs/>
                <w:color w:val="FFFFFF" w:themeColor="background1"/>
                <w:sz w:val="22"/>
                <w:szCs w:val="22"/>
                <w:lang w:eastAsia="es-MX"/>
              </w:rPr>
              <w:t>Sub-</w:t>
            </w:r>
            <w:r w:rsidRPr="009F224A">
              <w:rPr>
                <w:rFonts w:eastAsia="Times New Roman" w:cstheme="minorHAnsi"/>
                <w:b/>
                <w:bCs/>
                <w:color w:val="FFFFFF" w:themeColor="background1"/>
                <w:sz w:val="22"/>
                <w:szCs w:val="22"/>
                <w:lang w:eastAsia="es-MX"/>
              </w:rPr>
              <w:t>proceso</w:t>
            </w:r>
          </w:p>
        </w:tc>
        <w:tc>
          <w:tcPr>
            <w:tcW w:w="1923" w:type="pct"/>
            <w:shd w:val="clear" w:color="auto" w:fill="0E4E7A"/>
            <w:noWrap/>
            <w:vAlign w:val="center"/>
            <w:hideMark/>
          </w:tcPr>
          <w:p w14:paraId="649081C7" w14:textId="77777777" w:rsidR="0053513E" w:rsidRPr="009F224A" w:rsidRDefault="0053513E" w:rsidP="00BF1265">
            <w:pPr>
              <w:spacing w:after="120"/>
              <w:ind w:left="-49"/>
              <w:contextualSpacing/>
              <w:jc w:val="center"/>
              <w:rPr>
                <w:rFonts w:eastAsia="Times New Roman" w:cstheme="minorHAnsi"/>
                <w:b/>
                <w:bCs/>
                <w:color w:val="FFFFFF" w:themeColor="background1"/>
                <w:sz w:val="22"/>
                <w:szCs w:val="22"/>
                <w:lang w:eastAsia="es-MX"/>
              </w:rPr>
            </w:pPr>
            <w:r w:rsidRPr="009F224A">
              <w:rPr>
                <w:rFonts w:eastAsia="Times New Roman" w:cstheme="minorHAnsi"/>
                <w:b/>
                <w:bCs/>
                <w:color w:val="FFFFFF" w:themeColor="background1"/>
                <w:sz w:val="22"/>
                <w:szCs w:val="22"/>
                <w:lang w:eastAsia="es-MX"/>
              </w:rPr>
              <w:t>Actividades</w:t>
            </w:r>
          </w:p>
        </w:tc>
        <w:tc>
          <w:tcPr>
            <w:tcW w:w="1269" w:type="pct"/>
            <w:shd w:val="clear" w:color="auto" w:fill="0E4E7A"/>
            <w:noWrap/>
            <w:vAlign w:val="center"/>
            <w:hideMark/>
          </w:tcPr>
          <w:p w14:paraId="16CF9054" w14:textId="77777777" w:rsidR="0053513E" w:rsidRPr="009F224A" w:rsidRDefault="0053513E" w:rsidP="00BF1265">
            <w:pPr>
              <w:spacing w:after="120"/>
              <w:contextualSpacing/>
              <w:jc w:val="center"/>
              <w:rPr>
                <w:rFonts w:eastAsia="Times New Roman" w:cstheme="minorHAnsi"/>
                <w:b/>
                <w:bCs/>
                <w:color w:val="FFFFFF" w:themeColor="background1"/>
                <w:sz w:val="22"/>
                <w:szCs w:val="22"/>
                <w:lang w:eastAsia="es-MX"/>
              </w:rPr>
            </w:pPr>
            <w:r w:rsidRPr="009F224A">
              <w:rPr>
                <w:rFonts w:eastAsia="Times New Roman" w:cstheme="minorHAnsi"/>
                <w:b/>
                <w:bCs/>
                <w:color w:val="FFFFFF" w:themeColor="background1"/>
                <w:sz w:val="22"/>
                <w:szCs w:val="22"/>
                <w:lang w:eastAsia="es-MX"/>
              </w:rPr>
              <w:t>Responsable</w:t>
            </w:r>
          </w:p>
        </w:tc>
      </w:tr>
      <w:tr w:rsidR="0053513E" w:rsidRPr="009F224A" w14:paraId="03F51B66" w14:textId="77777777" w:rsidTr="00B16CC1">
        <w:trPr>
          <w:trHeight w:val="685"/>
          <w:jc w:val="center"/>
        </w:trPr>
        <w:tc>
          <w:tcPr>
            <w:tcW w:w="346" w:type="pct"/>
            <w:shd w:val="clear" w:color="auto" w:fill="auto"/>
            <w:noWrap/>
            <w:vAlign w:val="center"/>
            <w:hideMark/>
          </w:tcPr>
          <w:p w14:paraId="4BCB0813" w14:textId="77777777" w:rsidR="0053513E" w:rsidRPr="009F224A" w:rsidRDefault="0053513E" w:rsidP="00BF1265">
            <w:pPr>
              <w:spacing w:after="120"/>
              <w:contextualSpacing/>
              <w:rPr>
                <w:rFonts w:eastAsia="Times New Roman" w:cstheme="minorHAnsi"/>
                <w:color w:val="000000"/>
                <w:sz w:val="22"/>
                <w:szCs w:val="22"/>
                <w:lang w:eastAsia="es-MX"/>
              </w:rPr>
            </w:pPr>
            <w:r w:rsidRPr="009F224A">
              <w:rPr>
                <w:rFonts w:eastAsia="Times New Roman" w:cstheme="minorHAnsi"/>
                <w:color w:val="000000"/>
                <w:sz w:val="22"/>
                <w:szCs w:val="22"/>
                <w:lang w:eastAsia="es-MX"/>
              </w:rPr>
              <w:t>1</w:t>
            </w:r>
          </w:p>
        </w:tc>
        <w:tc>
          <w:tcPr>
            <w:tcW w:w="1462" w:type="pct"/>
            <w:shd w:val="clear" w:color="auto" w:fill="auto"/>
            <w:noWrap/>
            <w:vAlign w:val="center"/>
            <w:hideMark/>
          </w:tcPr>
          <w:p w14:paraId="47018CBB" w14:textId="77777777" w:rsidR="0053513E" w:rsidRPr="009F224A" w:rsidRDefault="0053513E" w:rsidP="00B16CC1">
            <w:pPr>
              <w:spacing w:after="120"/>
              <w:contextualSpacing/>
              <w:jc w:val="both"/>
              <w:rPr>
                <w:rFonts w:eastAsia="Times New Roman" w:cstheme="minorHAnsi"/>
                <w:color w:val="000000"/>
                <w:sz w:val="22"/>
                <w:szCs w:val="22"/>
                <w:lang w:eastAsia="es-MX"/>
              </w:rPr>
            </w:pPr>
            <w:r>
              <w:rPr>
                <w:rFonts w:eastAsia="Times New Roman" w:cstheme="minorHAnsi"/>
                <w:color w:val="000000"/>
                <w:sz w:val="22"/>
                <w:szCs w:val="22"/>
                <w:lang w:eastAsia="es-MX"/>
              </w:rPr>
              <w:t>Calculo del monto del FISE</w:t>
            </w:r>
            <w:r w:rsidRPr="009F224A">
              <w:rPr>
                <w:rFonts w:eastAsia="Times New Roman" w:cstheme="minorHAnsi"/>
                <w:color w:val="000000"/>
                <w:sz w:val="22"/>
                <w:szCs w:val="22"/>
                <w:lang w:eastAsia="es-MX"/>
              </w:rPr>
              <w:t xml:space="preserve"> para el estado de colima</w:t>
            </w:r>
          </w:p>
        </w:tc>
        <w:tc>
          <w:tcPr>
            <w:tcW w:w="1923" w:type="pct"/>
            <w:shd w:val="clear" w:color="auto" w:fill="auto"/>
            <w:noWrap/>
            <w:vAlign w:val="center"/>
            <w:hideMark/>
          </w:tcPr>
          <w:p w14:paraId="2180B4E2" w14:textId="77777777" w:rsidR="0053513E" w:rsidRPr="009F224A" w:rsidRDefault="0053513E" w:rsidP="00B16CC1">
            <w:pPr>
              <w:spacing w:after="120"/>
              <w:contextualSpacing/>
              <w:jc w:val="both"/>
              <w:rPr>
                <w:rFonts w:eastAsia="Times New Roman" w:cstheme="minorHAnsi"/>
                <w:color w:val="000000"/>
                <w:sz w:val="22"/>
                <w:szCs w:val="22"/>
                <w:lang w:eastAsia="es-MX"/>
              </w:rPr>
            </w:pPr>
            <w:r w:rsidRPr="009F224A">
              <w:rPr>
                <w:rFonts w:eastAsia="Times New Roman" w:cstheme="minorHAnsi"/>
                <w:color w:val="000000"/>
                <w:sz w:val="22"/>
                <w:szCs w:val="22"/>
                <w:lang w:eastAsia="es-MX"/>
              </w:rPr>
              <w:t>Realizar calculo mediante la fórmula establecida en la Ley de Coordinación Fiscal</w:t>
            </w:r>
          </w:p>
        </w:tc>
        <w:tc>
          <w:tcPr>
            <w:tcW w:w="1269" w:type="pct"/>
            <w:shd w:val="clear" w:color="auto" w:fill="auto"/>
            <w:noWrap/>
            <w:vAlign w:val="center"/>
            <w:hideMark/>
          </w:tcPr>
          <w:p w14:paraId="61A7F87F" w14:textId="77777777" w:rsidR="0053513E" w:rsidRPr="009F224A" w:rsidRDefault="0053513E" w:rsidP="00B16CC1">
            <w:pPr>
              <w:spacing w:after="120"/>
              <w:contextualSpacing/>
              <w:jc w:val="both"/>
              <w:rPr>
                <w:rFonts w:eastAsia="Times New Roman" w:cstheme="minorHAnsi"/>
                <w:color w:val="000000"/>
                <w:sz w:val="22"/>
                <w:szCs w:val="22"/>
                <w:lang w:eastAsia="es-MX"/>
              </w:rPr>
            </w:pPr>
            <w:r>
              <w:rPr>
                <w:rFonts w:eastAsia="Times New Roman" w:cstheme="minorHAnsi"/>
                <w:color w:val="000000"/>
                <w:sz w:val="22"/>
                <w:szCs w:val="22"/>
                <w:lang w:eastAsia="es-MX"/>
              </w:rPr>
              <w:t>SHCP</w:t>
            </w:r>
          </w:p>
        </w:tc>
      </w:tr>
      <w:tr w:rsidR="0053513E" w:rsidRPr="009F224A" w14:paraId="6115F39D" w14:textId="77777777" w:rsidTr="00B16CC1">
        <w:trPr>
          <w:trHeight w:val="442"/>
          <w:jc w:val="center"/>
        </w:trPr>
        <w:tc>
          <w:tcPr>
            <w:tcW w:w="346" w:type="pct"/>
            <w:shd w:val="clear" w:color="auto" w:fill="auto"/>
            <w:noWrap/>
            <w:vAlign w:val="center"/>
            <w:hideMark/>
          </w:tcPr>
          <w:p w14:paraId="6D28C3CF" w14:textId="77777777" w:rsidR="0053513E" w:rsidRPr="009F224A" w:rsidRDefault="0053513E" w:rsidP="00BF1265">
            <w:pPr>
              <w:spacing w:after="120"/>
              <w:contextualSpacing/>
              <w:rPr>
                <w:rFonts w:eastAsia="Times New Roman" w:cstheme="minorHAnsi"/>
                <w:color w:val="000000"/>
                <w:sz w:val="22"/>
                <w:szCs w:val="22"/>
                <w:lang w:eastAsia="es-MX"/>
              </w:rPr>
            </w:pPr>
            <w:r>
              <w:rPr>
                <w:rFonts w:eastAsia="Times New Roman" w:cstheme="minorHAnsi"/>
                <w:color w:val="000000"/>
                <w:sz w:val="22"/>
                <w:szCs w:val="22"/>
                <w:lang w:eastAsia="es-MX"/>
              </w:rPr>
              <w:t>2</w:t>
            </w:r>
          </w:p>
        </w:tc>
        <w:tc>
          <w:tcPr>
            <w:tcW w:w="1462" w:type="pct"/>
            <w:shd w:val="clear" w:color="auto" w:fill="auto"/>
            <w:noWrap/>
            <w:vAlign w:val="center"/>
            <w:hideMark/>
          </w:tcPr>
          <w:p w14:paraId="4FECDF66" w14:textId="77777777" w:rsidR="0053513E" w:rsidRPr="009F224A" w:rsidRDefault="0053513E" w:rsidP="00B16CC1">
            <w:pPr>
              <w:spacing w:after="120"/>
              <w:contextualSpacing/>
              <w:jc w:val="both"/>
              <w:rPr>
                <w:rFonts w:eastAsia="Times New Roman" w:cstheme="minorHAnsi"/>
                <w:color w:val="000000"/>
                <w:sz w:val="22"/>
                <w:szCs w:val="22"/>
                <w:lang w:eastAsia="es-MX"/>
              </w:rPr>
            </w:pPr>
            <w:r w:rsidRPr="009F224A">
              <w:rPr>
                <w:rFonts w:eastAsia="Times New Roman" w:cstheme="minorHAnsi"/>
                <w:color w:val="000000"/>
                <w:sz w:val="22"/>
                <w:szCs w:val="22"/>
                <w:lang w:eastAsia="es-MX"/>
              </w:rPr>
              <w:t xml:space="preserve">Aprobación del monto para el estado de colima </w:t>
            </w:r>
          </w:p>
        </w:tc>
        <w:tc>
          <w:tcPr>
            <w:tcW w:w="1923" w:type="pct"/>
            <w:shd w:val="clear" w:color="auto" w:fill="auto"/>
            <w:noWrap/>
            <w:vAlign w:val="center"/>
            <w:hideMark/>
          </w:tcPr>
          <w:p w14:paraId="4D4327FE" w14:textId="77777777" w:rsidR="0053513E" w:rsidRPr="009F224A" w:rsidRDefault="0053513E" w:rsidP="00B16CC1">
            <w:pPr>
              <w:spacing w:after="120"/>
              <w:contextualSpacing/>
              <w:jc w:val="both"/>
              <w:rPr>
                <w:rFonts w:eastAsia="Times New Roman" w:cstheme="minorHAnsi"/>
                <w:color w:val="000000"/>
                <w:sz w:val="22"/>
                <w:szCs w:val="22"/>
                <w:lang w:eastAsia="es-MX"/>
              </w:rPr>
            </w:pPr>
            <w:r w:rsidRPr="009F224A">
              <w:rPr>
                <w:rFonts w:eastAsia="Times New Roman" w:cstheme="minorHAnsi"/>
                <w:color w:val="000000"/>
                <w:sz w:val="22"/>
                <w:szCs w:val="22"/>
                <w:lang w:eastAsia="es-MX"/>
              </w:rPr>
              <w:t>Publicación en el diario oficial</w:t>
            </w:r>
          </w:p>
        </w:tc>
        <w:tc>
          <w:tcPr>
            <w:tcW w:w="1269" w:type="pct"/>
            <w:shd w:val="clear" w:color="auto" w:fill="auto"/>
            <w:noWrap/>
            <w:vAlign w:val="center"/>
            <w:hideMark/>
          </w:tcPr>
          <w:p w14:paraId="2462103E" w14:textId="77777777" w:rsidR="0053513E" w:rsidRPr="009F224A" w:rsidRDefault="0053513E" w:rsidP="00B16CC1">
            <w:pPr>
              <w:spacing w:after="120"/>
              <w:contextualSpacing/>
              <w:jc w:val="both"/>
              <w:rPr>
                <w:rFonts w:eastAsia="Times New Roman" w:cstheme="minorHAnsi"/>
                <w:color w:val="000000"/>
                <w:sz w:val="22"/>
                <w:szCs w:val="22"/>
                <w:lang w:eastAsia="es-MX"/>
              </w:rPr>
            </w:pPr>
            <w:r>
              <w:rPr>
                <w:rFonts w:eastAsia="Times New Roman" w:cstheme="minorHAnsi"/>
                <w:color w:val="000000"/>
                <w:sz w:val="22"/>
                <w:szCs w:val="22"/>
                <w:lang w:eastAsia="es-MX"/>
              </w:rPr>
              <w:t>SHCP</w:t>
            </w:r>
          </w:p>
        </w:tc>
      </w:tr>
      <w:tr w:rsidR="0053513E" w:rsidRPr="009F224A" w14:paraId="3E5ADE0A" w14:textId="77777777" w:rsidTr="00B16CC1">
        <w:trPr>
          <w:trHeight w:val="450"/>
          <w:jc w:val="center"/>
        </w:trPr>
        <w:tc>
          <w:tcPr>
            <w:tcW w:w="346" w:type="pct"/>
            <w:shd w:val="clear" w:color="auto" w:fill="auto"/>
            <w:noWrap/>
            <w:vAlign w:val="center"/>
          </w:tcPr>
          <w:p w14:paraId="222FA6C1" w14:textId="77777777" w:rsidR="0053513E" w:rsidRPr="009F224A" w:rsidRDefault="0053513E" w:rsidP="00BF1265">
            <w:pPr>
              <w:spacing w:after="120"/>
              <w:contextualSpacing/>
              <w:rPr>
                <w:rFonts w:eastAsia="Times New Roman" w:cstheme="minorHAnsi"/>
                <w:color w:val="000000"/>
                <w:sz w:val="22"/>
                <w:szCs w:val="22"/>
                <w:lang w:eastAsia="es-MX"/>
              </w:rPr>
            </w:pPr>
            <w:r w:rsidRPr="009F224A">
              <w:rPr>
                <w:rFonts w:eastAsia="Times New Roman" w:cstheme="minorHAnsi"/>
                <w:color w:val="000000"/>
                <w:sz w:val="22"/>
                <w:szCs w:val="22"/>
                <w:lang w:eastAsia="es-MX"/>
              </w:rPr>
              <w:t>3</w:t>
            </w:r>
          </w:p>
        </w:tc>
        <w:tc>
          <w:tcPr>
            <w:tcW w:w="1462" w:type="pct"/>
            <w:shd w:val="clear" w:color="auto" w:fill="auto"/>
            <w:noWrap/>
            <w:vAlign w:val="center"/>
          </w:tcPr>
          <w:p w14:paraId="191CEFFD" w14:textId="77777777" w:rsidR="0053513E" w:rsidRPr="009F224A" w:rsidRDefault="0053513E" w:rsidP="00B16CC1">
            <w:pPr>
              <w:spacing w:after="120"/>
              <w:contextualSpacing/>
              <w:jc w:val="both"/>
              <w:rPr>
                <w:rFonts w:eastAsia="Times New Roman" w:cstheme="minorHAnsi"/>
                <w:color w:val="000000"/>
                <w:sz w:val="22"/>
                <w:szCs w:val="22"/>
                <w:lang w:eastAsia="es-MX"/>
              </w:rPr>
            </w:pPr>
            <w:r w:rsidRPr="009F224A">
              <w:rPr>
                <w:rFonts w:eastAsia="Times New Roman" w:cstheme="minorHAnsi"/>
                <w:color w:val="000000"/>
                <w:sz w:val="22"/>
                <w:szCs w:val="22"/>
                <w:lang w:eastAsia="es-MX"/>
              </w:rPr>
              <w:t>Radicación de recurso</w:t>
            </w:r>
          </w:p>
        </w:tc>
        <w:tc>
          <w:tcPr>
            <w:tcW w:w="1923" w:type="pct"/>
            <w:shd w:val="clear" w:color="auto" w:fill="auto"/>
            <w:noWrap/>
            <w:vAlign w:val="center"/>
          </w:tcPr>
          <w:p w14:paraId="062F8765" w14:textId="77777777" w:rsidR="0053513E" w:rsidRPr="009F224A" w:rsidRDefault="0053513E" w:rsidP="00B16CC1">
            <w:pPr>
              <w:spacing w:after="120"/>
              <w:contextualSpacing/>
              <w:jc w:val="both"/>
              <w:rPr>
                <w:rFonts w:eastAsia="Times New Roman" w:cstheme="minorHAnsi"/>
                <w:color w:val="000000"/>
                <w:sz w:val="22"/>
                <w:szCs w:val="22"/>
                <w:lang w:eastAsia="es-MX"/>
              </w:rPr>
            </w:pPr>
            <w:r w:rsidRPr="009F224A">
              <w:rPr>
                <w:rFonts w:eastAsia="Times New Roman" w:cstheme="minorHAnsi"/>
                <w:color w:val="000000"/>
                <w:sz w:val="22"/>
                <w:szCs w:val="22"/>
                <w:lang w:eastAsia="es-MX"/>
              </w:rPr>
              <w:t>Transferencia al estado de colima en 12° partes (mensual)</w:t>
            </w:r>
          </w:p>
        </w:tc>
        <w:tc>
          <w:tcPr>
            <w:tcW w:w="1269" w:type="pct"/>
            <w:shd w:val="clear" w:color="auto" w:fill="auto"/>
            <w:noWrap/>
            <w:vAlign w:val="center"/>
          </w:tcPr>
          <w:p w14:paraId="6869CFEE" w14:textId="77777777" w:rsidR="0053513E" w:rsidRPr="009F224A" w:rsidRDefault="0053513E" w:rsidP="00B16CC1">
            <w:pPr>
              <w:spacing w:after="120"/>
              <w:contextualSpacing/>
              <w:jc w:val="both"/>
              <w:rPr>
                <w:rFonts w:eastAsia="Times New Roman" w:cstheme="minorHAnsi"/>
                <w:color w:val="000000"/>
                <w:sz w:val="22"/>
                <w:szCs w:val="22"/>
                <w:lang w:eastAsia="es-MX"/>
              </w:rPr>
            </w:pPr>
            <w:r>
              <w:rPr>
                <w:rFonts w:eastAsia="Times New Roman" w:cstheme="minorHAnsi"/>
                <w:color w:val="000000"/>
                <w:sz w:val="22"/>
                <w:szCs w:val="22"/>
                <w:lang w:eastAsia="es-MX"/>
              </w:rPr>
              <w:t>SHCP</w:t>
            </w:r>
          </w:p>
        </w:tc>
      </w:tr>
      <w:tr w:rsidR="0053513E" w:rsidRPr="009F224A" w14:paraId="0FCF51EC" w14:textId="77777777" w:rsidTr="0068322F">
        <w:trPr>
          <w:trHeight w:val="702"/>
          <w:jc w:val="center"/>
        </w:trPr>
        <w:tc>
          <w:tcPr>
            <w:tcW w:w="346" w:type="pct"/>
            <w:shd w:val="clear" w:color="auto" w:fill="F2F2F2" w:themeFill="background1" w:themeFillShade="F2"/>
            <w:noWrap/>
            <w:vAlign w:val="center"/>
          </w:tcPr>
          <w:p w14:paraId="3F04F3C9" w14:textId="77777777" w:rsidR="0053513E" w:rsidRPr="009F224A" w:rsidRDefault="0053513E" w:rsidP="00BF1265">
            <w:pPr>
              <w:spacing w:after="120"/>
              <w:contextualSpacing/>
              <w:rPr>
                <w:rFonts w:eastAsia="Times New Roman" w:cstheme="minorHAnsi"/>
                <w:color w:val="000000"/>
                <w:sz w:val="22"/>
                <w:szCs w:val="22"/>
                <w:lang w:eastAsia="es-MX"/>
              </w:rPr>
            </w:pPr>
            <w:r>
              <w:rPr>
                <w:rFonts w:eastAsia="Times New Roman" w:cstheme="minorHAnsi"/>
                <w:color w:val="000000"/>
                <w:sz w:val="22"/>
                <w:szCs w:val="22"/>
                <w:lang w:eastAsia="es-MX"/>
              </w:rPr>
              <w:t>1</w:t>
            </w:r>
          </w:p>
        </w:tc>
        <w:tc>
          <w:tcPr>
            <w:tcW w:w="1462" w:type="pct"/>
            <w:shd w:val="clear" w:color="auto" w:fill="F2F2F2" w:themeFill="background1" w:themeFillShade="F2"/>
            <w:noWrap/>
            <w:vAlign w:val="center"/>
          </w:tcPr>
          <w:p w14:paraId="3C092ACE" w14:textId="77777777" w:rsidR="0053513E" w:rsidRPr="009F224A" w:rsidRDefault="0053513E" w:rsidP="00B16CC1">
            <w:pPr>
              <w:spacing w:after="120"/>
              <w:contextualSpacing/>
              <w:jc w:val="both"/>
              <w:rPr>
                <w:rFonts w:eastAsia="Times New Roman" w:cstheme="minorHAnsi"/>
                <w:color w:val="000000"/>
                <w:sz w:val="22"/>
                <w:szCs w:val="22"/>
                <w:lang w:eastAsia="es-MX"/>
              </w:rPr>
            </w:pPr>
            <w:r w:rsidRPr="009F224A">
              <w:rPr>
                <w:rFonts w:eastAsia="Times New Roman" w:cstheme="minorHAnsi"/>
                <w:color w:val="000000"/>
                <w:sz w:val="22"/>
                <w:szCs w:val="22"/>
                <w:lang w:eastAsia="es-MX"/>
              </w:rPr>
              <w:t>Recepción del fondo</w:t>
            </w:r>
          </w:p>
        </w:tc>
        <w:tc>
          <w:tcPr>
            <w:tcW w:w="1923" w:type="pct"/>
            <w:shd w:val="clear" w:color="auto" w:fill="F2F2F2" w:themeFill="background1" w:themeFillShade="F2"/>
            <w:noWrap/>
            <w:vAlign w:val="center"/>
          </w:tcPr>
          <w:p w14:paraId="46BBF0EF" w14:textId="77777777" w:rsidR="0053513E" w:rsidRPr="009F224A" w:rsidRDefault="0053513E" w:rsidP="00B16CC1">
            <w:pPr>
              <w:spacing w:after="120"/>
              <w:contextualSpacing/>
              <w:jc w:val="both"/>
              <w:rPr>
                <w:rFonts w:eastAsia="Times New Roman" w:cstheme="minorHAnsi"/>
                <w:color w:val="000000"/>
                <w:sz w:val="22"/>
                <w:szCs w:val="22"/>
                <w:lang w:eastAsia="es-MX"/>
              </w:rPr>
            </w:pPr>
            <w:r w:rsidRPr="009F224A">
              <w:rPr>
                <w:rFonts w:eastAsia="Times New Roman" w:cstheme="minorHAnsi"/>
                <w:color w:val="000000"/>
                <w:sz w:val="22"/>
                <w:szCs w:val="22"/>
                <w:lang w:eastAsia="es-MX"/>
              </w:rPr>
              <w:t>Apertura de cuenta bancaria</w:t>
            </w:r>
          </w:p>
        </w:tc>
        <w:tc>
          <w:tcPr>
            <w:tcW w:w="1269" w:type="pct"/>
            <w:shd w:val="clear" w:color="auto" w:fill="F2F2F2" w:themeFill="background1" w:themeFillShade="F2"/>
            <w:noWrap/>
            <w:vAlign w:val="center"/>
          </w:tcPr>
          <w:p w14:paraId="3316E155" w14:textId="77777777" w:rsidR="0053513E" w:rsidRPr="009F224A" w:rsidRDefault="0053513E" w:rsidP="00B16CC1">
            <w:pPr>
              <w:spacing w:after="120"/>
              <w:contextualSpacing/>
              <w:jc w:val="both"/>
              <w:rPr>
                <w:rFonts w:eastAsia="Times New Roman" w:cstheme="minorHAnsi"/>
                <w:color w:val="000000"/>
                <w:sz w:val="22"/>
                <w:szCs w:val="22"/>
                <w:lang w:eastAsia="es-MX"/>
              </w:rPr>
            </w:pPr>
            <w:r w:rsidRPr="009F224A">
              <w:rPr>
                <w:rFonts w:eastAsia="Times New Roman" w:cstheme="minorHAnsi"/>
                <w:color w:val="000000"/>
                <w:sz w:val="22"/>
                <w:szCs w:val="22"/>
                <w:lang w:eastAsia="es-MX"/>
              </w:rPr>
              <w:t xml:space="preserve">Secretaria de </w:t>
            </w:r>
            <w:r w:rsidR="00203977">
              <w:rPr>
                <w:rFonts w:eastAsia="Times New Roman" w:cstheme="minorHAnsi"/>
                <w:color w:val="000000"/>
                <w:sz w:val="22"/>
                <w:szCs w:val="22"/>
                <w:lang w:eastAsia="es-MX"/>
              </w:rPr>
              <w:t>Finanzas y D</w:t>
            </w:r>
            <w:r w:rsidRPr="009F224A">
              <w:rPr>
                <w:rFonts w:eastAsia="Times New Roman" w:cstheme="minorHAnsi"/>
                <w:color w:val="000000"/>
                <w:sz w:val="22"/>
                <w:szCs w:val="22"/>
                <w:lang w:eastAsia="es-MX"/>
              </w:rPr>
              <w:t>ire</w:t>
            </w:r>
            <w:r w:rsidR="00203977">
              <w:rPr>
                <w:rFonts w:eastAsia="Times New Roman" w:cstheme="minorHAnsi"/>
                <w:color w:val="000000"/>
                <w:sz w:val="22"/>
                <w:szCs w:val="22"/>
                <w:lang w:eastAsia="es-MX"/>
              </w:rPr>
              <w:t>cción de E</w:t>
            </w:r>
            <w:r w:rsidRPr="009F224A">
              <w:rPr>
                <w:rFonts w:eastAsia="Times New Roman" w:cstheme="minorHAnsi"/>
                <w:color w:val="000000"/>
                <w:sz w:val="22"/>
                <w:szCs w:val="22"/>
                <w:lang w:eastAsia="es-MX"/>
              </w:rPr>
              <w:t>gresos</w:t>
            </w:r>
          </w:p>
        </w:tc>
      </w:tr>
      <w:tr w:rsidR="0053513E" w:rsidRPr="009F224A" w14:paraId="5996073C" w14:textId="77777777" w:rsidTr="0068322F">
        <w:trPr>
          <w:trHeight w:val="702"/>
          <w:jc w:val="center"/>
        </w:trPr>
        <w:tc>
          <w:tcPr>
            <w:tcW w:w="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868E9F" w14:textId="77777777" w:rsidR="0053513E" w:rsidRPr="009F224A" w:rsidRDefault="0053513E" w:rsidP="00BF1265">
            <w:pPr>
              <w:spacing w:after="120"/>
              <w:contextualSpacing/>
              <w:rPr>
                <w:rFonts w:eastAsia="Times New Roman" w:cstheme="minorHAnsi"/>
                <w:color w:val="000000"/>
                <w:sz w:val="22"/>
                <w:szCs w:val="22"/>
                <w:lang w:eastAsia="es-MX"/>
              </w:rPr>
            </w:pPr>
            <w:r>
              <w:rPr>
                <w:rFonts w:eastAsia="Times New Roman" w:cstheme="minorHAnsi"/>
                <w:color w:val="000000"/>
                <w:sz w:val="22"/>
                <w:szCs w:val="22"/>
                <w:lang w:eastAsia="es-MX"/>
              </w:rPr>
              <w:t>2</w:t>
            </w:r>
          </w:p>
        </w:tc>
        <w:tc>
          <w:tcPr>
            <w:tcW w:w="14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1A32F8" w14:textId="77777777" w:rsidR="0053513E" w:rsidRPr="009F224A" w:rsidRDefault="0053513E" w:rsidP="00B16CC1">
            <w:pPr>
              <w:spacing w:after="120"/>
              <w:contextualSpacing/>
              <w:jc w:val="both"/>
              <w:rPr>
                <w:rFonts w:eastAsia="Times New Roman" w:cstheme="minorHAnsi"/>
                <w:color w:val="000000"/>
                <w:sz w:val="22"/>
                <w:szCs w:val="22"/>
                <w:lang w:eastAsia="es-MX"/>
              </w:rPr>
            </w:pPr>
            <w:r w:rsidRPr="009F224A">
              <w:rPr>
                <w:rFonts w:eastAsia="Times New Roman" w:cstheme="minorHAnsi"/>
                <w:color w:val="000000"/>
                <w:sz w:val="22"/>
                <w:szCs w:val="22"/>
                <w:lang w:eastAsia="es-MX"/>
              </w:rPr>
              <w:t xml:space="preserve">Designación de montos </w:t>
            </w:r>
          </w:p>
        </w:tc>
        <w:tc>
          <w:tcPr>
            <w:tcW w:w="192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221953" w14:textId="77777777" w:rsidR="0053513E" w:rsidRPr="009F224A" w:rsidRDefault="0053513E" w:rsidP="00B16CC1">
            <w:pPr>
              <w:spacing w:after="120"/>
              <w:contextualSpacing/>
              <w:jc w:val="both"/>
              <w:rPr>
                <w:rFonts w:eastAsia="Times New Roman" w:cstheme="minorHAnsi"/>
                <w:color w:val="000000"/>
                <w:sz w:val="22"/>
                <w:szCs w:val="22"/>
                <w:lang w:eastAsia="es-MX"/>
              </w:rPr>
            </w:pPr>
            <w:r w:rsidRPr="009F224A">
              <w:rPr>
                <w:rFonts w:eastAsia="Times New Roman" w:cstheme="minorHAnsi"/>
                <w:color w:val="000000"/>
                <w:sz w:val="22"/>
                <w:szCs w:val="22"/>
                <w:lang w:eastAsia="es-MX"/>
              </w:rPr>
              <w:t>Por</w:t>
            </w:r>
            <w:r>
              <w:rPr>
                <w:rFonts w:eastAsia="Times New Roman" w:cstheme="minorHAnsi"/>
                <w:color w:val="000000"/>
                <w:sz w:val="22"/>
                <w:szCs w:val="22"/>
                <w:lang w:eastAsia="es-MX"/>
              </w:rPr>
              <w:t xml:space="preserve"> medio del subcomité se designan</w:t>
            </w:r>
            <w:r w:rsidRPr="009F224A">
              <w:rPr>
                <w:rFonts w:eastAsia="Times New Roman" w:cstheme="minorHAnsi"/>
                <w:color w:val="000000"/>
                <w:sz w:val="22"/>
                <w:szCs w:val="22"/>
                <w:lang w:eastAsia="es-MX"/>
              </w:rPr>
              <w:t xml:space="preserve"> las obras a ejercer con el fondo y los montos de cada una de ellas.</w:t>
            </w:r>
          </w:p>
        </w:tc>
        <w:tc>
          <w:tcPr>
            <w:tcW w:w="12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7327F0F" w14:textId="77777777" w:rsidR="0053513E" w:rsidRDefault="0053513E" w:rsidP="00B16CC1">
            <w:pPr>
              <w:spacing w:after="120"/>
              <w:contextualSpacing/>
              <w:jc w:val="both"/>
              <w:rPr>
                <w:rFonts w:eastAsia="Times New Roman" w:cstheme="minorHAnsi"/>
                <w:color w:val="000000"/>
                <w:sz w:val="22"/>
                <w:szCs w:val="22"/>
                <w:lang w:eastAsia="es-MX"/>
              </w:rPr>
            </w:pPr>
            <w:r w:rsidRPr="009F224A">
              <w:rPr>
                <w:rFonts w:eastAsia="Times New Roman" w:cstheme="minorHAnsi"/>
                <w:color w:val="000000"/>
                <w:sz w:val="22"/>
                <w:szCs w:val="22"/>
                <w:lang w:eastAsia="es-MX"/>
              </w:rPr>
              <w:t>Planeación y Finanzas</w:t>
            </w:r>
          </w:p>
          <w:p w14:paraId="174150AC" w14:textId="77777777" w:rsidR="0053513E" w:rsidRPr="009F224A" w:rsidRDefault="0053513E" w:rsidP="00B16CC1">
            <w:pPr>
              <w:spacing w:after="120"/>
              <w:contextualSpacing/>
              <w:jc w:val="both"/>
              <w:rPr>
                <w:rFonts w:eastAsia="Times New Roman" w:cstheme="minorHAnsi"/>
                <w:color w:val="000000"/>
                <w:sz w:val="22"/>
                <w:szCs w:val="22"/>
                <w:lang w:eastAsia="es-MX"/>
              </w:rPr>
            </w:pPr>
            <w:r>
              <w:rPr>
                <w:rFonts w:eastAsia="Times New Roman" w:cstheme="minorHAnsi"/>
                <w:color w:val="000000"/>
                <w:sz w:val="22"/>
                <w:szCs w:val="22"/>
                <w:lang w:eastAsia="es-MX"/>
              </w:rPr>
              <w:t>INSUV</w:t>
            </w:r>
            <w:r w:rsidRPr="009F224A">
              <w:rPr>
                <w:rFonts w:eastAsia="Times New Roman" w:cstheme="minorHAnsi"/>
                <w:color w:val="000000"/>
                <w:sz w:val="22"/>
                <w:szCs w:val="22"/>
                <w:lang w:eastAsia="es-MX"/>
              </w:rPr>
              <w:t>I</w:t>
            </w:r>
            <w:r w:rsidR="00203977">
              <w:rPr>
                <w:rFonts w:eastAsia="Times New Roman" w:cstheme="minorHAnsi"/>
                <w:color w:val="000000"/>
                <w:sz w:val="22"/>
                <w:szCs w:val="22"/>
                <w:lang w:eastAsia="es-MX"/>
              </w:rPr>
              <w:t xml:space="preserve">, </w:t>
            </w:r>
            <w:r w:rsidRPr="009F224A">
              <w:rPr>
                <w:rFonts w:eastAsia="Times New Roman" w:cstheme="minorHAnsi"/>
                <w:color w:val="000000"/>
                <w:sz w:val="22"/>
                <w:szCs w:val="22"/>
                <w:lang w:eastAsia="es-MX"/>
              </w:rPr>
              <w:t>SEIDUR</w:t>
            </w:r>
          </w:p>
          <w:p w14:paraId="3FC09161" w14:textId="77777777" w:rsidR="0053513E" w:rsidRPr="009F224A" w:rsidRDefault="0053513E" w:rsidP="00B16CC1">
            <w:pPr>
              <w:spacing w:after="120"/>
              <w:contextualSpacing/>
              <w:jc w:val="both"/>
              <w:rPr>
                <w:rFonts w:eastAsia="Times New Roman" w:cstheme="minorHAnsi"/>
                <w:color w:val="000000"/>
                <w:sz w:val="22"/>
                <w:szCs w:val="22"/>
                <w:lang w:eastAsia="es-MX"/>
              </w:rPr>
            </w:pPr>
            <w:r w:rsidRPr="009F224A">
              <w:rPr>
                <w:rFonts w:eastAsia="Times New Roman" w:cstheme="minorHAnsi"/>
                <w:color w:val="000000"/>
                <w:sz w:val="22"/>
                <w:szCs w:val="22"/>
                <w:lang w:eastAsia="es-MX"/>
              </w:rPr>
              <w:t>SEDESOL</w:t>
            </w:r>
            <w:r w:rsidR="00203977">
              <w:rPr>
                <w:rFonts w:eastAsia="Times New Roman" w:cstheme="minorHAnsi"/>
                <w:color w:val="000000"/>
                <w:sz w:val="22"/>
                <w:szCs w:val="22"/>
                <w:lang w:eastAsia="es-MX"/>
              </w:rPr>
              <w:t xml:space="preserve">, </w:t>
            </w:r>
            <w:r w:rsidRPr="009F224A">
              <w:rPr>
                <w:rFonts w:eastAsia="Times New Roman" w:cstheme="minorHAnsi"/>
                <w:color w:val="000000"/>
                <w:sz w:val="22"/>
                <w:szCs w:val="22"/>
                <w:lang w:eastAsia="es-MX"/>
              </w:rPr>
              <w:t>SEDESCOL</w:t>
            </w:r>
          </w:p>
        </w:tc>
      </w:tr>
      <w:tr w:rsidR="00BC40B0" w:rsidRPr="009F224A" w14:paraId="04FD217C" w14:textId="77777777" w:rsidTr="00BF1265">
        <w:trPr>
          <w:trHeight w:val="47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A07032" w14:textId="77777777" w:rsidR="00BC40B0" w:rsidRPr="009F224A" w:rsidRDefault="00BC40B0" w:rsidP="00BF1265">
            <w:pPr>
              <w:spacing w:after="120"/>
              <w:contextualSpacing/>
              <w:rPr>
                <w:rFonts w:eastAsia="Times New Roman" w:cstheme="minorHAnsi"/>
                <w:color w:val="000000"/>
                <w:sz w:val="22"/>
                <w:szCs w:val="22"/>
                <w:lang w:eastAsia="es-MX"/>
              </w:rPr>
            </w:pPr>
            <w:r>
              <w:rPr>
                <w:rFonts w:eastAsia="Times New Roman" w:cstheme="minorHAnsi"/>
                <w:color w:val="000000"/>
                <w:sz w:val="22"/>
                <w:szCs w:val="22"/>
                <w:lang w:eastAsia="es-MX"/>
              </w:rPr>
              <w:t xml:space="preserve">Fuente: </w:t>
            </w:r>
            <w:r w:rsidR="00BF1265">
              <w:rPr>
                <w:rFonts w:eastAsia="Times New Roman" w:cstheme="minorHAnsi"/>
                <w:color w:val="000000"/>
                <w:sz w:val="22"/>
                <w:szCs w:val="22"/>
                <w:lang w:eastAsia="es-MX"/>
              </w:rPr>
              <w:t>Elaborado por TECSO con base a información proporcionada por la SEIDUR “Anexo 5”.</w:t>
            </w:r>
          </w:p>
        </w:tc>
      </w:tr>
    </w:tbl>
    <w:p w14:paraId="7DFA3423" w14:textId="77777777" w:rsidR="0076349E" w:rsidRPr="008B66B5" w:rsidRDefault="0076349E" w:rsidP="00813636">
      <w:pPr>
        <w:spacing w:after="240" w:line="276" w:lineRule="auto"/>
        <w:rPr>
          <w:rFonts w:ascii="Century Gothic" w:hAnsi="Century Gothic"/>
          <w:sz w:val="6"/>
        </w:rPr>
      </w:pPr>
    </w:p>
    <w:p w14:paraId="02AF155C" w14:textId="77777777" w:rsidR="0076349E" w:rsidRDefault="0068322F" w:rsidP="0068322F">
      <w:pPr>
        <w:spacing w:after="240" w:line="276" w:lineRule="auto"/>
        <w:jc w:val="both"/>
        <w:rPr>
          <w:rFonts w:ascii="Century Gothic" w:hAnsi="Century Gothic"/>
        </w:rPr>
      </w:pPr>
      <w:r>
        <w:rPr>
          <w:rFonts w:ascii="Century Gothic" w:hAnsi="Century Gothic"/>
        </w:rPr>
        <w:t xml:space="preserve">Al desarrollar dichas actividades en un flujograma se identificaron tres actores claves, la SHCP, La Secretaría de Finanzas del Estado y los Subcomités, estos últimos son quienes </w:t>
      </w:r>
      <w:r w:rsidR="00B16CC1">
        <w:rPr>
          <w:rFonts w:ascii="Century Gothic" w:hAnsi="Century Gothic"/>
        </w:rPr>
        <w:t>designan las obras a ejercer:</w:t>
      </w:r>
      <w:r>
        <w:rPr>
          <w:rFonts w:ascii="Century Gothic" w:hAnsi="Century Gothic"/>
        </w:rPr>
        <w:t xml:space="preserve"> </w:t>
      </w:r>
    </w:p>
    <w:p w14:paraId="11D31A9B" w14:textId="77777777" w:rsidR="001B4EF7" w:rsidRPr="0068322F" w:rsidRDefault="004D49BD" w:rsidP="00B16CC1">
      <w:pPr>
        <w:spacing w:after="120" w:line="276" w:lineRule="auto"/>
        <w:jc w:val="center"/>
        <w:rPr>
          <w:rFonts w:ascii="Century Gothic" w:hAnsi="Century Gothic"/>
          <w:b/>
        </w:rPr>
      </w:pPr>
      <w:r>
        <w:rPr>
          <w:rFonts w:ascii="Century Gothic" w:hAnsi="Century Gothic"/>
          <w:b/>
        </w:rPr>
        <w:t>Figura 4.1</w:t>
      </w:r>
      <w:r w:rsidR="0068322F" w:rsidRPr="0068322F">
        <w:rPr>
          <w:rFonts w:ascii="Century Gothic" w:hAnsi="Century Gothic"/>
          <w:b/>
        </w:rPr>
        <w:t>. Flujograma</w:t>
      </w:r>
      <w:r w:rsidR="0068322F">
        <w:rPr>
          <w:rFonts w:ascii="Century Gothic" w:hAnsi="Century Gothic"/>
          <w:b/>
        </w:rPr>
        <w:t>:</w:t>
      </w:r>
      <w:r w:rsidR="0068322F" w:rsidRPr="0068322F">
        <w:rPr>
          <w:rFonts w:ascii="Century Gothic" w:hAnsi="Century Gothic"/>
          <w:b/>
        </w:rPr>
        <w:t xml:space="preserve"> Asignación del Recurso</w:t>
      </w:r>
    </w:p>
    <w:p w14:paraId="6AB057EB" w14:textId="77777777" w:rsidR="001B4EF7" w:rsidRDefault="001B4EF7" w:rsidP="00B16CC1">
      <w:pPr>
        <w:spacing w:after="120" w:line="276" w:lineRule="auto"/>
        <w:rPr>
          <w:rFonts w:ascii="Century Gothic" w:hAnsi="Century Gothic"/>
        </w:rPr>
      </w:pPr>
      <w:r>
        <w:rPr>
          <w:rFonts w:ascii="Century Gothic" w:hAnsi="Century Gothic"/>
          <w:noProof/>
          <w:lang w:val="es-MX" w:eastAsia="es-MX"/>
        </w:rPr>
        <w:drawing>
          <wp:inline distT="0" distB="0" distL="0" distR="0" wp14:anchorId="5D28B754" wp14:editId="7E0DFB50">
            <wp:extent cx="5772149" cy="263842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6195" cy="2640274"/>
                    </a:xfrm>
                    <a:prstGeom prst="rect">
                      <a:avLst/>
                    </a:prstGeom>
                    <a:noFill/>
                  </pic:spPr>
                </pic:pic>
              </a:graphicData>
            </a:graphic>
          </wp:inline>
        </w:drawing>
      </w:r>
    </w:p>
    <w:p w14:paraId="0A29B847" w14:textId="77777777" w:rsidR="0068322F" w:rsidRDefault="0068322F" w:rsidP="0068322F">
      <w:pPr>
        <w:spacing w:after="240" w:line="276" w:lineRule="auto"/>
        <w:jc w:val="both"/>
        <w:rPr>
          <w:rFonts w:ascii="Century Gothic" w:hAnsi="Century Gothic"/>
        </w:rPr>
      </w:pPr>
      <w:r>
        <w:rPr>
          <w:rFonts w:eastAsia="Times New Roman" w:cstheme="minorHAnsi"/>
          <w:color w:val="000000"/>
          <w:sz w:val="22"/>
          <w:szCs w:val="22"/>
          <w:lang w:eastAsia="es-MX"/>
        </w:rPr>
        <w:t>Fuente: Elaborado por TECSO con base a información proporcionada por la SEIDUR “Anexo 5”.</w:t>
      </w:r>
    </w:p>
    <w:p w14:paraId="7D8F3077" w14:textId="77777777" w:rsidR="0068322F" w:rsidRDefault="0068322F" w:rsidP="00A44175">
      <w:pPr>
        <w:spacing w:after="240" w:line="276" w:lineRule="auto"/>
        <w:jc w:val="both"/>
        <w:rPr>
          <w:rFonts w:ascii="Century Gothic" w:hAnsi="Century Gothic"/>
        </w:rPr>
      </w:pPr>
      <w:r>
        <w:rPr>
          <w:rFonts w:ascii="Century Gothic" w:hAnsi="Century Gothic"/>
        </w:rPr>
        <w:lastRenderedPageBreak/>
        <w:t>En dicho proceso se identificaron dos etapas claves, la primera donde es la SHCP quien hace el cálculo de los montos a asignar a cada estado por concepto del FISE hasta la radicación del recurso. Posteriormente entra el estado como receptor del recurso.</w:t>
      </w:r>
    </w:p>
    <w:p w14:paraId="794339AA" w14:textId="77777777" w:rsidR="0076349E" w:rsidRDefault="00A44175" w:rsidP="00A44175">
      <w:pPr>
        <w:spacing w:after="240" w:line="276" w:lineRule="auto"/>
        <w:jc w:val="both"/>
        <w:rPr>
          <w:rFonts w:ascii="Century Gothic" w:hAnsi="Century Gothic"/>
        </w:rPr>
      </w:pPr>
      <w:r>
        <w:rPr>
          <w:rFonts w:ascii="Century Gothic" w:hAnsi="Century Gothic"/>
        </w:rPr>
        <w:t>Sin em</w:t>
      </w:r>
      <w:r w:rsidRPr="00A44175">
        <w:rPr>
          <w:rFonts w:ascii="Century Gothic" w:hAnsi="Century Gothic"/>
        </w:rPr>
        <w:t>bargo</w:t>
      </w:r>
      <w:r>
        <w:rPr>
          <w:rFonts w:ascii="Century Gothic" w:hAnsi="Century Gothic"/>
        </w:rPr>
        <w:t>,</w:t>
      </w:r>
      <w:r w:rsidRPr="00A44175">
        <w:rPr>
          <w:rFonts w:ascii="Century Gothic" w:hAnsi="Century Gothic"/>
        </w:rPr>
        <w:t xml:space="preserve"> la princi</w:t>
      </w:r>
      <w:r>
        <w:rPr>
          <w:rFonts w:ascii="Century Gothic" w:hAnsi="Century Gothic"/>
        </w:rPr>
        <w:t>pal observación en este proceso</w:t>
      </w:r>
      <w:r w:rsidRPr="00A44175">
        <w:rPr>
          <w:rFonts w:ascii="Century Gothic" w:hAnsi="Century Gothic"/>
        </w:rPr>
        <w:t xml:space="preserve"> según la información suministrada </w:t>
      </w:r>
      <w:r>
        <w:rPr>
          <w:rFonts w:ascii="Century Gothic" w:hAnsi="Century Gothic"/>
        </w:rPr>
        <w:t>es</w:t>
      </w:r>
      <w:r w:rsidRPr="00A44175">
        <w:rPr>
          <w:rFonts w:ascii="Century Gothic" w:hAnsi="Century Gothic"/>
        </w:rPr>
        <w:t xml:space="preserve"> la ausencia de </w:t>
      </w:r>
      <w:r>
        <w:rPr>
          <w:rFonts w:ascii="Century Gothic" w:hAnsi="Century Gothic"/>
        </w:rPr>
        <w:t>un procedimiento  establecido en un manual o documento específico que refleje como es</w:t>
      </w:r>
      <w:r w:rsidRPr="00A44175">
        <w:rPr>
          <w:rFonts w:ascii="Century Gothic" w:hAnsi="Century Gothic"/>
        </w:rPr>
        <w:t xml:space="preserve"> la asignación de recursos específicamente </w:t>
      </w:r>
      <w:r>
        <w:rPr>
          <w:rFonts w:ascii="Century Gothic" w:hAnsi="Century Gothic"/>
        </w:rPr>
        <w:t>d</w:t>
      </w:r>
      <w:r w:rsidRPr="00A44175">
        <w:rPr>
          <w:rFonts w:ascii="Century Gothic" w:hAnsi="Century Gothic"/>
        </w:rPr>
        <w:t>el F</w:t>
      </w:r>
      <w:r>
        <w:rPr>
          <w:rFonts w:ascii="Century Gothic" w:hAnsi="Century Gothic"/>
        </w:rPr>
        <w:t>ISE para las obras a desarrollarse por cada dependencia involucrada.</w:t>
      </w:r>
    </w:p>
    <w:p w14:paraId="23083974" w14:textId="77777777" w:rsidR="00A44175" w:rsidRDefault="00A44175" w:rsidP="00A44175">
      <w:pPr>
        <w:spacing w:after="240" w:line="276" w:lineRule="auto"/>
        <w:jc w:val="both"/>
        <w:rPr>
          <w:rFonts w:ascii="Century Gothic" w:hAnsi="Century Gothic"/>
        </w:rPr>
      </w:pPr>
      <w:r>
        <w:rPr>
          <w:rFonts w:ascii="Century Gothic" w:hAnsi="Century Gothic"/>
        </w:rPr>
        <w:t xml:space="preserve">Aunque en el taller desarrollado con las diferentes áreas se </w:t>
      </w:r>
      <w:r w:rsidR="00A1184D">
        <w:rPr>
          <w:rFonts w:ascii="Century Gothic" w:hAnsi="Century Gothic"/>
        </w:rPr>
        <w:t>comentó</w:t>
      </w:r>
      <w:r>
        <w:rPr>
          <w:rFonts w:ascii="Century Gothic" w:hAnsi="Century Gothic"/>
        </w:rPr>
        <w:t xml:space="preserve"> que </w:t>
      </w:r>
      <w:r w:rsidR="00A1184D">
        <w:rPr>
          <w:rFonts w:ascii="Century Gothic" w:hAnsi="Century Gothic"/>
        </w:rPr>
        <w:t>se realizan reuniones con los subcomités para planear la distribución del recurso, no se cuenta con un documento o flujograma donde se plasmen.</w:t>
      </w:r>
    </w:p>
    <w:p w14:paraId="0D90D303" w14:textId="77777777" w:rsidR="003C38A6" w:rsidRPr="00813636" w:rsidRDefault="00E84C5A" w:rsidP="00813636">
      <w:pPr>
        <w:pStyle w:val="Ttulo2"/>
        <w:spacing w:before="0" w:after="240" w:line="276" w:lineRule="auto"/>
        <w:rPr>
          <w:rFonts w:ascii="Century Gothic" w:hAnsi="Century Gothic"/>
          <w:color w:val="0E4E7A"/>
          <w:sz w:val="24"/>
          <w:szCs w:val="24"/>
        </w:rPr>
      </w:pPr>
      <w:bookmarkStart w:id="38" w:name="_Toc511236526"/>
      <w:r>
        <w:rPr>
          <w:rFonts w:ascii="Century Gothic" w:hAnsi="Century Gothic"/>
          <w:color w:val="0E4E7A"/>
          <w:sz w:val="24"/>
          <w:szCs w:val="24"/>
        </w:rPr>
        <w:t>4.2 P</w:t>
      </w:r>
      <w:r w:rsidR="00813636" w:rsidRPr="00813636">
        <w:rPr>
          <w:rFonts w:ascii="Century Gothic" w:hAnsi="Century Gothic"/>
          <w:color w:val="0E4E7A"/>
          <w:sz w:val="24"/>
          <w:szCs w:val="24"/>
        </w:rPr>
        <w:t>roceso: Planeación</w:t>
      </w:r>
      <w:bookmarkEnd w:id="38"/>
    </w:p>
    <w:p w14:paraId="07FBD297" w14:textId="77777777" w:rsidR="00813636" w:rsidRDefault="000B05F0" w:rsidP="00866AB6">
      <w:pPr>
        <w:spacing w:after="240" w:line="276" w:lineRule="auto"/>
        <w:jc w:val="both"/>
        <w:rPr>
          <w:rFonts w:ascii="Century Gothic" w:hAnsi="Century Gothic"/>
        </w:rPr>
      </w:pPr>
      <w:r>
        <w:rPr>
          <w:rFonts w:ascii="Century Gothic" w:hAnsi="Century Gothic"/>
        </w:rPr>
        <w:t>Entendiendo</w:t>
      </w:r>
      <w:r w:rsidRPr="000B05F0">
        <w:rPr>
          <w:rFonts w:ascii="Century Gothic" w:hAnsi="Century Gothic"/>
        </w:rPr>
        <w:t xml:space="preserve"> por planeación </w:t>
      </w:r>
      <w:r>
        <w:rPr>
          <w:rFonts w:ascii="Century Gothic" w:hAnsi="Century Gothic"/>
        </w:rPr>
        <w:t>como el</w:t>
      </w:r>
      <w:r w:rsidRPr="000B05F0">
        <w:rPr>
          <w:rFonts w:ascii="Century Gothic" w:hAnsi="Century Gothic"/>
        </w:rPr>
        <w:t xml:space="preserve"> proceso</w:t>
      </w:r>
      <w:r>
        <w:rPr>
          <w:rFonts w:ascii="Century Gothic" w:hAnsi="Century Gothic"/>
        </w:rPr>
        <w:t xml:space="preserve"> </w:t>
      </w:r>
      <w:r w:rsidRPr="000B05F0">
        <w:rPr>
          <w:rFonts w:ascii="Century Gothic" w:hAnsi="Century Gothic"/>
        </w:rPr>
        <w:t xml:space="preserve">evolutivo y dinámico de análisis sustentado en </w:t>
      </w:r>
      <w:r>
        <w:rPr>
          <w:rFonts w:ascii="Century Gothic" w:hAnsi="Century Gothic"/>
        </w:rPr>
        <w:t>un diagnóstico</w:t>
      </w:r>
      <w:r w:rsidR="00C11682">
        <w:rPr>
          <w:rFonts w:ascii="Century Gothic" w:hAnsi="Century Gothic"/>
        </w:rPr>
        <w:t xml:space="preserve"> integral de las necesidades del estado</w:t>
      </w:r>
      <w:r>
        <w:rPr>
          <w:rFonts w:ascii="Century Gothic" w:hAnsi="Century Gothic"/>
        </w:rPr>
        <w:t xml:space="preserve">, </w:t>
      </w:r>
      <w:r w:rsidR="00C11682">
        <w:rPr>
          <w:rFonts w:ascii="Century Gothic" w:hAnsi="Century Gothic"/>
        </w:rPr>
        <w:t xml:space="preserve">la elaboración de los </w:t>
      </w:r>
      <w:r w:rsidRPr="00050DA1">
        <w:rPr>
          <w:rFonts w:ascii="Century Gothic" w:hAnsi="Century Gothic"/>
        </w:rPr>
        <w:t>plan</w:t>
      </w:r>
      <w:r>
        <w:rPr>
          <w:rFonts w:ascii="Century Gothic" w:hAnsi="Century Gothic"/>
        </w:rPr>
        <w:t>es</w:t>
      </w:r>
      <w:r w:rsidRPr="00050DA1">
        <w:rPr>
          <w:rFonts w:ascii="Century Gothic" w:hAnsi="Century Gothic"/>
        </w:rPr>
        <w:t xml:space="preserve"> estratégico</w:t>
      </w:r>
      <w:r>
        <w:rPr>
          <w:rFonts w:ascii="Century Gothic" w:hAnsi="Century Gothic"/>
        </w:rPr>
        <w:t>s</w:t>
      </w:r>
      <w:r w:rsidR="00C11682">
        <w:rPr>
          <w:rFonts w:ascii="Century Gothic" w:hAnsi="Century Gothic"/>
        </w:rPr>
        <w:t xml:space="preserve">, </w:t>
      </w:r>
      <w:r w:rsidR="00C11682" w:rsidRPr="00050DA1">
        <w:rPr>
          <w:rFonts w:ascii="Century Gothic" w:hAnsi="Century Gothic"/>
        </w:rPr>
        <w:t>la programación, la presupuestación y la selección de destinatarios del apoyo</w:t>
      </w:r>
      <w:r w:rsidR="00C11682">
        <w:rPr>
          <w:rFonts w:ascii="Century Gothic" w:hAnsi="Century Gothic"/>
        </w:rPr>
        <w:t xml:space="preserve">, </w:t>
      </w:r>
      <w:r w:rsidRPr="000B05F0">
        <w:rPr>
          <w:rFonts w:ascii="Century Gothic" w:hAnsi="Century Gothic"/>
        </w:rPr>
        <w:t>a fin de lograr cambios en los pará</w:t>
      </w:r>
      <w:r w:rsidR="00C11682">
        <w:rPr>
          <w:rFonts w:ascii="Century Gothic" w:hAnsi="Century Gothic"/>
        </w:rPr>
        <w:t>metros de desarrollo</w:t>
      </w:r>
      <w:r w:rsidR="00E66B86">
        <w:rPr>
          <w:rFonts w:ascii="Century Gothic" w:hAnsi="Century Gothic"/>
        </w:rPr>
        <w:t xml:space="preserve"> de infraestructura social</w:t>
      </w:r>
      <w:r w:rsidR="00C11682">
        <w:rPr>
          <w:rFonts w:ascii="Century Gothic" w:hAnsi="Century Gothic"/>
        </w:rPr>
        <w:t>.</w:t>
      </w:r>
    </w:p>
    <w:p w14:paraId="62CA9CAE" w14:textId="77777777" w:rsidR="000B05F0" w:rsidRDefault="00C11682" w:rsidP="00866AB6">
      <w:pPr>
        <w:spacing w:after="240" w:line="276" w:lineRule="auto"/>
        <w:jc w:val="both"/>
        <w:rPr>
          <w:rFonts w:ascii="Century Gothic" w:hAnsi="Century Gothic"/>
        </w:rPr>
      </w:pPr>
      <w:r>
        <w:rPr>
          <w:rFonts w:ascii="Century Gothic" w:hAnsi="Century Gothic"/>
        </w:rPr>
        <w:t xml:space="preserve">En este sentido los recursos particularmente los del FISE </w:t>
      </w:r>
      <w:r w:rsidRPr="00C11682">
        <w:rPr>
          <w:rFonts w:ascii="Century Gothic" w:hAnsi="Century Gothic"/>
        </w:rPr>
        <w:t>deben formar parte de un ejercicio que refleje los objetivos de política</w:t>
      </w:r>
      <w:r>
        <w:rPr>
          <w:rFonts w:ascii="Century Gothic" w:hAnsi="Century Gothic"/>
        </w:rPr>
        <w:t xml:space="preserve"> pública ya establecidos en normatividad específica, que en este caso sería la LCF y los </w:t>
      </w:r>
      <w:r w:rsidRPr="00C11682">
        <w:rPr>
          <w:rFonts w:ascii="Century Gothic" w:hAnsi="Century Gothic"/>
        </w:rPr>
        <w:t>Lineamientos Generales para la Operación del FAIS</w:t>
      </w:r>
      <w:r>
        <w:rPr>
          <w:rFonts w:ascii="Century Gothic" w:hAnsi="Century Gothic"/>
        </w:rPr>
        <w:t>. Así como también tener presente los instrumentos de planeación estatal como el plan de desarrollo y compromisos gubernamentales. Así dicha relación debe estar en función de los problemas asociados  a las carencias de infraestructura social en el estado de Colima.</w:t>
      </w:r>
    </w:p>
    <w:p w14:paraId="11E9B766" w14:textId="77777777" w:rsidR="00E71A4D" w:rsidRDefault="00E71A4D" w:rsidP="00866AB6">
      <w:pPr>
        <w:spacing w:after="240" w:line="276" w:lineRule="auto"/>
        <w:jc w:val="both"/>
        <w:rPr>
          <w:rFonts w:ascii="Century Gothic" w:hAnsi="Century Gothic"/>
        </w:rPr>
      </w:pPr>
      <w:r>
        <w:rPr>
          <w:rFonts w:ascii="Century Gothic" w:hAnsi="Century Gothic"/>
        </w:rPr>
        <w:t xml:space="preserve">Ante ello </w:t>
      </w:r>
      <w:r w:rsidRPr="00E71A4D">
        <w:rPr>
          <w:rFonts w:ascii="Century Gothic" w:hAnsi="Century Gothic"/>
        </w:rPr>
        <w:t>el</w:t>
      </w:r>
      <w:r>
        <w:rPr>
          <w:rFonts w:ascii="Century Gothic" w:hAnsi="Century Gothic"/>
        </w:rPr>
        <w:t xml:space="preserve"> </w:t>
      </w:r>
      <w:r w:rsidRPr="00E71A4D">
        <w:rPr>
          <w:rFonts w:ascii="Century Gothic" w:hAnsi="Century Gothic"/>
        </w:rPr>
        <w:t xml:space="preserve">ejercicio de los recursos </w:t>
      </w:r>
      <w:r>
        <w:rPr>
          <w:rFonts w:ascii="Century Gothic" w:hAnsi="Century Gothic"/>
        </w:rPr>
        <w:t>del FISE</w:t>
      </w:r>
      <w:r w:rsidRPr="00E71A4D">
        <w:rPr>
          <w:rFonts w:ascii="Century Gothic" w:hAnsi="Century Gothic"/>
        </w:rPr>
        <w:t xml:space="preserve"> </w:t>
      </w:r>
      <w:r>
        <w:rPr>
          <w:rFonts w:ascii="Century Gothic" w:hAnsi="Century Gothic"/>
        </w:rPr>
        <w:t>debe</w:t>
      </w:r>
      <w:r w:rsidRPr="00E71A4D">
        <w:rPr>
          <w:rFonts w:ascii="Century Gothic" w:hAnsi="Century Gothic"/>
        </w:rPr>
        <w:t xml:space="preserve"> </w:t>
      </w:r>
      <w:r>
        <w:rPr>
          <w:rFonts w:ascii="Century Gothic" w:hAnsi="Century Gothic"/>
        </w:rPr>
        <w:t>estar orientado</w:t>
      </w:r>
      <w:r w:rsidRPr="00E71A4D">
        <w:rPr>
          <w:rFonts w:ascii="Century Gothic" w:hAnsi="Century Gothic"/>
        </w:rPr>
        <w:t>, según la LCF, a disminuir los problemas de</w:t>
      </w:r>
      <w:r>
        <w:rPr>
          <w:rFonts w:ascii="Century Gothic" w:hAnsi="Century Gothic"/>
        </w:rPr>
        <w:t xml:space="preserve"> </w:t>
      </w:r>
      <w:r w:rsidRPr="00E71A4D">
        <w:rPr>
          <w:rFonts w:ascii="Century Gothic" w:hAnsi="Century Gothic"/>
        </w:rPr>
        <w:t xml:space="preserve">infraestructura social en zonas con mayor </w:t>
      </w:r>
      <w:r>
        <w:rPr>
          <w:rFonts w:ascii="Century Gothic" w:hAnsi="Century Gothic"/>
        </w:rPr>
        <w:t>pobreza extrema y rezago social</w:t>
      </w:r>
      <w:r w:rsidRPr="00E71A4D">
        <w:rPr>
          <w:rFonts w:ascii="Century Gothic" w:hAnsi="Century Gothic"/>
        </w:rPr>
        <w:t>, mediante el financiamiento de obras y acciones de</w:t>
      </w:r>
      <w:r>
        <w:rPr>
          <w:rFonts w:ascii="Century Gothic" w:hAnsi="Century Gothic"/>
        </w:rPr>
        <w:t xml:space="preserve"> </w:t>
      </w:r>
      <w:r w:rsidRPr="00E71A4D">
        <w:rPr>
          <w:rFonts w:ascii="Century Gothic" w:hAnsi="Century Gothic"/>
        </w:rPr>
        <w:t>infraestructura social básica de alcance intermunicipal o regional</w:t>
      </w:r>
      <w:r>
        <w:rPr>
          <w:rFonts w:ascii="Century Gothic" w:hAnsi="Century Gothic"/>
        </w:rPr>
        <w:t>.</w:t>
      </w:r>
    </w:p>
    <w:p w14:paraId="4E2D8504" w14:textId="77777777" w:rsidR="00180A08" w:rsidRDefault="00180A08" w:rsidP="00866AB6">
      <w:pPr>
        <w:spacing w:after="240" w:line="276" w:lineRule="auto"/>
        <w:jc w:val="both"/>
        <w:rPr>
          <w:rFonts w:ascii="Century Gothic" w:hAnsi="Century Gothic"/>
        </w:rPr>
      </w:pPr>
    </w:p>
    <w:p w14:paraId="4354D6CD" w14:textId="77777777" w:rsidR="00E66B86" w:rsidRDefault="00180A08" w:rsidP="00C11682">
      <w:pPr>
        <w:spacing w:after="240" w:line="276" w:lineRule="auto"/>
        <w:jc w:val="both"/>
        <w:rPr>
          <w:rFonts w:ascii="Century Gothic" w:hAnsi="Century Gothic"/>
        </w:rPr>
      </w:pPr>
      <w:r>
        <w:rPr>
          <w:rFonts w:ascii="Century Gothic" w:hAnsi="Century Gothic"/>
        </w:rPr>
        <w:lastRenderedPageBreak/>
        <w:t xml:space="preserve">Bajo este contexto </w:t>
      </w:r>
      <w:r w:rsidR="00E66B86">
        <w:rPr>
          <w:rFonts w:ascii="Century Gothic" w:hAnsi="Century Gothic"/>
        </w:rPr>
        <w:t xml:space="preserve"> se identificaron las siguientes actividades que se llevan a cabo en este proceso:</w:t>
      </w:r>
    </w:p>
    <w:tbl>
      <w:tblPr>
        <w:tblW w:w="5000" w:type="pct"/>
        <w:tblCellMar>
          <w:left w:w="0" w:type="dxa"/>
          <w:right w:w="0" w:type="dxa"/>
        </w:tblCellMar>
        <w:tblLook w:val="04A0" w:firstRow="1" w:lastRow="0" w:firstColumn="1" w:lastColumn="0" w:noHBand="0" w:noVBand="1"/>
      </w:tblPr>
      <w:tblGrid>
        <w:gridCol w:w="590"/>
        <w:gridCol w:w="2389"/>
        <w:gridCol w:w="3412"/>
        <w:gridCol w:w="2659"/>
      </w:tblGrid>
      <w:tr w:rsidR="00E66B86" w:rsidRPr="00E66B86" w14:paraId="193335C2" w14:textId="77777777" w:rsidTr="00180A08">
        <w:trPr>
          <w:trHeight w:val="456"/>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0E4E7A"/>
            <w:tcMar>
              <w:top w:w="15" w:type="dxa"/>
              <w:left w:w="28" w:type="dxa"/>
              <w:bottom w:w="0" w:type="dxa"/>
              <w:right w:w="28" w:type="dxa"/>
            </w:tcMar>
            <w:vAlign w:val="center"/>
          </w:tcPr>
          <w:p w14:paraId="28C142FA" w14:textId="77777777" w:rsidR="00E66B86" w:rsidRPr="00E66B86" w:rsidRDefault="004D49BD" w:rsidP="00E66B86">
            <w:pPr>
              <w:jc w:val="center"/>
              <w:rPr>
                <w:rFonts w:cstheme="minorHAnsi"/>
                <w:b/>
                <w:bCs/>
                <w:color w:val="FFFFFF" w:themeColor="background1"/>
                <w:sz w:val="22"/>
                <w:szCs w:val="22"/>
                <w:lang w:val="es-MX"/>
              </w:rPr>
            </w:pPr>
            <w:r>
              <w:rPr>
                <w:rFonts w:eastAsia="Times New Roman" w:cstheme="minorHAnsi"/>
                <w:b/>
                <w:bCs/>
                <w:color w:val="FFFFFF" w:themeColor="background1"/>
                <w:sz w:val="22"/>
                <w:szCs w:val="22"/>
                <w:lang w:eastAsia="es-MX"/>
              </w:rPr>
              <w:t>Cuadro 4.3</w:t>
            </w:r>
            <w:r w:rsidR="00E66B86">
              <w:rPr>
                <w:rFonts w:eastAsia="Times New Roman" w:cstheme="minorHAnsi"/>
                <w:b/>
                <w:bCs/>
                <w:color w:val="FFFFFF" w:themeColor="background1"/>
                <w:sz w:val="22"/>
                <w:szCs w:val="22"/>
                <w:lang w:eastAsia="es-MX"/>
              </w:rPr>
              <w:t>. Desagregado de Actividades para la Planeación</w:t>
            </w:r>
          </w:p>
        </w:tc>
      </w:tr>
      <w:tr w:rsidR="00E71A4D" w:rsidRPr="00E66B86" w14:paraId="1D174491" w14:textId="77777777" w:rsidTr="00180A08">
        <w:trPr>
          <w:trHeight w:val="375"/>
        </w:trPr>
        <w:tc>
          <w:tcPr>
            <w:tcW w:w="326" w:type="pct"/>
            <w:tcBorders>
              <w:top w:val="single" w:sz="8" w:space="0" w:color="000000"/>
              <w:left w:val="single" w:sz="8" w:space="0" w:color="000000"/>
              <w:bottom w:val="single" w:sz="8" w:space="0" w:color="000000"/>
              <w:right w:val="single" w:sz="8" w:space="0" w:color="000000"/>
            </w:tcBorders>
            <w:shd w:val="clear" w:color="auto" w:fill="0E4E7A"/>
            <w:tcMar>
              <w:top w:w="15" w:type="dxa"/>
              <w:left w:w="28" w:type="dxa"/>
              <w:bottom w:w="0" w:type="dxa"/>
              <w:right w:w="28" w:type="dxa"/>
            </w:tcMar>
            <w:vAlign w:val="center"/>
            <w:hideMark/>
          </w:tcPr>
          <w:p w14:paraId="5CA20B26" w14:textId="77777777" w:rsidR="000075CC" w:rsidRPr="00E66B86" w:rsidRDefault="00E66B86" w:rsidP="00E66B86">
            <w:pPr>
              <w:jc w:val="center"/>
              <w:rPr>
                <w:rFonts w:cstheme="minorHAnsi"/>
                <w:b/>
                <w:color w:val="FFFFFF" w:themeColor="background1"/>
                <w:sz w:val="22"/>
                <w:szCs w:val="22"/>
                <w:lang w:val="es-MX"/>
              </w:rPr>
            </w:pPr>
            <w:r w:rsidRPr="00E66B86">
              <w:rPr>
                <w:rFonts w:cstheme="minorHAnsi"/>
                <w:b/>
                <w:bCs/>
                <w:color w:val="FFFFFF" w:themeColor="background1"/>
                <w:sz w:val="22"/>
                <w:szCs w:val="22"/>
                <w:lang w:val="es-MX"/>
              </w:rPr>
              <w:t>No.</w:t>
            </w:r>
          </w:p>
        </w:tc>
        <w:tc>
          <w:tcPr>
            <w:tcW w:w="1320" w:type="pct"/>
            <w:tcBorders>
              <w:top w:val="single" w:sz="8" w:space="0" w:color="000000"/>
              <w:left w:val="single" w:sz="8" w:space="0" w:color="000000"/>
              <w:bottom w:val="single" w:sz="8" w:space="0" w:color="000000"/>
              <w:right w:val="single" w:sz="8" w:space="0" w:color="000000"/>
            </w:tcBorders>
            <w:shd w:val="clear" w:color="auto" w:fill="0E4E7A"/>
            <w:tcMar>
              <w:top w:w="15" w:type="dxa"/>
              <w:left w:w="28" w:type="dxa"/>
              <w:bottom w:w="0" w:type="dxa"/>
              <w:right w:w="28" w:type="dxa"/>
            </w:tcMar>
            <w:vAlign w:val="center"/>
            <w:hideMark/>
          </w:tcPr>
          <w:p w14:paraId="4F928912" w14:textId="77777777" w:rsidR="000075CC" w:rsidRPr="00E66B86" w:rsidRDefault="00E66B86" w:rsidP="00E66B86">
            <w:pPr>
              <w:jc w:val="center"/>
              <w:rPr>
                <w:rFonts w:cstheme="minorHAnsi"/>
                <w:b/>
                <w:color w:val="FFFFFF" w:themeColor="background1"/>
                <w:sz w:val="22"/>
                <w:szCs w:val="22"/>
                <w:lang w:val="es-MX"/>
              </w:rPr>
            </w:pPr>
            <w:r w:rsidRPr="00E66B86">
              <w:rPr>
                <w:rFonts w:cstheme="minorHAnsi"/>
                <w:b/>
                <w:bCs/>
                <w:color w:val="FFFFFF" w:themeColor="background1"/>
                <w:sz w:val="22"/>
                <w:szCs w:val="22"/>
                <w:lang w:val="es-MX"/>
              </w:rPr>
              <w:t>Nombre del Sub-proceso</w:t>
            </w:r>
          </w:p>
        </w:tc>
        <w:tc>
          <w:tcPr>
            <w:tcW w:w="1885" w:type="pct"/>
            <w:tcBorders>
              <w:top w:val="single" w:sz="8" w:space="0" w:color="000000"/>
              <w:left w:val="single" w:sz="8" w:space="0" w:color="000000"/>
              <w:bottom w:val="single" w:sz="8" w:space="0" w:color="000000"/>
              <w:right w:val="single" w:sz="8" w:space="0" w:color="000000"/>
            </w:tcBorders>
            <w:shd w:val="clear" w:color="auto" w:fill="0E4E7A"/>
            <w:tcMar>
              <w:top w:w="15" w:type="dxa"/>
              <w:left w:w="28" w:type="dxa"/>
              <w:bottom w:w="0" w:type="dxa"/>
              <w:right w:w="28" w:type="dxa"/>
            </w:tcMar>
            <w:vAlign w:val="center"/>
            <w:hideMark/>
          </w:tcPr>
          <w:p w14:paraId="43A15054" w14:textId="77777777" w:rsidR="000075CC" w:rsidRPr="00E66B86" w:rsidRDefault="00E66B86" w:rsidP="00E66B86">
            <w:pPr>
              <w:jc w:val="center"/>
              <w:rPr>
                <w:rFonts w:cstheme="minorHAnsi"/>
                <w:b/>
                <w:color w:val="FFFFFF" w:themeColor="background1"/>
                <w:sz w:val="22"/>
                <w:szCs w:val="22"/>
                <w:lang w:val="es-MX"/>
              </w:rPr>
            </w:pPr>
            <w:r w:rsidRPr="00E66B86">
              <w:rPr>
                <w:rFonts w:cstheme="minorHAnsi"/>
                <w:b/>
                <w:bCs/>
                <w:color w:val="FFFFFF" w:themeColor="background1"/>
                <w:sz w:val="22"/>
                <w:szCs w:val="22"/>
                <w:lang w:val="es-MX"/>
              </w:rPr>
              <w:t>Actividades</w:t>
            </w:r>
          </w:p>
        </w:tc>
        <w:tc>
          <w:tcPr>
            <w:tcW w:w="1469" w:type="pct"/>
            <w:tcBorders>
              <w:top w:val="single" w:sz="8" w:space="0" w:color="000000"/>
              <w:left w:val="single" w:sz="8" w:space="0" w:color="000000"/>
              <w:bottom w:val="single" w:sz="8" w:space="0" w:color="000000"/>
              <w:right w:val="single" w:sz="8" w:space="0" w:color="000000"/>
            </w:tcBorders>
            <w:shd w:val="clear" w:color="auto" w:fill="0E4E7A"/>
            <w:tcMar>
              <w:top w:w="15" w:type="dxa"/>
              <w:left w:w="28" w:type="dxa"/>
              <w:bottom w:w="0" w:type="dxa"/>
              <w:right w:w="28" w:type="dxa"/>
            </w:tcMar>
            <w:vAlign w:val="center"/>
            <w:hideMark/>
          </w:tcPr>
          <w:p w14:paraId="1E9389B9" w14:textId="77777777" w:rsidR="000075CC" w:rsidRPr="00E66B86" w:rsidRDefault="00E66B86" w:rsidP="00E66B86">
            <w:pPr>
              <w:jc w:val="center"/>
              <w:rPr>
                <w:rFonts w:cstheme="minorHAnsi"/>
                <w:b/>
                <w:color w:val="FFFFFF" w:themeColor="background1"/>
                <w:sz w:val="22"/>
                <w:szCs w:val="22"/>
                <w:lang w:val="es-MX"/>
              </w:rPr>
            </w:pPr>
            <w:r w:rsidRPr="00E66B86">
              <w:rPr>
                <w:rFonts w:cstheme="minorHAnsi"/>
                <w:b/>
                <w:bCs/>
                <w:color w:val="FFFFFF" w:themeColor="background1"/>
                <w:sz w:val="22"/>
                <w:szCs w:val="22"/>
                <w:lang w:val="es-MX"/>
              </w:rPr>
              <w:t>Áreas Responsables</w:t>
            </w:r>
          </w:p>
        </w:tc>
      </w:tr>
      <w:tr w:rsidR="00E66B86" w:rsidRPr="00E66B86" w14:paraId="47D01921" w14:textId="77777777" w:rsidTr="00E71A4D">
        <w:trPr>
          <w:trHeight w:val="824"/>
        </w:trPr>
        <w:tc>
          <w:tcPr>
            <w:tcW w:w="326"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0AE37A8" w14:textId="77777777" w:rsidR="000075CC" w:rsidRPr="00E66B86" w:rsidRDefault="00E66B86" w:rsidP="00E66B86">
            <w:pPr>
              <w:jc w:val="center"/>
              <w:rPr>
                <w:rFonts w:cstheme="minorHAnsi"/>
                <w:sz w:val="22"/>
                <w:szCs w:val="22"/>
                <w:lang w:val="es-MX"/>
              </w:rPr>
            </w:pPr>
            <w:r w:rsidRPr="00E66B86">
              <w:rPr>
                <w:rFonts w:cstheme="minorHAnsi"/>
                <w:sz w:val="22"/>
                <w:szCs w:val="22"/>
                <w:lang w:val="es-MX"/>
              </w:rPr>
              <w:t>1</w:t>
            </w:r>
          </w:p>
        </w:tc>
        <w:tc>
          <w:tcPr>
            <w:tcW w:w="1320"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699FEB9"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Reunión de Sub Comité</w:t>
            </w:r>
          </w:p>
        </w:tc>
        <w:tc>
          <w:tcPr>
            <w:tcW w:w="1885"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CCDDF1D"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Calendarización de reuniones anuales.</w:t>
            </w:r>
          </w:p>
        </w:tc>
        <w:tc>
          <w:tcPr>
            <w:tcW w:w="1469"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0F5488F" w14:textId="77777777" w:rsidR="00E66B86" w:rsidRPr="00E66B86" w:rsidRDefault="00E66B86" w:rsidP="00E66B86">
            <w:pPr>
              <w:jc w:val="both"/>
              <w:rPr>
                <w:rFonts w:cstheme="minorHAnsi"/>
                <w:sz w:val="22"/>
                <w:szCs w:val="22"/>
                <w:lang w:val="es-MX"/>
              </w:rPr>
            </w:pPr>
            <w:r w:rsidRPr="00E66B86">
              <w:rPr>
                <w:rFonts w:cstheme="minorHAnsi"/>
                <w:sz w:val="22"/>
                <w:szCs w:val="22"/>
                <w:lang w:val="es-MX"/>
              </w:rPr>
              <w:t>Planeación y finanzas.</w:t>
            </w:r>
          </w:p>
          <w:p w14:paraId="4CED5484"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INSUVI / SEIDUR  / SEDESOL / SEDESCOL</w:t>
            </w:r>
          </w:p>
        </w:tc>
      </w:tr>
      <w:tr w:rsidR="00E66B86" w:rsidRPr="00E66B86" w14:paraId="739FCEF7" w14:textId="77777777" w:rsidTr="00180A08">
        <w:trPr>
          <w:trHeight w:val="1216"/>
        </w:trPr>
        <w:tc>
          <w:tcPr>
            <w:tcW w:w="326"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560E447" w14:textId="77777777" w:rsidR="000075CC" w:rsidRPr="00E66B86" w:rsidRDefault="00E66B86" w:rsidP="00E66B86">
            <w:pPr>
              <w:jc w:val="center"/>
              <w:rPr>
                <w:rFonts w:cstheme="minorHAnsi"/>
                <w:sz w:val="22"/>
                <w:szCs w:val="22"/>
                <w:lang w:val="es-MX"/>
              </w:rPr>
            </w:pPr>
            <w:r w:rsidRPr="00E66B86">
              <w:rPr>
                <w:rFonts w:cstheme="minorHAnsi"/>
                <w:sz w:val="22"/>
                <w:szCs w:val="22"/>
                <w:lang w:val="es-MX"/>
              </w:rPr>
              <w:t>2</w:t>
            </w:r>
          </w:p>
        </w:tc>
        <w:tc>
          <w:tcPr>
            <w:tcW w:w="1320"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12230BD"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Reunión de Sub Comité</w:t>
            </w:r>
          </w:p>
        </w:tc>
        <w:tc>
          <w:tcPr>
            <w:tcW w:w="1885"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7B49E4C"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Designación de monto para cada una de ellas para las diferentes actividades. (% SEIDUR , % INSUVI, etc)</w:t>
            </w:r>
          </w:p>
        </w:tc>
        <w:tc>
          <w:tcPr>
            <w:tcW w:w="1469"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729A911" w14:textId="77777777" w:rsidR="00E66B86" w:rsidRPr="00E66B86" w:rsidRDefault="00E66B86" w:rsidP="00E66B86">
            <w:pPr>
              <w:jc w:val="both"/>
              <w:rPr>
                <w:rFonts w:cstheme="minorHAnsi"/>
                <w:sz w:val="22"/>
                <w:szCs w:val="22"/>
                <w:lang w:val="es-MX"/>
              </w:rPr>
            </w:pPr>
            <w:r w:rsidRPr="00E66B86">
              <w:rPr>
                <w:rFonts w:cstheme="minorHAnsi"/>
                <w:sz w:val="22"/>
                <w:szCs w:val="22"/>
                <w:lang w:val="es-MX"/>
              </w:rPr>
              <w:t>Planeación y Finanzas.</w:t>
            </w:r>
          </w:p>
          <w:p w14:paraId="2447DAC0"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INSUVI / SEIDUR  / SEDESOL / SEDESCOL</w:t>
            </w:r>
          </w:p>
        </w:tc>
      </w:tr>
      <w:tr w:rsidR="00E66B86" w:rsidRPr="00E66B86" w14:paraId="2F2F0C47" w14:textId="77777777" w:rsidTr="00180A08">
        <w:trPr>
          <w:trHeight w:val="681"/>
        </w:trPr>
        <w:tc>
          <w:tcPr>
            <w:tcW w:w="326"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4D3C40E" w14:textId="77777777" w:rsidR="000075CC" w:rsidRPr="00E66B86" w:rsidRDefault="00E66B86" w:rsidP="00E66B86">
            <w:pPr>
              <w:jc w:val="center"/>
              <w:rPr>
                <w:rFonts w:cstheme="minorHAnsi"/>
                <w:sz w:val="22"/>
                <w:szCs w:val="22"/>
                <w:lang w:val="es-MX"/>
              </w:rPr>
            </w:pPr>
            <w:r w:rsidRPr="00E66B86">
              <w:rPr>
                <w:rFonts w:cstheme="minorHAnsi"/>
                <w:sz w:val="22"/>
                <w:szCs w:val="22"/>
                <w:lang w:val="es-MX"/>
              </w:rPr>
              <w:t>3</w:t>
            </w:r>
          </w:p>
        </w:tc>
        <w:tc>
          <w:tcPr>
            <w:tcW w:w="1320"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B151D55"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Distribución de recurso</w:t>
            </w:r>
          </w:p>
        </w:tc>
        <w:tc>
          <w:tcPr>
            <w:tcW w:w="1885"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4133453"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Análisis de Plan de desarrollo estatal y compromisos gubernamentales.</w:t>
            </w:r>
          </w:p>
        </w:tc>
        <w:tc>
          <w:tcPr>
            <w:tcW w:w="1469"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FCB23F3"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 xml:space="preserve">SEIDUR: Secretaria técnica </w:t>
            </w:r>
          </w:p>
        </w:tc>
      </w:tr>
      <w:tr w:rsidR="00E66B86" w:rsidRPr="00E66B86" w14:paraId="1C22515B" w14:textId="77777777" w:rsidTr="00180A08">
        <w:trPr>
          <w:trHeight w:val="960"/>
        </w:trPr>
        <w:tc>
          <w:tcPr>
            <w:tcW w:w="326"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AF6C1F5" w14:textId="77777777" w:rsidR="000075CC" w:rsidRPr="00E66B86" w:rsidRDefault="00E66B86" w:rsidP="00E66B86">
            <w:pPr>
              <w:jc w:val="center"/>
              <w:rPr>
                <w:rFonts w:cstheme="minorHAnsi"/>
                <w:sz w:val="22"/>
                <w:szCs w:val="22"/>
                <w:lang w:val="es-MX"/>
              </w:rPr>
            </w:pPr>
            <w:r w:rsidRPr="00E66B86">
              <w:rPr>
                <w:rFonts w:cstheme="minorHAnsi"/>
                <w:sz w:val="22"/>
                <w:szCs w:val="22"/>
                <w:lang w:val="es-MX"/>
              </w:rPr>
              <w:t>4</w:t>
            </w:r>
          </w:p>
        </w:tc>
        <w:tc>
          <w:tcPr>
            <w:tcW w:w="1320"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77B9664"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Distribución de recurso</w:t>
            </w:r>
          </w:p>
        </w:tc>
        <w:tc>
          <w:tcPr>
            <w:tcW w:w="1885"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B45519F"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Verificar que las obras cuenten con las características marcadas por el FISE.</w:t>
            </w:r>
          </w:p>
        </w:tc>
        <w:tc>
          <w:tcPr>
            <w:tcW w:w="1469"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D590BB1"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 xml:space="preserve">SEIDUR: Secretaria técnica </w:t>
            </w:r>
          </w:p>
        </w:tc>
      </w:tr>
      <w:tr w:rsidR="00E66B86" w:rsidRPr="00E66B86" w14:paraId="435A7C10" w14:textId="77777777" w:rsidTr="00180A08">
        <w:trPr>
          <w:trHeight w:val="1244"/>
        </w:trPr>
        <w:tc>
          <w:tcPr>
            <w:tcW w:w="326"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B97D18B" w14:textId="77777777" w:rsidR="000075CC" w:rsidRPr="00E66B86" w:rsidRDefault="00E66B86" w:rsidP="00E66B86">
            <w:pPr>
              <w:jc w:val="center"/>
              <w:rPr>
                <w:rFonts w:cstheme="minorHAnsi"/>
                <w:sz w:val="22"/>
                <w:szCs w:val="22"/>
                <w:lang w:val="es-MX"/>
              </w:rPr>
            </w:pPr>
            <w:r w:rsidRPr="00E66B86">
              <w:rPr>
                <w:rFonts w:cstheme="minorHAnsi"/>
                <w:sz w:val="22"/>
                <w:szCs w:val="22"/>
                <w:lang w:val="es-MX"/>
              </w:rPr>
              <w:t>5</w:t>
            </w:r>
          </w:p>
        </w:tc>
        <w:tc>
          <w:tcPr>
            <w:tcW w:w="1320"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A4EB842"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Presupuesto</w:t>
            </w:r>
          </w:p>
        </w:tc>
        <w:tc>
          <w:tcPr>
            <w:tcW w:w="1885"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8FF9211" w14:textId="77777777" w:rsidR="00E66B86" w:rsidRPr="00E66B86" w:rsidRDefault="00E66B86" w:rsidP="00E66B86">
            <w:pPr>
              <w:jc w:val="both"/>
              <w:rPr>
                <w:rFonts w:cstheme="minorHAnsi"/>
                <w:sz w:val="22"/>
                <w:szCs w:val="22"/>
                <w:lang w:val="es-MX"/>
              </w:rPr>
            </w:pPr>
            <w:r w:rsidRPr="00E66B86">
              <w:rPr>
                <w:rFonts w:cstheme="minorHAnsi"/>
                <w:sz w:val="22"/>
                <w:szCs w:val="22"/>
                <w:lang w:val="es-MX"/>
              </w:rPr>
              <w:t>Elaboración de documentos.</w:t>
            </w:r>
          </w:p>
          <w:p w14:paraId="7F938B0F" w14:textId="77777777" w:rsidR="00E66B86" w:rsidRPr="00E66B86" w:rsidRDefault="00E66B86" w:rsidP="00E66B86">
            <w:pPr>
              <w:jc w:val="both"/>
              <w:rPr>
                <w:rFonts w:cstheme="minorHAnsi"/>
                <w:sz w:val="22"/>
                <w:szCs w:val="22"/>
                <w:lang w:val="es-MX"/>
              </w:rPr>
            </w:pPr>
            <w:r w:rsidRPr="00E66B86">
              <w:rPr>
                <w:rFonts w:cstheme="minorHAnsi"/>
                <w:sz w:val="22"/>
                <w:szCs w:val="22"/>
                <w:lang w:val="es-MX"/>
              </w:rPr>
              <w:t>-ficha técnica de presupuesto.</w:t>
            </w:r>
          </w:p>
          <w:p w14:paraId="5A4ACC70" w14:textId="77777777" w:rsidR="00E66B86" w:rsidRPr="00E66B86" w:rsidRDefault="00E66B86" w:rsidP="00E66B86">
            <w:pPr>
              <w:jc w:val="both"/>
              <w:rPr>
                <w:rFonts w:cstheme="minorHAnsi"/>
                <w:sz w:val="22"/>
                <w:szCs w:val="22"/>
                <w:lang w:val="es-MX"/>
              </w:rPr>
            </w:pPr>
            <w:r w:rsidRPr="00E66B86">
              <w:rPr>
                <w:rFonts w:cstheme="minorHAnsi"/>
                <w:sz w:val="22"/>
                <w:szCs w:val="22"/>
                <w:lang w:val="es-MX"/>
              </w:rPr>
              <w:t>-Programa operativo anual.</w:t>
            </w:r>
          </w:p>
          <w:p w14:paraId="0291C69F"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-adecuación de presupuesto</w:t>
            </w:r>
          </w:p>
        </w:tc>
        <w:tc>
          <w:tcPr>
            <w:tcW w:w="1469"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D7D84C0"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SEIDUR: Coordinación administrativa de obra publica</w:t>
            </w:r>
          </w:p>
        </w:tc>
      </w:tr>
      <w:tr w:rsidR="00E66B86" w:rsidRPr="00E66B86" w14:paraId="0B677DAC" w14:textId="77777777" w:rsidTr="00180A08">
        <w:trPr>
          <w:trHeight w:val="680"/>
        </w:trPr>
        <w:tc>
          <w:tcPr>
            <w:tcW w:w="326"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1565925" w14:textId="77777777" w:rsidR="000075CC" w:rsidRPr="00E66B86" w:rsidRDefault="00E66B86" w:rsidP="00E66B86">
            <w:pPr>
              <w:jc w:val="center"/>
              <w:rPr>
                <w:rFonts w:cstheme="minorHAnsi"/>
                <w:sz w:val="22"/>
                <w:szCs w:val="22"/>
                <w:lang w:val="es-MX"/>
              </w:rPr>
            </w:pPr>
            <w:r w:rsidRPr="00E66B86">
              <w:rPr>
                <w:rFonts w:cstheme="minorHAnsi"/>
                <w:sz w:val="22"/>
                <w:szCs w:val="22"/>
                <w:lang w:val="es-MX"/>
              </w:rPr>
              <w:t>6</w:t>
            </w:r>
          </w:p>
        </w:tc>
        <w:tc>
          <w:tcPr>
            <w:tcW w:w="1320"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8A6800F"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Proceso de pago.</w:t>
            </w:r>
          </w:p>
        </w:tc>
        <w:tc>
          <w:tcPr>
            <w:tcW w:w="1885"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68BB250"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Dar de alta en el sistema los proyectos a realizar.</w:t>
            </w:r>
          </w:p>
        </w:tc>
        <w:tc>
          <w:tcPr>
            <w:tcW w:w="1469" w:type="pct"/>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8449DD3" w14:textId="77777777" w:rsidR="000075CC" w:rsidRPr="00E66B86" w:rsidRDefault="00E66B86" w:rsidP="00E66B86">
            <w:pPr>
              <w:jc w:val="both"/>
              <w:rPr>
                <w:rFonts w:cstheme="minorHAnsi"/>
                <w:sz w:val="22"/>
                <w:szCs w:val="22"/>
                <w:lang w:val="es-MX"/>
              </w:rPr>
            </w:pPr>
            <w:r w:rsidRPr="00E66B86">
              <w:rPr>
                <w:rFonts w:cstheme="minorHAnsi"/>
                <w:sz w:val="22"/>
                <w:szCs w:val="22"/>
                <w:lang w:val="es-MX"/>
              </w:rPr>
              <w:t>Secretaria de Finanzas</w:t>
            </w:r>
          </w:p>
        </w:tc>
      </w:tr>
      <w:tr w:rsidR="00E66B86" w:rsidRPr="00E66B86" w14:paraId="4FAE2661" w14:textId="77777777" w:rsidTr="00E66B86">
        <w:trPr>
          <w:trHeight w:val="403"/>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14:paraId="1C4CF70B" w14:textId="77777777" w:rsidR="00E66B86" w:rsidRPr="00E66B86" w:rsidRDefault="00E66B86" w:rsidP="00E66B86">
            <w:pPr>
              <w:jc w:val="both"/>
              <w:rPr>
                <w:rFonts w:cstheme="minorHAnsi"/>
                <w:sz w:val="22"/>
                <w:szCs w:val="22"/>
                <w:lang w:val="es-MX"/>
              </w:rPr>
            </w:pPr>
            <w:r>
              <w:rPr>
                <w:rFonts w:eastAsia="Times New Roman" w:cstheme="minorHAnsi"/>
                <w:color w:val="000000"/>
                <w:sz w:val="22"/>
                <w:szCs w:val="22"/>
                <w:lang w:eastAsia="es-MX"/>
              </w:rPr>
              <w:t>Fuente: Elaborado por TECSO con base a información proporcionada por la SEIDUR “Anexo 5”.</w:t>
            </w:r>
          </w:p>
        </w:tc>
      </w:tr>
    </w:tbl>
    <w:p w14:paraId="670338B8" w14:textId="77777777" w:rsidR="00E66B86" w:rsidRPr="00E66B86" w:rsidRDefault="00E66B86" w:rsidP="00C11682">
      <w:pPr>
        <w:spacing w:after="240" w:line="276" w:lineRule="auto"/>
        <w:jc w:val="both"/>
        <w:rPr>
          <w:rFonts w:ascii="Century Gothic" w:hAnsi="Century Gothic"/>
          <w:sz w:val="2"/>
        </w:rPr>
      </w:pPr>
    </w:p>
    <w:p w14:paraId="01A3D0C0" w14:textId="77777777" w:rsidR="008A62A7" w:rsidRDefault="008A62A7" w:rsidP="00C11682">
      <w:pPr>
        <w:spacing w:after="240" w:line="276" w:lineRule="auto"/>
        <w:jc w:val="both"/>
        <w:rPr>
          <w:rFonts w:ascii="Century Gothic" w:hAnsi="Century Gothic"/>
        </w:rPr>
      </w:pPr>
      <w:r>
        <w:rPr>
          <w:rFonts w:ascii="Century Gothic" w:hAnsi="Century Gothic"/>
        </w:rPr>
        <w:t xml:space="preserve">Al ver dicho proceso en un flujograma </w:t>
      </w:r>
      <w:r w:rsidR="00CB4CDE">
        <w:rPr>
          <w:rFonts w:ascii="Century Gothic" w:hAnsi="Century Gothic"/>
        </w:rPr>
        <w:t>se</w:t>
      </w:r>
      <w:r w:rsidR="00F01068">
        <w:rPr>
          <w:rFonts w:ascii="Century Gothic" w:hAnsi="Century Gothic"/>
        </w:rPr>
        <w:t xml:space="preserve"> </w:t>
      </w:r>
      <w:r w:rsidR="00CB4CDE">
        <w:rPr>
          <w:rFonts w:ascii="Century Gothic" w:hAnsi="Century Gothic"/>
        </w:rPr>
        <w:t>identificaron los actores involucrados</w:t>
      </w:r>
      <w:r w:rsidR="00F01068">
        <w:rPr>
          <w:rFonts w:ascii="Century Gothic" w:hAnsi="Century Gothic"/>
        </w:rPr>
        <w:t>, así como puntualmente algunos vacíos principalmente en cómo se toma la decisión de que obras se van a llevar a cabo, tal como se detalla en la siguiente figura:</w:t>
      </w:r>
      <w:r w:rsidR="00CB4CDE">
        <w:rPr>
          <w:rFonts w:ascii="Century Gothic" w:hAnsi="Century Gothic"/>
        </w:rPr>
        <w:t xml:space="preserve"> </w:t>
      </w:r>
    </w:p>
    <w:p w14:paraId="048C0A6E" w14:textId="77777777" w:rsidR="00180A08" w:rsidRDefault="00180A08" w:rsidP="00C11682">
      <w:pPr>
        <w:spacing w:after="240" w:line="276" w:lineRule="auto"/>
        <w:jc w:val="both"/>
        <w:rPr>
          <w:rFonts w:ascii="Century Gothic" w:hAnsi="Century Gothic"/>
        </w:rPr>
      </w:pPr>
    </w:p>
    <w:p w14:paraId="0B78C5AD" w14:textId="77777777" w:rsidR="00180A08" w:rsidRDefault="00180A08" w:rsidP="00C11682">
      <w:pPr>
        <w:spacing w:after="240" w:line="276" w:lineRule="auto"/>
        <w:jc w:val="both"/>
        <w:rPr>
          <w:rFonts w:ascii="Century Gothic" w:hAnsi="Century Gothic"/>
        </w:rPr>
      </w:pPr>
    </w:p>
    <w:p w14:paraId="33444729" w14:textId="77777777" w:rsidR="00180A08" w:rsidRDefault="00180A08" w:rsidP="00C11682">
      <w:pPr>
        <w:spacing w:after="240" w:line="276" w:lineRule="auto"/>
        <w:jc w:val="both"/>
        <w:rPr>
          <w:rFonts w:ascii="Century Gothic" w:hAnsi="Century Gothic"/>
        </w:rPr>
      </w:pPr>
    </w:p>
    <w:p w14:paraId="5D6ACB23" w14:textId="77777777" w:rsidR="00180A08" w:rsidRDefault="00180A08" w:rsidP="00C11682">
      <w:pPr>
        <w:spacing w:after="240" w:line="276" w:lineRule="auto"/>
        <w:jc w:val="both"/>
        <w:rPr>
          <w:rFonts w:ascii="Century Gothic" w:hAnsi="Century Gothic"/>
        </w:rPr>
      </w:pPr>
    </w:p>
    <w:p w14:paraId="64FFE890" w14:textId="77777777" w:rsidR="00180A08" w:rsidRDefault="00180A08" w:rsidP="00C11682">
      <w:pPr>
        <w:spacing w:after="240" w:line="276" w:lineRule="auto"/>
        <w:jc w:val="both"/>
        <w:rPr>
          <w:rFonts w:ascii="Century Gothic" w:hAnsi="Century Gothic"/>
        </w:rPr>
      </w:pPr>
    </w:p>
    <w:p w14:paraId="4889B6E7" w14:textId="77777777" w:rsidR="00CB4CDE" w:rsidRPr="00F01068" w:rsidRDefault="004D49BD" w:rsidP="00F01068">
      <w:pPr>
        <w:spacing w:after="120" w:line="276" w:lineRule="auto"/>
        <w:jc w:val="center"/>
        <w:rPr>
          <w:rFonts w:ascii="Century Gothic" w:hAnsi="Century Gothic"/>
          <w:b/>
        </w:rPr>
      </w:pPr>
      <w:r>
        <w:rPr>
          <w:rFonts w:ascii="Century Gothic" w:hAnsi="Century Gothic"/>
          <w:b/>
        </w:rPr>
        <w:lastRenderedPageBreak/>
        <w:t>Figura 4.2</w:t>
      </w:r>
      <w:r w:rsidR="00F01068" w:rsidRPr="00F01068">
        <w:rPr>
          <w:rFonts w:ascii="Century Gothic" w:hAnsi="Century Gothic"/>
          <w:b/>
        </w:rPr>
        <w:t>. Flujograma Proceso: Planeación</w:t>
      </w:r>
    </w:p>
    <w:p w14:paraId="663A868B" w14:textId="77777777" w:rsidR="00CB4CDE" w:rsidRDefault="00F01068" w:rsidP="00C11682">
      <w:pPr>
        <w:spacing w:after="240" w:line="276" w:lineRule="auto"/>
        <w:jc w:val="both"/>
        <w:rPr>
          <w:rFonts w:ascii="Century Gothic" w:hAnsi="Century Gothic"/>
        </w:rPr>
      </w:pPr>
      <w:r>
        <w:rPr>
          <w:rFonts w:ascii="Century Gothic" w:hAnsi="Century Gothic"/>
          <w:noProof/>
          <w:lang w:val="es-MX" w:eastAsia="es-MX"/>
        </w:rPr>
        <w:drawing>
          <wp:inline distT="0" distB="0" distL="0" distR="0" wp14:anchorId="796F182E" wp14:editId="35FFA11C">
            <wp:extent cx="5793615" cy="389231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9443" cy="3896231"/>
                    </a:xfrm>
                    <a:prstGeom prst="rect">
                      <a:avLst/>
                    </a:prstGeom>
                    <a:noFill/>
                  </pic:spPr>
                </pic:pic>
              </a:graphicData>
            </a:graphic>
          </wp:inline>
        </w:drawing>
      </w:r>
    </w:p>
    <w:p w14:paraId="6E487F66" w14:textId="77777777" w:rsidR="00F01068" w:rsidRDefault="00F01068" w:rsidP="00F01068">
      <w:pPr>
        <w:spacing w:after="240" w:line="276" w:lineRule="auto"/>
        <w:jc w:val="both"/>
        <w:rPr>
          <w:rFonts w:ascii="Century Gothic" w:hAnsi="Century Gothic"/>
        </w:rPr>
      </w:pPr>
      <w:r>
        <w:rPr>
          <w:rFonts w:eastAsia="Times New Roman" w:cstheme="minorHAnsi"/>
          <w:color w:val="000000"/>
          <w:sz w:val="22"/>
          <w:szCs w:val="22"/>
          <w:lang w:eastAsia="es-MX"/>
        </w:rPr>
        <w:t>Fuente: Elaborado por TECSO con base a información proporcionada por la SEIDUR “Anexo 5”.</w:t>
      </w:r>
    </w:p>
    <w:p w14:paraId="6E4C6463" w14:textId="77777777" w:rsidR="006373B3" w:rsidRDefault="00B37B13" w:rsidP="00B37B13">
      <w:pPr>
        <w:spacing w:after="240" w:line="276" w:lineRule="auto"/>
        <w:jc w:val="both"/>
        <w:rPr>
          <w:rFonts w:ascii="Century Gothic" w:hAnsi="Century Gothic"/>
        </w:rPr>
      </w:pPr>
      <w:r>
        <w:rPr>
          <w:rFonts w:ascii="Century Gothic" w:hAnsi="Century Gothic"/>
        </w:rPr>
        <w:t xml:space="preserve">En el taller realizado con las áreas involucradas se identificó que en particular en este proceso se lleva a cabo una serie de actividades para determinar que obras se van a desarrollar, lo cual involucra </w:t>
      </w:r>
      <w:r w:rsidR="006373B3">
        <w:rPr>
          <w:rFonts w:ascii="Century Gothic" w:hAnsi="Century Gothic"/>
        </w:rPr>
        <w:t>varios análisis:</w:t>
      </w:r>
    </w:p>
    <w:p w14:paraId="03B41F62" w14:textId="77777777" w:rsidR="009A6A8E" w:rsidRPr="009A6A8E" w:rsidRDefault="006373B3" w:rsidP="009A6A8E">
      <w:pPr>
        <w:pStyle w:val="Prrafodelista"/>
        <w:numPr>
          <w:ilvl w:val="0"/>
          <w:numId w:val="23"/>
        </w:numPr>
        <w:spacing w:after="120" w:line="276" w:lineRule="auto"/>
        <w:ind w:left="714" w:hanging="357"/>
        <w:contextualSpacing w:val="0"/>
        <w:jc w:val="both"/>
        <w:rPr>
          <w:rFonts w:ascii="Century Gothic" w:eastAsia="Times New Roman" w:hAnsi="Century Gothic" w:cs="Arial"/>
          <w:color w:val="000000"/>
          <w:lang w:eastAsia="es-MX"/>
        </w:rPr>
      </w:pPr>
      <w:r w:rsidRPr="009A6A8E">
        <w:rPr>
          <w:rFonts w:ascii="Century Gothic" w:eastAsia="Times New Roman" w:hAnsi="Century Gothic" w:cs="Arial"/>
          <w:color w:val="000000"/>
          <w:lang w:eastAsia="es-MX"/>
        </w:rPr>
        <w:t>Desde la secretaria de planeación</w:t>
      </w:r>
      <w:r w:rsidR="009A6A8E" w:rsidRPr="009A6A8E">
        <w:rPr>
          <w:rFonts w:ascii="Century Gothic" w:eastAsia="Times New Roman" w:hAnsi="Century Gothic" w:cs="Arial"/>
          <w:color w:val="000000"/>
          <w:lang w:eastAsia="es-MX"/>
        </w:rPr>
        <w:t xml:space="preserve">, quién </w:t>
      </w:r>
      <w:r w:rsidRPr="009A6A8E">
        <w:rPr>
          <w:rFonts w:ascii="Century Gothic" w:eastAsia="Times New Roman" w:hAnsi="Century Gothic" w:cs="Arial"/>
          <w:color w:val="000000"/>
          <w:lang w:eastAsia="es-MX"/>
        </w:rPr>
        <w:t xml:space="preserve"> presenta una propuesta de obras a realizar a través de los compromisos gubernamentales del plan</w:t>
      </w:r>
      <w:r w:rsidR="009A6A8E" w:rsidRPr="009A6A8E">
        <w:rPr>
          <w:rFonts w:ascii="Century Gothic" w:eastAsia="Times New Roman" w:hAnsi="Century Gothic" w:cs="Arial"/>
          <w:color w:val="000000"/>
          <w:lang w:eastAsia="es-MX"/>
        </w:rPr>
        <w:t xml:space="preserve"> </w:t>
      </w:r>
      <w:r w:rsidRPr="009A6A8E">
        <w:rPr>
          <w:rFonts w:ascii="Century Gothic" w:eastAsia="Times New Roman" w:hAnsi="Century Gothic" w:cs="Arial"/>
          <w:color w:val="000000"/>
          <w:lang w:eastAsia="es-MX"/>
        </w:rPr>
        <w:t>desarrollo estatal y los compromisos notariados del gobernador.</w:t>
      </w:r>
    </w:p>
    <w:p w14:paraId="302497FE" w14:textId="77777777" w:rsidR="009A6A8E" w:rsidRDefault="006373B3" w:rsidP="009A6A8E">
      <w:pPr>
        <w:pStyle w:val="Prrafodelista"/>
        <w:numPr>
          <w:ilvl w:val="0"/>
          <w:numId w:val="23"/>
        </w:numPr>
        <w:spacing w:after="120" w:line="276" w:lineRule="auto"/>
        <w:ind w:left="714" w:hanging="357"/>
        <w:contextualSpacing w:val="0"/>
        <w:jc w:val="both"/>
        <w:rPr>
          <w:rFonts w:ascii="Century Gothic" w:eastAsia="Times New Roman" w:hAnsi="Century Gothic" w:cs="Arial"/>
          <w:color w:val="000000"/>
          <w:lang w:eastAsia="es-MX"/>
        </w:rPr>
      </w:pPr>
      <w:r w:rsidRPr="009A6A8E">
        <w:rPr>
          <w:rFonts w:ascii="Century Gothic" w:eastAsia="Times New Roman" w:hAnsi="Century Gothic" w:cs="Arial"/>
          <w:color w:val="000000"/>
          <w:lang w:eastAsia="es-MX"/>
        </w:rPr>
        <w:t>Propuesta de obras de las partes ejecutoras (INSUVI, SEIDUR)</w:t>
      </w:r>
      <w:r w:rsidR="009A6A8E" w:rsidRPr="009A6A8E">
        <w:rPr>
          <w:rFonts w:ascii="Century Gothic" w:eastAsia="Times New Roman" w:hAnsi="Century Gothic" w:cs="Arial"/>
          <w:color w:val="000000"/>
          <w:lang w:eastAsia="es-MX"/>
        </w:rPr>
        <w:t>.</w:t>
      </w:r>
    </w:p>
    <w:p w14:paraId="06E7B741" w14:textId="77777777" w:rsidR="009A6A8E" w:rsidRDefault="009A6A8E" w:rsidP="009A6A8E">
      <w:pPr>
        <w:pStyle w:val="Prrafodelista"/>
        <w:numPr>
          <w:ilvl w:val="0"/>
          <w:numId w:val="23"/>
        </w:numPr>
        <w:spacing w:after="120" w:line="276" w:lineRule="auto"/>
        <w:ind w:left="714" w:hanging="357"/>
        <w:contextualSpacing w:val="0"/>
        <w:jc w:val="both"/>
        <w:rPr>
          <w:rFonts w:ascii="Century Gothic" w:eastAsia="Times New Roman" w:hAnsi="Century Gothic" w:cs="Arial"/>
          <w:color w:val="000000"/>
          <w:lang w:eastAsia="es-MX"/>
        </w:rPr>
      </w:pPr>
      <w:r w:rsidRPr="009A6A8E">
        <w:rPr>
          <w:rFonts w:ascii="Century Gothic" w:eastAsia="Times New Roman" w:hAnsi="Century Gothic" w:cs="Arial"/>
          <w:color w:val="000000"/>
          <w:lang w:eastAsia="es-MX"/>
        </w:rPr>
        <w:t>P</w:t>
      </w:r>
      <w:r w:rsidR="006373B3" w:rsidRPr="009A6A8E">
        <w:rPr>
          <w:rFonts w:ascii="Century Gothic" w:eastAsia="Times New Roman" w:hAnsi="Century Gothic" w:cs="Arial"/>
          <w:color w:val="000000"/>
          <w:lang w:eastAsia="es-MX"/>
        </w:rPr>
        <w:t>eticiones de la ciudadanía a través de los H. Ayuntamientos</w:t>
      </w:r>
      <w:r w:rsidRPr="009A6A8E">
        <w:rPr>
          <w:rFonts w:ascii="Century Gothic" w:eastAsia="Times New Roman" w:hAnsi="Century Gothic" w:cs="Arial"/>
          <w:color w:val="000000"/>
          <w:lang w:eastAsia="es-MX"/>
        </w:rPr>
        <w:t>.</w:t>
      </w:r>
    </w:p>
    <w:p w14:paraId="026DF323" w14:textId="77777777" w:rsidR="009A6A8E" w:rsidRPr="009A6A8E" w:rsidRDefault="009A6A8E" w:rsidP="009A6A8E">
      <w:pPr>
        <w:pStyle w:val="Prrafodelista"/>
        <w:numPr>
          <w:ilvl w:val="0"/>
          <w:numId w:val="23"/>
        </w:numPr>
        <w:spacing w:after="120" w:line="276" w:lineRule="auto"/>
        <w:ind w:left="714" w:hanging="357"/>
        <w:contextualSpacing w:val="0"/>
        <w:jc w:val="both"/>
        <w:rPr>
          <w:rFonts w:ascii="Century Gothic" w:eastAsia="Times New Roman" w:hAnsi="Century Gothic" w:cs="Arial"/>
          <w:color w:val="000000"/>
          <w:lang w:eastAsia="es-MX"/>
        </w:rPr>
      </w:pPr>
      <w:r>
        <w:rPr>
          <w:rFonts w:ascii="Century Gothic" w:eastAsia="Times New Roman" w:hAnsi="Century Gothic" w:cs="Arial"/>
          <w:color w:val="000000"/>
          <w:lang w:eastAsia="es-MX"/>
        </w:rPr>
        <w:t>A</w:t>
      </w:r>
      <w:r w:rsidRPr="009A6A8E">
        <w:rPr>
          <w:rFonts w:ascii="Century Gothic" w:hAnsi="Century Gothic"/>
        </w:rPr>
        <w:t>nálisis de las necesidades teniendo como base el Informe anual sobre la situación de pobreza y rezago social publicado por la SEDESOL cada año</w:t>
      </w:r>
      <w:r>
        <w:rPr>
          <w:rFonts w:ascii="Century Gothic" w:hAnsi="Century Gothic"/>
        </w:rPr>
        <w:t>.</w:t>
      </w:r>
    </w:p>
    <w:p w14:paraId="4F1533DF" w14:textId="77777777" w:rsidR="00B37B13" w:rsidRDefault="00B37B13" w:rsidP="00B37B13">
      <w:pPr>
        <w:spacing w:after="240" w:line="276" w:lineRule="auto"/>
        <w:jc w:val="both"/>
        <w:rPr>
          <w:rFonts w:ascii="Century Gothic" w:hAnsi="Century Gothic"/>
        </w:rPr>
      </w:pPr>
      <w:r>
        <w:rPr>
          <w:rFonts w:ascii="Century Gothic" w:hAnsi="Century Gothic"/>
        </w:rPr>
        <w:t>Para esto, se lleva a cabo una reunión de planeación anual de los subcomités (Generalmente se realiza en el mes de febrero), y diversas reuniones entre las áreas o comités técnicos.</w:t>
      </w:r>
    </w:p>
    <w:p w14:paraId="7B73C7A7" w14:textId="77777777" w:rsidR="00BA6AAB" w:rsidRDefault="00BA6AAB" w:rsidP="00BA6AAB">
      <w:pPr>
        <w:spacing w:after="240" w:line="276" w:lineRule="auto"/>
        <w:jc w:val="both"/>
        <w:rPr>
          <w:rFonts w:ascii="Century Gothic" w:hAnsi="Century Gothic"/>
        </w:rPr>
      </w:pPr>
      <w:r>
        <w:rPr>
          <w:rFonts w:ascii="Century Gothic" w:hAnsi="Century Gothic"/>
        </w:rPr>
        <w:lastRenderedPageBreak/>
        <w:t xml:space="preserve">Por otra parte un tema importante que se debe tener presente es referente a la participación de la sociedad y diferentes actores en la identificación de las necesidades de obras. </w:t>
      </w:r>
    </w:p>
    <w:p w14:paraId="23BF5A1D" w14:textId="77777777" w:rsidR="00BA6AAB" w:rsidRDefault="00BA6AAB" w:rsidP="00BA6AAB">
      <w:pPr>
        <w:spacing w:after="240" w:line="276" w:lineRule="auto"/>
        <w:jc w:val="both"/>
        <w:rPr>
          <w:rFonts w:ascii="Century Gothic" w:hAnsi="Century Gothic"/>
        </w:rPr>
      </w:pPr>
      <w:r w:rsidRPr="004C36F1">
        <w:rPr>
          <w:rFonts w:ascii="Century Gothic" w:hAnsi="Century Gothic"/>
        </w:rPr>
        <w:t xml:space="preserve">Dentro de este proceso, diversas leyes </w:t>
      </w:r>
      <w:r>
        <w:rPr>
          <w:rFonts w:ascii="Century Gothic" w:hAnsi="Century Gothic"/>
        </w:rPr>
        <w:t>como la LFPRH, la LCF,</w:t>
      </w:r>
      <w:r w:rsidRPr="004C36F1">
        <w:rPr>
          <w:rFonts w:ascii="Century Gothic" w:hAnsi="Century Gothic"/>
        </w:rPr>
        <w:t xml:space="preserve"> así como </w:t>
      </w:r>
      <w:r>
        <w:rPr>
          <w:rFonts w:ascii="Century Gothic" w:hAnsi="Century Gothic"/>
        </w:rPr>
        <w:t>los Lineamientos para la operación del FAIS</w:t>
      </w:r>
      <w:r w:rsidRPr="004C36F1">
        <w:rPr>
          <w:rFonts w:ascii="Century Gothic" w:hAnsi="Century Gothic"/>
        </w:rPr>
        <w:t xml:space="preserve"> establecen que los tomadores de</w:t>
      </w:r>
      <w:r>
        <w:rPr>
          <w:rFonts w:ascii="Century Gothic" w:hAnsi="Century Gothic"/>
        </w:rPr>
        <w:t xml:space="preserve"> </w:t>
      </w:r>
      <w:r w:rsidRPr="004C36F1">
        <w:rPr>
          <w:rFonts w:ascii="Century Gothic" w:hAnsi="Century Gothic"/>
        </w:rPr>
        <w:t>decisiones con respecto al Fondo deberán implementar diversos mecanismos que</w:t>
      </w:r>
      <w:r>
        <w:rPr>
          <w:rFonts w:ascii="Century Gothic" w:hAnsi="Century Gothic"/>
        </w:rPr>
        <w:t xml:space="preserve"> </w:t>
      </w:r>
      <w:r w:rsidRPr="004C36F1">
        <w:rPr>
          <w:rFonts w:ascii="Century Gothic" w:hAnsi="Century Gothic"/>
        </w:rPr>
        <w:t>promuevan la participación de actores relevantes en materia de identificación de</w:t>
      </w:r>
      <w:r>
        <w:rPr>
          <w:rFonts w:ascii="Century Gothic" w:hAnsi="Century Gothic"/>
        </w:rPr>
        <w:t xml:space="preserve"> </w:t>
      </w:r>
      <w:r w:rsidRPr="004C36F1">
        <w:rPr>
          <w:rFonts w:ascii="Century Gothic" w:hAnsi="Century Gothic"/>
        </w:rPr>
        <w:t>necesidades de obras de infraestructura social.</w:t>
      </w:r>
    </w:p>
    <w:p w14:paraId="7EF0DB87" w14:textId="77777777" w:rsidR="00B37B13" w:rsidRDefault="00B37B13" w:rsidP="00B37B13">
      <w:pPr>
        <w:spacing w:after="240" w:line="276" w:lineRule="auto"/>
        <w:jc w:val="both"/>
        <w:rPr>
          <w:rFonts w:ascii="Century Gothic" w:hAnsi="Century Gothic"/>
        </w:rPr>
      </w:pPr>
      <w:r>
        <w:rPr>
          <w:rFonts w:ascii="Century Gothic" w:hAnsi="Century Gothic"/>
        </w:rPr>
        <w:t xml:space="preserve">Sin embargo, ninguno de estos subprocesos con sus respectivas actividades está documentado, tema importante a desarrollar ya que como se mencionó anteriormente el contar con una </w:t>
      </w:r>
      <w:r w:rsidRPr="00D96F9D">
        <w:rPr>
          <w:rFonts w:ascii="Century Gothic" w:hAnsi="Century Gothic"/>
        </w:rPr>
        <w:t>documentación de procesos adquiere particular relevancia en la</w:t>
      </w:r>
      <w:r>
        <w:rPr>
          <w:rFonts w:ascii="Century Gothic" w:hAnsi="Century Gothic"/>
        </w:rPr>
        <w:t xml:space="preserve"> </w:t>
      </w:r>
      <w:r w:rsidRPr="00D96F9D">
        <w:rPr>
          <w:rFonts w:ascii="Century Gothic" w:hAnsi="Century Gothic"/>
        </w:rPr>
        <w:t>administración pública, pues se convierte en una herramienta que es ajena</w:t>
      </w:r>
      <w:r>
        <w:rPr>
          <w:rFonts w:ascii="Century Gothic" w:hAnsi="Century Gothic"/>
        </w:rPr>
        <w:t xml:space="preserve"> </w:t>
      </w:r>
      <w:r w:rsidRPr="00D96F9D">
        <w:rPr>
          <w:rFonts w:ascii="Century Gothic" w:hAnsi="Century Gothic"/>
        </w:rPr>
        <w:t>a los cambios de personas o responsables de procesos</w:t>
      </w:r>
      <w:r>
        <w:rPr>
          <w:rFonts w:ascii="Century Gothic" w:hAnsi="Century Gothic"/>
        </w:rPr>
        <w:t>.</w:t>
      </w:r>
    </w:p>
    <w:p w14:paraId="7922D7CE" w14:textId="77777777" w:rsidR="00B37B13" w:rsidRDefault="00B37B13" w:rsidP="00B37B13">
      <w:pPr>
        <w:spacing w:after="240" w:line="276" w:lineRule="auto"/>
        <w:jc w:val="both"/>
        <w:rPr>
          <w:rFonts w:ascii="Century Gothic" w:hAnsi="Century Gothic"/>
        </w:rPr>
      </w:pPr>
      <w:r>
        <w:rPr>
          <w:rFonts w:ascii="Century Gothic" w:hAnsi="Century Gothic"/>
        </w:rPr>
        <w:t>De igual forma el no contar con un manual o proceso identificando puntualmente la planeación, al momento de evaluar dicho proceso se identificaron algunos vacíos, aunque el personal de las áreas asistentes al taller manifestó toda una serie de actividades que se llevan a cabo.</w:t>
      </w:r>
    </w:p>
    <w:p w14:paraId="48BDED26" w14:textId="77777777" w:rsidR="004C36F1" w:rsidRDefault="004C36F1" w:rsidP="004C36F1">
      <w:pPr>
        <w:spacing w:after="240" w:line="276" w:lineRule="auto"/>
        <w:jc w:val="both"/>
        <w:rPr>
          <w:rFonts w:ascii="Century Gothic" w:hAnsi="Century Gothic"/>
        </w:rPr>
      </w:pPr>
      <w:r>
        <w:rPr>
          <w:rFonts w:ascii="Century Gothic" w:hAnsi="Century Gothic"/>
        </w:rPr>
        <w:t xml:space="preserve">Por lo que se debe contar con mecanismos </w:t>
      </w:r>
      <w:r w:rsidRPr="004C36F1">
        <w:rPr>
          <w:rFonts w:ascii="Century Gothic" w:hAnsi="Century Gothic"/>
        </w:rPr>
        <w:t xml:space="preserve">de consulta o atención de las demandas de las comunidades y de los municipios para que éstos puedan presentar </w:t>
      </w:r>
      <w:r>
        <w:rPr>
          <w:rFonts w:ascii="Century Gothic" w:hAnsi="Century Gothic"/>
        </w:rPr>
        <w:t xml:space="preserve">sus demandas o </w:t>
      </w:r>
      <w:r w:rsidRPr="004C36F1">
        <w:rPr>
          <w:rFonts w:ascii="Century Gothic" w:hAnsi="Century Gothic"/>
        </w:rPr>
        <w:t>propuestas de</w:t>
      </w:r>
      <w:r>
        <w:rPr>
          <w:rFonts w:ascii="Century Gothic" w:hAnsi="Century Gothic"/>
        </w:rPr>
        <w:t xml:space="preserve"> </w:t>
      </w:r>
      <w:r w:rsidRPr="004C36F1">
        <w:rPr>
          <w:rFonts w:ascii="Century Gothic" w:hAnsi="Century Gothic"/>
        </w:rPr>
        <w:t>obras que contribuyan a cubrir necesidades de infraestructura social básica.</w:t>
      </w:r>
    </w:p>
    <w:p w14:paraId="393FB9A0" w14:textId="77777777" w:rsidR="00CE4767" w:rsidRDefault="00CE4767" w:rsidP="00EE2F3E">
      <w:pPr>
        <w:pStyle w:val="Ttulo3"/>
        <w:numPr>
          <w:ilvl w:val="2"/>
          <w:numId w:val="23"/>
        </w:numPr>
        <w:spacing w:before="0" w:after="240" w:line="276" w:lineRule="auto"/>
        <w:rPr>
          <w:rFonts w:ascii="Century Gothic" w:hAnsi="Century Gothic"/>
          <w:color w:val="0E4E7A"/>
        </w:rPr>
      </w:pPr>
      <w:bookmarkStart w:id="39" w:name="_Toc511236527"/>
      <w:r>
        <w:rPr>
          <w:rFonts w:ascii="Century Gothic" w:hAnsi="Century Gothic"/>
          <w:color w:val="0E4E7A"/>
        </w:rPr>
        <w:t>Plan de Calidad para proyectos ejecutivos</w:t>
      </w:r>
      <w:bookmarkEnd w:id="39"/>
    </w:p>
    <w:p w14:paraId="5CC0FB67" w14:textId="77777777" w:rsidR="007714BB" w:rsidRPr="007714BB" w:rsidRDefault="007714BB" w:rsidP="007714BB">
      <w:pPr>
        <w:spacing w:after="240" w:line="276" w:lineRule="auto"/>
        <w:jc w:val="both"/>
        <w:rPr>
          <w:rFonts w:ascii="Century Gothic" w:hAnsi="Century Gothic"/>
        </w:rPr>
      </w:pPr>
      <w:r w:rsidRPr="007714BB">
        <w:rPr>
          <w:rFonts w:ascii="Century Gothic" w:hAnsi="Century Gothic"/>
        </w:rPr>
        <w:t>Una vez definidas las obras viables a realizar teniendo presente variables como el presupuesto, compromisos del plan</w:t>
      </w:r>
      <w:r w:rsidR="008D0F69">
        <w:rPr>
          <w:rFonts w:ascii="Century Gothic" w:hAnsi="Century Gothic"/>
        </w:rPr>
        <w:t xml:space="preserve"> de gobierno</w:t>
      </w:r>
      <w:r w:rsidRPr="007714BB">
        <w:rPr>
          <w:rFonts w:ascii="Century Gothic" w:hAnsi="Century Gothic"/>
        </w:rPr>
        <w:t>, deman</w:t>
      </w:r>
      <w:r w:rsidR="008D0F69">
        <w:rPr>
          <w:rFonts w:ascii="Century Gothic" w:hAnsi="Century Gothic"/>
        </w:rPr>
        <w:t>das, requerimientos y</w:t>
      </w:r>
      <w:r w:rsidRPr="007714BB">
        <w:rPr>
          <w:rFonts w:ascii="Century Gothic" w:hAnsi="Century Gothic"/>
        </w:rPr>
        <w:t xml:space="preserve"> necesidades de la población, viene la etapa de estudios y análisis </w:t>
      </w:r>
      <w:r>
        <w:rPr>
          <w:rFonts w:ascii="Century Gothic" w:hAnsi="Century Gothic"/>
        </w:rPr>
        <w:t>de viabilidad de la obra, así como de los permis</w:t>
      </w:r>
      <w:r w:rsidR="008D0F69">
        <w:rPr>
          <w:rFonts w:ascii="Century Gothic" w:hAnsi="Century Gothic"/>
        </w:rPr>
        <w:t>os requeridos para su ejecución, que en este caso puede llegar a involucrar otras instituciones o en su caso municipios.</w:t>
      </w:r>
    </w:p>
    <w:p w14:paraId="727974CF" w14:textId="77777777" w:rsidR="00CE4767" w:rsidRDefault="007714BB" w:rsidP="00CE4767">
      <w:pPr>
        <w:spacing w:after="240" w:line="276" w:lineRule="auto"/>
        <w:jc w:val="both"/>
        <w:rPr>
          <w:rFonts w:ascii="Century Gothic" w:hAnsi="Century Gothic"/>
        </w:rPr>
      </w:pPr>
      <w:r>
        <w:rPr>
          <w:rFonts w:ascii="Century Gothic" w:hAnsi="Century Gothic"/>
        </w:rPr>
        <w:t xml:space="preserve">Para </w:t>
      </w:r>
      <w:r w:rsidR="008D0F69">
        <w:rPr>
          <w:rFonts w:ascii="Century Gothic" w:hAnsi="Century Gothic"/>
        </w:rPr>
        <w:t xml:space="preserve">garantizar la calidad de </w:t>
      </w:r>
      <w:r>
        <w:rPr>
          <w:rFonts w:ascii="Century Gothic" w:hAnsi="Century Gothic"/>
        </w:rPr>
        <w:t xml:space="preserve">este proceso se </w:t>
      </w:r>
      <w:r w:rsidR="008D0F69">
        <w:rPr>
          <w:rFonts w:ascii="Century Gothic" w:hAnsi="Century Gothic"/>
        </w:rPr>
        <w:t xml:space="preserve">desarrolló </w:t>
      </w:r>
      <w:r>
        <w:rPr>
          <w:rFonts w:ascii="Century Gothic" w:hAnsi="Century Gothic"/>
        </w:rPr>
        <w:t>el</w:t>
      </w:r>
      <w:r w:rsidR="00CE4767">
        <w:rPr>
          <w:rFonts w:ascii="Century Gothic" w:hAnsi="Century Gothic"/>
        </w:rPr>
        <w:t xml:space="preserve"> documento “Plan de Calidad para proyectos ejecutivos”, el</w:t>
      </w:r>
      <w:r>
        <w:rPr>
          <w:rFonts w:ascii="Century Gothic" w:hAnsi="Century Gothic"/>
        </w:rPr>
        <w:t xml:space="preserve"> cual tiene como objetivo</w:t>
      </w:r>
      <w:r w:rsidR="00CE4767">
        <w:rPr>
          <w:rFonts w:ascii="Century Gothic" w:hAnsi="Century Gothic"/>
        </w:rPr>
        <w:t xml:space="preserve"> “establecer </w:t>
      </w:r>
      <w:r w:rsidR="00CE4767" w:rsidRPr="000075CC">
        <w:rPr>
          <w:rFonts w:ascii="Century Gothic" w:hAnsi="Century Gothic"/>
        </w:rPr>
        <w:t>un plan para la elaboración del proyecto ejecutivo, que permita desarrollar de manera eficiente los</w:t>
      </w:r>
      <w:r w:rsidR="00CE4767">
        <w:rPr>
          <w:rFonts w:ascii="Century Gothic" w:hAnsi="Century Gothic"/>
        </w:rPr>
        <w:t xml:space="preserve"> </w:t>
      </w:r>
      <w:r w:rsidR="00CE4767" w:rsidRPr="000075CC">
        <w:rPr>
          <w:rFonts w:ascii="Century Gothic" w:hAnsi="Century Gothic"/>
        </w:rPr>
        <w:t xml:space="preserve">proyectos que elaboran la Dirección de </w:t>
      </w:r>
      <w:r w:rsidR="00CE4767" w:rsidRPr="000075CC">
        <w:rPr>
          <w:rFonts w:ascii="Century Gothic" w:hAnsi="Century Gothic"/>
        </w:rPr>
        <w:lastRenderedPageBreak/>
        <w:t>Proyectos y la Dirección de Caminos. Que el proyecto ejecutivo</w:t>
      </w:r>
      <w:r w:rsidR="00CE4767">
        <w:rPr>
          <w:rFonts w:ascii="Century Gothic" w:hAnsi="Century Gothic"/>
        </w:rPr>
        <w:t xml:space="preserve"> </w:t>
      </w:r>
      <w:r w:rsidR="00CE4767" w:rsidRPr="000075CC">
        <w:rPr>
          <w:rFonts w:ascii="Century Gothic" w:hAnsi="Century Gothic"/>
        </w:rPr>
        <w:t>permita una correcta ejecución de la obra que construye esta Secretaría, evitando que se realicen</w:t>
      </w:r>
      <w:r w:rsidR="00CE4767">
        <w:rPr>
          <w:rFonts w:ascii="Century Gothic" w:hAnsi="Century Gothic"/>
        </w:rPr>
        <w:t xml:space="preserve"> </w:t>
      </w:r>
      <w:r w:rsidR="00CE4767" w:rsidRPr="000075CC">
        <w:rPr>
          <w:rFonts w:ascii="Century Gothic" w:hAnsi="Century Gothic"/>
        </w:rPr>
        <w:t>modificaciones durante la construcción de la obra por causas imputables a un proyecto deficiente</w:t>
      </w:r>
      <w:r w:rsidR="00CE4767">
        <w:rPr>
          <w:rFonts w:ascii="Century Gothic" w:hAnsi="Century Gothic"/>
        </w:rPr>
        <w:t>”</w:t>
      </w:r>
      <w:r w:rsidR="00CE4767">
        <w:rPr>
          <w:rStyle w:val="Refdenotaalpie"/>
          <w:rFonts w:ascii="Century Gothic" w:hAnsi="Century Gothic"/>
        </w:rPr>
        <w:footnoteReference w:id="12"/>
      </w:r>
      <w:r w:rsidR="00CE4767" w:rsidRPr="000075CC">
        <w:rPr>
          <w:rFonts w:ascii="Century Gothic" w:hAnsi="Century Gothic"/>
        </w:rPr>
        <w:t>.</w:t>
      </w:r>
    </w:p>
    <w:p w14:paraId="38831399" w14:textId="77777777" w:rsidR="00CE4767" w:rsidRDefault="00CE4767" w:rsidP="00CE4767">
      <w:pPr>
        <w:spacing w:after="240" w:line="276" w:lineRule="auto"/>
        <w:jc w:val="both"/>
        <w:rPr>
          <w:rFonts w:ascii="Century Gothic" w:hAnsi="Century Gothic"/>
        </w:rPr>
      </w:pPr>
      <w:r>
        <w:rPr>
          <w:rFonts w:ascii="Century Gothic" w:hAnsi="Century Gothic"/>
        </w:rPr>
        <w:t>Las políticas a seguir en cada obra y que establece dicho documentos son:</w:t>
      </w:r>
    </w:p>
    <w:p w14:paraId="1793ABBA" w14:textId="77777777" w:rsidR="00CE4767" w:rsidRPr="000075CC" w:rsidRDefault="00CE4767" w:rsidP="00CE4767">
      <w:pPr>
        <w:spacing w:after="240" w:line="276" w:lineRule="auto"/>
        <w:ind w:left="284" w:right="283"/>
        <w:jc w:val="both"/>
        <w:rPr>
          <w:rFonts w:ascii="Century Gothic" w:hAnsi="Century Gothic"/>
        </w:rPr>
      </w:pPr>
      <w:r w:rsidRPr="000075CC">
        <w:rPr>
          <w:rFonts w:ascii="Century Gothic" w:hAnsi="Century Gothic"/>
        </w:rPr>
        <w:t>3.1 Todo inicio de Proyecto debe ser solicitado mediante un oficio.</w:t>
      </w:r>
    </w:p>
    <w:p w14:paraId="172FBB91" w14:textId="77777777" w:rsidR="00CE4767" w:rsidRPr="000075CC" w:rsidRDefault="00CE4767" w:rsidP="00CE4767">
      <w:pPr>
        <w:spacing w:after="240" w:line="276" w:lineRule="auto"/>
        <w:ind w:left="284" w:right="283"/>
        <w:jc w:val="both"/>
        <w:rPr>
          <w:rFonts w:ascii="Century Gothic" w:hAnsi="Century Gothic"/>
        </w:rPr>
      </w:pPr>
      <w:r w:rsidRPr="000075CC">
        <w:rPr>
          <w:rFonts w:ascii="Century Gothic" w:hAnsi="Century Gothic"/>
        </w:rPr>
        <w:t>3.2 Todos los Planos deben estar firmados por el Director de Proyectos o Director de Caminos y el</w:t>
      </w:r>
      <w:r>
        <w:rPr>
          <w:rFonts w:ascii="Century Gothic" w:hAnsi="Century Gothic"/>
        </w:rPr>
        <w:t xml:space="preserve"> </w:t>
      </w:r>
      <w:r w:rsidRPr="000075CC">
        <w:rPr>
          <w:rFonts w:ascii="Century Gothic" w:hAnsi="Century Gothic"/>
        </w:rPr>
        <w:t>Responsable del Proyecto.</w:t>
      </w:r>
    </w:p>
    <w:p w14:paraId="1D3B579C" w14:textId="77777777" w:rsidR="00CE4767" w:rsidRPr="000075CC" w:rsidRDefault="00CE4767" w:rsidP="00CE4767">
      <w:pPr>
        <w:spacing w:after="240" w:line="276" w:lineRule="auto"/>
        <w:ind w:left="284" w:right="283"/>
        <w:jc w:val="both"/>
        <w:rPr>
          <w:rFonts w:ascii="Century Gothic" w:hAnsi="Century Gothic"/>
        </w:rPr>
      </w:pPr>
      <w:r w:rsidRPr="000075CC">
        <w:rPr>
          <w:rFonts w:ascii="Century Gothic" w:hAnsi="Century Gothic"/>
        </w:rPr>
        <w:t>3.3 El Expediente del Proyecto Ejecutivo debe estar autorizado y firmado de conformidad por el beneficiario de</w:t>
      </w:r>
      <w:r>
        <w:rPr>
          <w:rFonts w:ascii="Century Gothic" w:hAnsi="Century Gothic"/>
        </w:rPr>
        <w:t xml:space="preserve"> </w:t>
      </w:r>
      <w:r w:rsidRPr="000075CC">
        <w:rPr>
          <w:rFonts w:ascii="Century Gothic" w:hAnsi="Century Gothic"/>
        </w:rPr>
        <w:t>la obra.</w:t>
      </w:r>
    </w:p>
    <w:p w14:paraId="089CBC6A" w14:textId="77777777" w:rsidR="00CE4767" w:rsidRDefault="00CE4767" w:rsidP="00CE4767">
      <w:pPr>
        <w:spacing w:after="240" w:line="276" w:lineRule="auto"/>
        <w:ind w:left="284" w:right="283"/>
        <w:jc w:val="both"/>
        <w:rPr>
          <w:rFonts w:ascii="Century Gothic" w:hAnsi="Century Gothic"/>
        </w:rPr>
      </w:pPr>
      <w:r w:rsidRPr="000075CC">
        <w:rPr>
          <w:rFonts w:ascii="Century Gothic" w:hAnsi="Century Gothic"/>
        </w:rPr>
        <w:t>3.4 Las modificaciones de Proyecto deberán ser asentadas por escrito en una minuta de trabajo por la</w:t>
      </w:r>
      <w:r>
        <w:rPr>
          <w:rFonts w:ascii="Century Gothic" w:hAnsi="Century Gothic"/>
        </w:rPr>
        <w:t xml:space="preserve"> </w:t>
      </w:r>
      <w:r w:rsidRPr="000075CC">
        <w:rPr>
          <w:rFonts w:ascii="Century Gothic" w:hAnsi="Century Gothic"/>
        </w:rPr>
        <w:t>Dirección de Proyectos o la Dirección de Caminos.</w:t>
      </w:r>
    </w:p>
    <w:p w14:paraId="7FF4DF95" w14:textId="77777777" w:rsidR="00CE4767" w:rsidRDefault="00CE4767" w:rsidP="00CE4767">
      <w:pPr>
        <w:spacing w:after="240" w:line="276" w:lineRule="auto"/>
        <w:jc w:val="both"/>
        <w:rPr>
          <w:rFonts w:ascii="Century Gothic" w:hAnsi="Century Gothic"/>
        </w:rPr>
      </w:pPr>
      <w:r>
        <w:rPr>
          <w:rFonts w:ascii="Century Gothic" w:hAnsi="Century Gothic"/>
        </w:rPr>
        <w:t>El en diagrama presentado para dicho procedimiento se detalla un poco más las actividades a desarrollar, tal como se puede observar a continuación:</w:t>
      </w:r>
    </w:p>
    <w:p w14:paraId="7032565B" w14:textId="77777777" w:rsidR="008D0F69" w:rsidRDefault="008D0F69" w:rsidP="00CE4767">
      <w:pPr>
        <w:spacing w:after="240" w:line="276" w:lineRule="auto"/>
        <w:jc w:val="both"/>
        <w:rPr>
          <w:rFonts w:ascii="Century Gothic" w:hAnsi="Century Gothic"/>
        </w:rPr>
      </w:pPr>
    </w:p>
    <w:p w14:paraId="5627CB61" w14:textId="77777777" w:rsidR="008D0F69" w:rsidRDefault="008D0F69" w:rsidP="00CE4767">
      <w:pPr>
        <w:spacing w:after="240" w:line="276" w:lineRule="auto"/>
        <w:jc w:val="both"/>
        <w:rPr>
          <w:rFonts w:ascii="Century Gothic" w:hAnsi="Century Gothic"/>
        </w:rPr>
      </w:pPr>
    </w:p>
    <w:p w14:paraId="4FB23ED9" w14:textId="77777777" w:rsidR="008D0F69" w:rsidRDefault="008D0F69" w:rsidP="00CE4767">
      <w:pPr>
        <w:spacing w:after="240" w:line="276" w:lineRule="auto"/>
        <w:jc w:val="both"/>
        <w:rPr>
          <w:rFonts w:ascii="Century Gothic" w:hAnsi="Century Gothic"/>
        </w:rPr>
      </w:pPr>
    </w:p>
    <w:p w14:paraId="0421F948" w14:textId="77777777" w:rsidR="008D0F69" w:rsidRDefault="008D0F69" w:rsidP="00CE4767">
      <w:pPr>
        <w:spacing w:after="240" w:line="276" w:lineRule="auto"/>
        <w:jc w:val="both"/>
        <w:rPr>
          <w:rFonts w:ascii="Century Gothic" w:hAnsi="Century Gothic"/>
        </w:rPr>
      </w:pPr>
    </w:p>
    <w:p w14:paraId="2664E898" w14:textId="77777777" w:rsidR="008D0F69" w:rsidRDefault="008D0F69" w:rsidP="00CE4767">
      <w:pPr>
        <w:spacing w:after="240" w:line="276" w:lineRule="auto"/>
        <w:jc w:val="both"/>
        <w:rPr>
          <w:rFonts w:ascii="Century Gothic" w:hAnsi="Century Gothic"/>
        </w:rPr>
      </w:pPr>
    </w:p>
    <w:p w14:paraId="083BD3DB" w14:textId="77777777" w:rsidR="008D0F69" w:rsidRDefault="008D0F69" w:rsidP="00CE4767">
      <w:pPr>
        <w:spacing w:after="240" w:line="276" w:lineRule="auto"/>
        <w:jc w:val="both"/>
        <w:rPr>
          <w:rFonts w:ascii="Century Gothic" w:hAnsi="Century Gothic"/>
        </w:rPr>
      </w:pPr>
    </w:p>
    <w:p w14:paraId="7A3B3AB8" w14:textId="77777777" w:rsidR="000623CB" w:rsidRDefault="000623CB" w:rsidP="00234EC0">
      <w:pPr>
        <w:rPr>
          <w:rFonts w:ascii="Century Gothic" w:hAnsi="Century Gothic"/>
          <w:b/>
        </w:rPr>
      </w:pPr>
    </w:p>
    <w:p w14:paraId="4D488D98" w14:textId="77777777" w:rsidR="00326F99" w:rsidRDefault="00326F99" w:rsidP="00CE4767">
      <w:pPr>
        <w:spacing w:after="120" w:line="276" w:lineRule="auto"/>
        <w:jc w:val="center"/>
        <w:rPr>
          <w:rFonts w:ascii="Century Gothic" w:hAnsi="Century Gothic"/>
          <w:b/>
        </w:rPr>
      </w:pPr>
    </w:p>
    <w:p w14:paraId="736CD7A8" w14:textId="77777777" w:rsidR="000623CB" w:rsidRDefault="000623CB" w:rsidP="000623CB">
      <w:pPr>
        <w:spacing w:after="120" w:line="276" w:lineRule="auto"/>
        <w:jc w:val="center"/>
        <w:rPr>
          <w:rFonts w:ascii="Century Gothic" w:hAnsi="Century Gothic"/>
          <w:b/>
        </w:rPr>
      </w:pPr>
    </w:p>
    <w:p w14:paraId="319A4743" w14:textId="77777777" w:rsidR="00CE4767" w:rsidRDefault="00CE4767" w:rsidP="000623CB">
      <w:pPr>
        <w:spacing w:after="240" w:line="276" w:lineRule="auto"/>
        <w:ind w:left="-567" w:right="-284"/>
        <w:jc w:val="center"/>
        <w:rPr>
          <w:rFonts w:ascii="Century Gothic" w:hAnsi="Century Gothic"/>
        </w:rPr>
      </w:pPr>
    </w:p>
    <w:p w14:paraId="06AC994E" w14:textId="77777777" w:rsidR="00326F99" w:rsidRDefault="00326F99" w:rsidP="008D0F69">
      <w:pPr>
        <w:spacing w:after="40" w:line="276" w:lineRule="auto"/>
        <w:ind w:left="-425"/>
        <w:jc w:val="both"/>
        <w:rPr>
          <w:rFonts w:ascii="Century Gothic" w:hAnsi="Century Gothic"/>
        </w:rPr>
        <w:sectPr w:rsidR="00326F99" w:rsidSect="000623CB">
          <w:headerReference w:type="default" r:id="rId19"/>
          <w:footerReference w:type="default" r:id="rId20"/>
          <w:headerReference w:type="first" r:id="rId21"/>
          <w:pgSz w:w="12240" w:h="15840"/>
          <w:pgMar w:top="1418" w:right="1469" w:bottom="1418" w:left="1701" w:header="709" w:footer="709" w:gutter="0"/>
          <w:cols w:space="708"/>
          <w:titlePg/>
          <w:docGrid w:linePitch="360"/>
        </w:sectPr>
      </w:pPr>
    </w:p>
    <w:p w14:paraId="2681EF26" w14:textId="77777777" w:rsidR="00234EC0" w:rsidRDefault="004D49BD" w:rsidP="00234EC0">
      <w:pPr>
        <w:jc w:val="center"/>
        <w:rPr>
          <w:rFonts w:ascii="Century Gothic" w:hAnsi="Century Gothic"/>
          <w:b/>
        </w:rPr>
      </w:pPr>
      <w:r>
        <w:rPr>
          <w:rFonts w:ascii="Century Gothic" w:hAnsi="Century Gothic"/>
          <w:b/>
        </w:rPr>
        <w:lastRenderedPageBreak/>
        <w:t>Figura 4.3</w:t>
      </w:r>
      <w:r w:rsidR="00234EC0" w:rsidRPr="008D0F69">
        <w:rPr>
          <w:rFonts w:ascii="Century Gothic" w:hAnsi="Century Gothic"/>
          <w:b/>
        </w:rPr>
        <w:t>. Diagrama: Plan de Calidad para proyectos ejecutivos</w:t>
      </w:r>
    </w:p>
    <w:p w14:paraId="61C045EA" w14:textId="77777777" w:rsidR="00234EC0" w:rsidRDefault="00234EC0" w:rsidP="00234EC0">
      <w:pPr>
        <w:spacing w:after="120" w:line="276" w:lineRule="auto"/>
        <w:jc w:val="center"/>
        <w:rPr>
          <w:rFonts w:ascii="Century Gothic" w:hAnsi="Century Gothic"/>
          <w:b/>
        </w:rPr>
      </w:pPr>
      <w:r>
        <w:rPr>
          <w:rFonts w:ascii="Century Gothic" w:hAnsi="Century Gothic"/>
          <w:b/>
        </w:rPr>
        <w:t>Etapa Estudios Topográficos - suelos</w:t>
      </w:r>
    </w:p>
    <w:p w14:paraId="28471C4B" w14:textId="77777777" w:rsidR="00234EC0" w:rsidRDefault="00234EC0" w:rsidP="00234EC0">
      <w:pPr>
        <w:spacing w:after="120" w:line="276" w:lineRule="auto"/>
        <w:jc w:val="center"/>
        <w:rPr>
          <w:rFonts w:ascii="Century Gothic" w:hAnsi="Century Gothic"/>
          <w:b/>
        </w:rPr>
      </w:pPr>
      <w:r>
        <w:rPr>
          <w:rFonts w:ascii="Century Gothic" w:hAnsi="Century Gothic"/>
          <w:b/>
          <w:noProof/>
          <w:lang w:val="es-MX" w:eastAsia="es-MX"/>
        </w:rPr>
        <w:drawing>
          <wp:inline distT="0" distB="0" distL="0" distR="0" wp14:anchorId="2AD48784" wp14:editId="365F8C59">
            <wp:extent cx="7357730" cy="499240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1).jpg"/>
                    <pic:cNvPicPr/>
                  </pic:nvPicPr>
                  <pic:blipFill rotWithShape="1">
                    <a:blip r:embed="rId22" cstate="print">
                      <a:extLst>
                        <a:ext uri="{28A0092B-C50C-407E-A947-70E740481C1C}">
                          <a14:useLocalDpi xmlns:a14="http://schemas.microsoft.com/office/drawing/2010/main" val="0"/>
                        </a:ext>
                      </a:extLst>
                    </a:blip>
                    <a:srcRect l="1849" t="18472" r="4146" b="33091"/>
                    <a:stretch/>
                  </pic:blipFill>
                  <pic:spPr bwMode="auto">
                    <a:xfrm>
                      <a:off x="0" y="0"/>
                      <a:ext cx="7357730" cy="4992405"/>
                    </a:xfrm>
                    <a:prstGeom prst="rect">
                      <a:avLst/>
                    </a:prstGeom>
                    <a:ln>
                      <a:noFill/>
                    </a:ln>
                    <a:extLst>
                      <a:ext uri="{53640926-AAD7-44D8-BBD7-CCE9431645EC}">
                        <a14:shadowObscured xmlns:a14="http://schemas.microsoft.com/office/drawing/2010/main"/>
                      </a:ext>
                    </a:extLst>
                  </pic:spPr>
                </pic:pic>
              </a:graphicData>
            </a:graphic>
          </wp:inline>
        </w:drawing>
      </w:r>
    </w:p>
    <w:p w14:paraId="4B152D81" w14:textId="77777777" w:rsidR="00234EC0" w:rsidRDefault="001176E0" w:rsidP="00234EC0">
      <w:pPr>
        <w:jc w:val="center"/>
        <w:rPr>
          <w:rFonts w:ascii="Century Gothic" w:hAnsi="Century Gothic"/>
          <w:b/>
        </w:rPr>
      </w:pPr>
      <w:r>
        <w:rPr>
          <w:rFonts w:ascii="Century Gothic" w:hAnsi="Century Gothic"/>
          <w:b/>
        </w:rPr>
        <w:lastRenderedPageBreak/>
        <w:t>Figura 4.3</w:t>
      </w:r>
      <w:r w:rsidR="00234EC0">
        <w:rPr>
          <w:rFonts w:ascii="Century Gothic" w:hAnsi="Century Gothic"/>
          <w:b/>
        </w:rPr>
        <w:t xml:space="preserve">. </w:t>
      </w:r>
      <w:r w:rsidR="00234EC0" w:rsidRPr="008D0F69">
        <w:rPr>
          <w:rFonts w:ascii="Century Gothic" w:hAnsi="Century Gothic"/>
          <w:b/>
        </w:rPr>
        <w:t>Diagrama: Plan de Calidad para proyectos ejecutivos</w:t>
      </w:r>
    </w:p>
    <w:p w14:paraId="067F99EA" w14:textId="77777777" w:rsidR="00234EC0" w:rsidRDefault="00234EC0" w:rsidP="00234EC0">
      <w:pPr>
        <w:spacing w:after="120" w:line="276" w:lineRule="auto"/>
        <w:jc w:val="center"/>
        <w:rPr>
          <w:rFonts w:ascii="Century Gothic" w:hAnsi="Century Gothic"/>
          <w:b/>
        </w:rPr>
      </w:pPr>
      <w:r>
        <w:rPr>
          <w:rFonts w:ascii="Century Gothic" w:hAnsi="Century Gothic"/>
          <w:b/>
        </w:rPr>
        <w:t>Etapa Estudios Anteproyecto – Proyecto Ejecutivo</w:t>
      </w:r>
    </w:p>
    <w:p w14:paraId="684056A2" w14:textId="77777777" w:rsidR="00234EC0" w:rsidRDefault="00234EC0" w:rsidP="00234EC0">
      <w:pPr>
        <w:spacing w:after="40" w:line="276" w:lineRule="auto"/>
        <w:ind w:left="-425"/>
        <w:jc w:val="center"/>
        <w:rPr>
          <w:rFonts w:ascii="Century Gothic" w:hAnsi="Century Gothic"/>
        </w:rPr>
      </w:pPr>
      <w:r>
        <w:rPr>
          <w:rFonts w:ascii="Century Gothic" w:hAnsi="Century Gothic"/>
          <w:b/>
          <w:noProof/>
          <w:lang w:val="es-MX" w:eastAsia="es-MX"/>
        </w:rPr>
        <w:drawing>
          <wp:inline distT="0" distB="0" distL="0" distR="0" wp14:anchorId="0A98116B" wp14:editId="06E0FC9B">
            <wp:extent cx="7581014" cy="5230301"/>
            <wp:effectExtent l="0" t="0" r="1270" b="889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83934" cy="5232315"/>
                    </a:xfrm>
                    <a:prstGeom prst="rect">
                      <a:avLst/>
                    </a:prstGeom>
                  </pic:spPr>
                </pic:pic>
              </a:graphicData>
            </a:graphic>
          </wp:inline>
        </w:drawing>
      </w:r>
    </w:p>
    <w:p w14:paraId="074880A3" w14:textId="77777777" w:rsidR="00234EC0" w:rsidRDefault="001176E0" w:rsidP="00234EC0">
      <w:pPr>
        <w:jc w:val="center"/>
        <w:rPr>
          <w:rFonts w:ascii="Century Gothic" w:hAnsi="Century Gothic"/>
          <w:b/>
        </w:rPr>
      </w:pPr>
      <w:r>
        <w:rPr>
          <w:rFonts w:ascii="Century Gothic" w:hAnsi="Century Gothic"/>
          <w:b/>
        </w:rPr>
        <w:lastRenderedPageBreak/>
        <w:t>Figura 4.3</w:t>
      </w:r>
      <w:r w:rsidR="00234EC0">
        <w:rPr>
          <w:rFonts w:ascii="Century Gothic" w:hAnsi="Century Gothic"/>
          <w:b/>
        </w:rPr>
        <w:t xml:space="preserve">. </w:t>
      </w:r>
      <w:r w:rsidR="00234EC0" w:rsidRPr="008D0F69">
        <w:rPr>
          <w:rFonts w:ascii="Century Gothic" w:hAnsi="Century Gothic"/>
          <w:b/>
        </w:rPr>
        <w:t>Diagrama: Plan de Calidad para proyectos ejecutivos</w:t>
      </w:r>
    </w:p>
    <w:p w14:paraId="037BA364" w14:textId="77777777" w:rsidR="00234EC0" w:rsidRDefault="00234EC0" w:rsidP="00234EC0">
      <w:pPr>
        <w:spacing w:after="120" w:line="276" w:lineRule="auto"/>
        <w:jc w:val="center"/>
        <w:rPr>
          <w:rFonts w:ascii="Century Gothic" w:hAnsi="Century Gothic"/>
          <w:b/>
        </w:rPr>
      </w:pPr>
      <w:r>
        <w:rPr>
          <w:rFonts w:ascii="Century Gothic" w:hAnsi="Century Gothic"/>
          <w:b/>
        </w:rPr>
        <w:t>Etapa Expediente Unitario de Obra</w:t>
      </w:r>
    </w:p>
    <w:p w14:paraId="3937F351" w14:textId="77777777" w:rsidR="00234EC0" w:rsidRDefault="00234EC0" w:rsidP="00234EC0">
      <w:pPr>
        <w:spacing w:after="40" w:line="276" w:lineRule="auto"/>
        <w:ind w:left="-425"/>
        <w:jc w:val="center"/>
        <w:rPr>
          <w:rFonts w:ascii="Century Gothic" w:hAnsi="Century Gothic"/>
        </w:rPr>
      </w:pPr>
      <w:r>
        <w:rPr>
          <w:rFonts w:ascii="Century Gothic" w:hAnsi="Century Gothic"/>
          <w:noProof/>
          <w:lang w:val="es-MX" w:eastAsia="es-MX"/>
        </w:rPr>
        <w:drawing>
          <wp:inline distT="0" distB="0" distL="0" distR="0" wp14:anchorId="00478BC5" wp14:editId="53C9C6A7">
            <wp:extent cx="7081284" cy="4874063"/>
            <wp:effectExtent l="0" t="0" r="5715" b="317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89689" cy="4879848"/>
                    </a:xfrm>
                    <a:prstGeom prst="rect">
                      <a:avLst/>
                    </a:prstGeom>
                  </pic:spPr>
                </pic:pic>
              </a:graphicData>
            </a:graphic>
          </wp:inline>
        </w:drawing>
      </w:r>
    </w:p>
    <w:p w14:paraId="327E48E9" w14:textId="77777777" w:rsidR="000623CB" w:rsidRDefault="00CE4767" w:rsidP="00234EC0">
      <w:pPr>
        <w:spacing w:after="240"/>
        <w:jc w:val="both"/>
        <w:rPr>
          <w:rFonts w:ascii="Century Gothic" w:hAnsi="Century Gothic"/>
        </w:rPr>
      </w:pPr>
      <w:r w:rsidRPr="00B02936">
        <w:rPr>
          <w:rFonts w:cstheme="minorHAnsi"/>
          <w:sz w:val="18"/>
        </w:rPr>
        <w:t>Fuente: Tomado el documento “Plan de la Calidad para la contratación” suministrado por la SEIDUR como evidencia</w:t>
      </w:r>
      <w:r w:rsidRPr="00B02936">
        <w:rPr>
          <w:rFonts w:ascii="Century Gothic" w:hAnsi="Century Gothic"/>
          <w:sz w:val="20"/>
        </w:rPr>
        <w:t>.</w:t>
      </w:r>
      <w:r w:rsidR="000623CB">
        <w:rPr>
          <w:rFonts w:ascii="Century Gothic" w:hAnsi="Century Gothic"/>
        </w:rPr>
        <w:br w:type="page"/>
      </w:r>
    </w:p>
    <w:p w14:paraId="31BFEE5C" w14:textId="77777777" w:rsidR="000623CB" w:rsidRDefault="000623CB" w:rsidP="00CE4767">
      <w:pPr>
        <w:spacing w:after="240" w:line="276" w:lineRule="auto"/>
        <w:jc w:val="both"/>
        <w:rPr>
          <w:rFonts w:ascii="Century Gothic" w:hAnsi="Century Gothic"/>
        </w:rPr>
        <w:sectPr w:rsidR="000623CB" w:rsidSect="00326F99">
          <w:pgSz w:w="15840" w:h="12240" w:orient="landscape"/>
          <w:pgMar w:top="1701" w:right="1418" w:bottom="1469" w:left="1418" w:header="709" w:footer="709" w:gutter="0"/>
          <w:cols w:space="708"/>
          <w:titlePg/>
          <w:docGrid w:linePitch="360"/>
        </w:sectPr>
      </w:pPr>
    </w:p>
    <w:p w14:paraId="2B27FF7D" w14:textId="77777777" w:rsidR="00CE4767" w:rsidRDefault="00CE4767" w:rsidP="00CE4767">
      <w:pPr>
        <w:spacing w:after="240" w:line="276" w:lineRule="auto"/>
        <w:jc w:val="both"/>
        <w:rPr>
          <w:rFonts w:ascii="Century Gothic" w:hAnsi="Century Gothic"/>
        </w:rPr>
      </w:pPr>
      <w:r>
        <w:rPr>
          <w:rFonts w:ascii="Century Gothic" w:hAnsi="Century Gothic"/>
        </w:rPr>
        <w:lastRenderedPageBreak/>
        <w:t xml:space="preserve">Como se puede observar en el diagrama anterior, el subproceso de desarrollo de los proyectos ejecutivos </w:t>
      </w:r>
      <w:r w:rsidR="00234EC0">
        <w:rPr>
          <w:rFonts w:ascii="Century Gothic" w:hAnsi="Century Gothic"/>
        </w:rPr>
        <w:t xml:space="preserve"> se puede clasificar por etapas, </w:t>
      </w:r>
      <w:r>
        <w:rPr>
          <w:rFonts w:ascii="Century Gothic" w:hAnsi="Century Gothic"/>
        </w:rPr>
        <w:t>inicia</w:t>
      </w:r>
      <w:r w:rsidR="00234EC0">
        <w:rPr>
          <w:rFonts w:ascii="Century Gothic" w:hAnsi="Century Gothic"/>
        </w:rPr>
        <w:t>ndo</w:t>
      </w:r>
      <w:r>
        <w:rPr>
          <w:rFonts w:ascii="Century Gothic" w:hAnsi="Century Gothic"/>
        </w:rPr>
        <w:t xml:space="preserve"> con los estudios topográficos y de mecánica de suelos, prosiguiendo con la elaboración del anteproyecto, desarrollo del proyecto ejecutivo, presupuestación de</w:t>
      </w:r>
      <w:r w:rsidR="00234EC0">
        <w:rPr>
          <w:rFonts w:ascii="Century Gothic" w:hAnsi="Century Gothic"/>
        </w:rPr>
        <w:t xml:space="preserve"> </w:t>
      </w:r>
      <w:r>
        <w:rPr>
          <w:rFonts w:ascii="Century Gothic" w:hAnsi="Century Gothic"/>
        </w:rPr>
        <w:t>la obra y finalmente elaboración del expediente unitario de obra. Sin embargo en dicho diagrama no se detalla o especifica que procede en caso de que los estudios no sean viables.</w:t>
      </w:r>
    </w:p>
    <w:p w14:paraId="38811D80" w14:textId="77777777" w:rsidR="00CE4767" w:rsidRPr="006D619C" w:rsidRDefault="001176E0" w:rsidP="00CE4767">
      <w:pPr>
        <w:spacing w:after="240" w:line="276" w:lineRule="auto"/>
        <w:jc w:val="center"/>
        <w:rPr>
          <w:rFonts w:ascii="Century Gothic" w:hAnsi="Century Gothic"/>
          <w:b/>
        </w:rPr>
      </w:pPr>
      <w:r>
        <w:rPr>
          <w:rFonts w:ascii="Century Gothic" w:hAnsi="Century Gothic"/>
          <w:b/>
        </w:rPr>
        <w:t>Figura 4.4</w:t>
      </w:r>
      <w:r w:rsidR="00CE4767" w:rsidRPr="006D619C">
        <w:rPr>
          <w:rFonts w:ascii="Century Gothic" w:hAnsi="Century Gothic"/>
          <w:b/>
        </w:rPr>
        <w:t>. Modelo para el Desarrollo de Viabilidad de estudios topográficos o de mecánica de suelos.</w:t>
      </w:r>
    </w:p>
    <w:p w14:paraId="4C558F17" w14:textId="77777777" w:rsidR="00CE4767" w:rsidRDefault="00CE4767" w:rsidP="00CE4767">
      <w:pPr>
        <w:spacing w:after="240" w:line="276" w:lineRule="auto"/>
        <w:jc w:val="center"/>
        <w:rPr>
          <w:rFonts w:ascii="Century Gothic" w:hAnsi="Century Gothic"/>
        </w:rPr>
      </w:pPr>
      <w:r>
        <w:rPr>
          <w:rFonts w:ascii="Century Gothic" w:hAnsi="Century Gothic"/>
          <w:noProof/>
          <w:lang w:val="es-MX" w:eastAsia="es-MX"/>
        </w:rPr>
        <w:drawing>
          <wp:inline distT="0" distB="0" distL="0" distR="0" wp14:anchorId="7ED6D673" wp14:editId="12EDE394">
            <wp:extent cx="4514850" cy="3079865"/>
            <wp:effectExtent l="0" t="0" r="0" b="6350"/>
            <wp:docPr id="3079" name="Imagen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8983" cy="3082684"/>
                    </a:xfrm>
                    <a:prstGeom prst="rect">
                      <a:avLst/>
                    </a:prstGeom>
                    <a:noFill/>
                  </pic:spPr>
                </pic:pic>
              </a:graphicData>
            </a:graphic>
          </wp:inline>
        </w:drawing>
      </w:r>
    </w:p>
    <w:p w14:paraId="095F4C29" w14:textId="77777777" w:rsidR="00CE4767" w:rsidRPr="00895C23" w:rsidRDefault="00CE4767" w:rsidP="00CE4767">
      <w:pPr>
        <w:spacing w:after="240" w:line="276" w:lineRule="auto"/>
        <w:rPr>
          <w:rFonts w:cstheme="minorHAnsi"/>
          <w:sz w:val="22"/>
        </w:rPr>
      </w:pPr>
      <w:r w:rsidRPr="00895C23">
        <w:rPr>
          <w:rFonts w:cstheme="minorHAnsi"/>
          <w:sz w:val="22"/>
        </w:rPr>
        <w:t>Fuente: Elaborado por TECSO</w:t>
      </w:r>
    </w:p>
    <w:p w14:paraId="27F97C77" w14:textId="77777777" w:rsidR="00234EC0" w:rsidRDefault="00234EC0" w:rsidP="00CE4767">
      <w:pPr>
        <w:spacing w:after="240" w:line="276" w:lineRule="auto"/>
        <w:jc w:val="both"/>
        <w:rPr>
          <w:rFonts w:ascii="Century Gothic" w:hAnsi="Century Gothic"/>
        </w:rPr>
      </w:pPr>
      <w:r>
        <w:rPr>
          <w:rFonts w:ascii="Century Gothic" w:hAnsi="Century Gothic"/>
        </w:rPr>
        <w:t>En general los diagramase flujo no contienen las etapas de decisión y por lo tanto las distintas rutas, del Sí o No, planteándose como un supuesto el resultado de “Sí” en todos los casos, por lo que no describe que pasa en los “No”.</w:t>
      </w:r>
    </w:p>
    <w:p w14:paraId="2928A438" w14:textId="77777777" w:rsidR="00CE4767" w:rsidRDefault="00CE4767" w:rsidP="00CE4767">
      <w:pPr>
        <w:spacing w:after="240" w:line="276" w:lineRule="auto"/>
        <w:jc w:val="both"/>
        <w:rPr>
          <w:rFonts w:ascii="Century Gothic" w:hAnsi="Century Gothic"/>
        </w:rPr>
      </w:pPr>
      <w:r>
        <w:rPr>
          <w:rFonts w:ascii="Century Gothic" w:hAnsi="Century Gothic"/>
        </w:rPr>
        <w:t xml:space="preserve">Ante ello se recomienda que dicho procedimiento por un lado se actualice a la normatividad y requerimientos vigentes y se complemente especificando que procede en caso de que algún estudio no sea viable. Esto porque al revisar el documento en el marco normativo aún está el </w:t>
      </w:r>
      <w:r w:rsidRPr="00085EE8">
        <w:rPr>
          <w:rFonts w:ascii="Century Gothic" w:hAnsi="Century Gothic"/>
        </w:rPr>
        <w:t xml:space="preserve">Plan </w:t>
      </w:r>
      <w:r>
        <w:rPr>
          <w:rFonts w:ascii="Century Gothic" w:hAnsi="Century Gothic"/>
        </w:rPr>
        <w:t xml:space="preserve">Estatal de Desarrollo 2009-2015, el </w:t>
      </w:r>
      <w:r w:rsidRPr="00085EE8">
        <w:rPr>
          <w:rFonts w:ascii="Century Gothic" w:hAnsi="Century Gothic"/>
        </w:rPr>
        <w:t xml:space="preserve">Programa de Desarrollo </w:t>
      </w:r>
      <w:r>
        <w:rPr>
          <w:rFonts w:ascii="Century Gothic" w:hAnsi="Century Gothic"/>
        </w:rPr>
        <w:t>Urbano 2004-2009.</w:t>
      </w:r>
    </w:p>
    <w:p w14:paraId="1730BAA8" w14:textId="77777777" w:rsidR="00813636" w:rsidRPr="00813636" w:rsidRDefault="00E84C5A" w:rsidP="00813636">
      <w:pPr>
        <w:pStyle w:val="Ttulo2"/>
        <w:spacing w:before="0" w:after="240" w:line="276" w:lineRule="auto"/>
        <w:rPr>
          <w:rFonts w:ascii="Century Gothic" w:hAnsi="Century Gothic"/>
          <w:color w:val="0E4E7A"/>
          <w:sz w:val="24"/>
          <w:szCs w:val="24"/>
        </w:rPr>
      </w:pPr>
      <w:bookmarkStart w:id="40" w:name="_Toc511236528"/>
      <w:r>
        <w:rPr>
          <w:rFonts w:ascii="Century Gothic" w:hAnsi="Century Gothic"/>
          <w:color w:val="0E4E7A"/>
          <w:sz w:val="24"/>
          <w:szCs w:val="24"/>
        </w:rPr>
        <w:lastRenderedPageBreak/>
        <w:t>4.3 P</w:t>
      </w:r>
      <w:r w:rsidR="00813636" w:rsidRPr="00813636">
        <w:rPr>
          <w:rFonts w:ascii="Century Gothic" w:hAnsi="Century Gothic"/>
          <w:color w:val="0E4E7A"/>
          <w:sz w:val="24"/>
          <w:szCs w:val="24"/>
        </w:rPr>
        <w:t>roceso: Ejercicio</w:t>
      </w:r>
      <w:bookmarkEnd w:id="40"/>
    </w:p>
    <w:p w14:paraId="43758F5B" w14:textId="77777777" w:rsidR="00700F1B" w:rsidRDefault="00700F1B" w:rsidP="000C11E7">
      <w:pPr>
        <w:spacing w:after="240" w:line="276" w:lineRule="auto"/>
        <w:jc w:val="both"/>
        <w:rPr>
          <w:rFonts w:ascii="Century Gothic" w:hAnsi="Century Gothic"/>
        </w:rPr>
      </w:pPr>
      <w:r>
        <w:rPr>
          <w:rFonts w:ascii="Century Gothic" w:hAnsi="Century Gothic"/>
        </w:rPr>
        <w:t xml:space="preserve">Este </w:t>
      </w:r>
      <w:r w:rsidRPr="00050DA1">
        <w:rPr>
          <w:rFonts w:ascii="Century Gothic" w:hAnsi="Century Gothic"/>
        </w:rPr>
        <w:t>proceso contempla desde las acciones para producir los bienes y/o servicio</w:t>
      </w:r>
      <w:r w:rsidR="000C11E7">
        <w:rPr>
          <w:rFonts w:ascii="Century Gothic" w:hAnsi="Century Gothic"/>
        </w:rPr>
        <w:t>s ya sea desde la contratación h</w:t>
      </w:r>
      <w:r w:rsidRPr="00050DA1">
        <w:rPr>
          <w:rFonts w:ascii="Century Gothic" w:hAnsi="Century Gothic"/>
        </w:rPr>
        <w:t>asta la generación del bien y/o servicio, tomando en cuenta su ejer</w:t>
      </w:r>
      <w:r>
        <w:rPr>
          <w:rFonts w:ascii="Century Gothic" w:hAnsi="Century Gothic"/>
        </w:rPr>
        <w:t>cicio y entrega al beneficiario.</w:t>
      </w:r>
    </w:p>
    <w:p w14:paraId="1009651C" w14:textId="77777777" w:rsidR="00284B40" w:rsidRDefault="000C11E7" w:rsidP="00284B40">
      <w:pPr>
        <w:spacing w:after="240" w:line="276" w:lineRule="auto"/>
        <w:jc w:val="both"/>
        <w:rPr>
          <w:rFonts w:ascii="Century Gothic" w:hAnsi="Century Gothic"/>
        </w:rPr>
      </w:pPr>
      <w:r>
        <w:rPr>
          <w:rFonts w:ascii="Century Gothic" w:hAnsi="Century Gothic"/>
        </w:rPr>
        <w:t>Con base en la evidencia suministrada por la SEIDUR del proceso de certificación ISO 9001 llevado a cabo en el año 2014, se identificó que en este tema es donde se cuenta con mayor documentación del paso a paso de cómo se ejerce el recurso.</w:t>
      </w:r>
      <w:r w:rsidR="0079616F">
        <w:rPr>
          <w:rFonts w:ascii="Century Gothic" w:hAnsi="Century Gothic"/>
        </w:rPr>
        <w:t xml:space="preserve"> El cual abarca desde la contratación hasta la entrega de la obra.</w:t>
      </w:r>
    </w:p>
    <w:p w14:paraId="5378AED9" w14:textId="77777777" w:rsidR="00284B40" w:rsidRPr="000C11E7" w:rsidRDefault="00284B40" w:rsidP="0060201D">
      <w:pPr>
        <w:pStyle w:val="Ttulo3"/>
        <w:numPr>
          <w:ilvl w:val="2"/>
          <w:numId w:val="20"/>
        </w:numPr>
        <w:spacing w:before="0" w:after="240" w:line="276" w:lineRule="auto"/>
        <w:rPr>
          <w:rFonts w:ascii="Century Gothic" w:hAnsi="Century Gothic"/>
          <w:color w:val="0E4E7A"/>
        </w:rPr>
      </w:pPr>
      <w:bookmarkStart w:id="41" w:name="_Toc511236529"/>
      <w:r>
        <w:rPr>
          <w:rFonts w:ascii="Century Gothic" w:hAnsi="Century Gothic"/>
          <w:color w:val="0E4E7A"/>
        </w:rPr>
        <w:t>Plan de la Calidad para la contratación</w:t>
      </w:r>
      <w:bookmarkEnd w:id="41"/>
    </w:p>
    <w:p w14:paraId="57D8A634" w14:textId="77777777" w:rsidR="00284B40" w:rsidRDefault="00284B40" w:rsidP="00284B40">
      <w:pPr>
        <w:spacing w:after="240" w:line="276" w:lineRule="auto"/>
        <w:jc w:val="both"/>
        <w:rPr>
          <w:rFonts w:ascii="Century Gothic" w:hAnsi="Century Gothic"/>
        </w:rPr>
      </w:pPr>
      <w:r>
        <w:rPr>
          <w:rFonts w:ascii="Century Gothic" w:hAnsi="Century Gothic"/>
        </w:rPr>
        <w:t>El objetivo de este proceso es “</w:t>
      </w:r>
      <w:r w:rsidRPr="0079616F">
        <w:rPr>
          <w:rFonts w:ascii="Century Gothic" w:hAnsi="Century Gothic"/>
        </w:rPr>
        <w:t>Formalizar la contratación de Obra Pública, Servicios, Adquisiciones y Arrendamientos a través de las</w:t>
      </w:r>
      <w:r>
        <w:rPr>
          <w:rFonts w:ascii="Century Gothic" w:hAnsi="Century Gothic"/>
        </w:rPr>
        <w:t xml:space="preserve"> </w:t>
      </w:r>
      <w:r w:rsidRPr="0079616F">
        <w:rPr>
          <w:rFonts w:ascii="Century Gothic" w:hAnsi="Century Gothic"/>
        </w:rPr>
        <w:t>modalidades de Adjudicación Directa, Invitación a cuando menos tres personas y Convocatoria Pública Abierta</w:t>
      </w:r>
      <w:r>
        <w:rPr>
          <w:rFonts w:ascii="Century Gothic" w:hAnsi="Century Gothic"/>
        </w:rPr>
        <w:t xml:space="preserve"> </w:t>
      </w:r>
      <w:r w:rsidRPr="0079616F">
        <w:rPr>
          <w:rFonts w:ascii="Century Gothic" w:hAnsi="Century Gothic"/>
        </w:rPr>
        <w:t>con aquellas personas físicas o morales que ofrezcan las mejores condiciones económicas y que, a juicio de la</w:t>
      </w:r>
      <w:r>
        <w:rPr>
          <w:rFonts w:ascii="Century Gothic" w:hAnsi="Century Gothic"/>
        </w:rPr>
        <w:t xml:space="preserve"> </w:t>
      </w:r>
      <w:r w:rsidRPr="0079616F">
        <w:rPr>
          <w:rFonts w:ascii="Century Gothic" w:hAnsi="Century Gothic"/>
        </w:rPr>
        <w:t>Secretaría, cuenten con la capacidad técnica y económica para ejecutar la obra correspondiente de acuerdo a</w:t>
      </w:r>
      <w:r>
        <w:rPr>
          <w:rFonts w:ascii="Century Gothic" w:hAnsi="Century Gothic"/>
        </w:rPr>
        <w:t xml:space="preserve"> </w:t>
      </w:r>
      <w:r w:rsidRPr="0079616F">
        <w:rPr>
          <w:rFonts w:ascii="Century Gothic" w:hAnsi="Century Gothic"/>
        </w:rPr>
        <w:t>la Normatividad Vigente</w:t>
      </w:r>
      <w:r>
        <w:rPr>
          <w:rFonts w:ascii="Century Gothic" w:hAnsi="Century Gothic"/>
        </w:rPr>
        <w:t>”</w:t>
      </w:r>
      <w:r>
        <w:rPr>
          <w:rStyle w:val="Refdenotaalpie"/>
          <w:rFonts w:ascii="Century Gothic" w:hAnsi="Century Gothic"/>
        </w:rPr>
        <w:footnoteReference w:id="13"/>
      </w:r>
      <w:r w:rsidRPr="0079616F">
        <w:rPr>
          <w:rFonts w:ascii="Century Gothic" w:hAnsi="Century Gothic"/>
        </w:rPr>
        <w:t>.</w:t>
      </w:r>
    </w:p>
    <w:p w14:paraId="2D6CFDE5" w14:textId="77777777" w:rsidR="00284B40" w:rsidRDefault="00284B40" w:rsidP="00284B40">
      <w:pPr>
        <w:spacing w:after="240" w:line="276" w:lineRule="auto"/>
        <w:jc w:val="both"/>
        <w:rPr>
          <w:rFonts w:ascii="Century Gothic" w:hAnsi="Century Gothic"/>
        </w:rPr>
      </w:pPr>
      <w:r>
        <w:rPr>
          <w:rFonts w:ascii="Century Gothic" w:hAnsi="Century Gothic"/>
        </w:rPr>
        <w:t>En dicho documento se establecen las políticas que se debe cumplir para iniciar un proceso de contratación de las obras:</w:t>
      </w:r>
    </w:p>
    <w:p w14:paraId="49550E56" w14:textId="77777777" w:rsidR="00284B40" w:rsidRPr="00542056" w:rsidRDefault="00284B40" w:rsidP="00D81836">
      <w:pPr>
        <w:spacing w:after="120" w:line="276" w:lineRule="auto"/>
        <w:ind w:left="284" w:right="284"/>
        <w:jc w:val="both"/>
        <w:rPr>
          <w:rFonts w:ascii="Century Gothic" w:hAnsi="Century Gothic"/>
        </w:rPr>
      </w:pPr>
      <w:r>
        <w:rPr>
          <w:rFonts w:ascii="Century Gothic" w:hAnsi="Century Gothic"/>
        </w:rPr>
        <w:t xml:space="preserve">3.1 </w:t>
      </w:r>
      <w:r w:rsidRPr="00542056">
        <w:rPr>
          <w:rFonts w:ascii="Century Gothic" w:hAnsi="Century Gothic"/>
        </w:rPr>
        <w:t>Para la contratación de toda Obra Pública, Servicios, Adquisiciones o Arrendamientos con recurso</w:t>
      </w:r>
      <w:r>
        <w:rPr>
          <w:rFonts w:ascii="Century Gothic" w:hAnsi="Century Gothic"/>
        </w:rPr>
        <w:t xml:space="preserve"> </w:t>
      </w:r>
      <w:r w:rsidRPr="00542056">
        <w:rPr>
          <w:rFonts w:ascii="Century Gothic" w:hAnsi="Century Gothic"/>
        </w:rPr>
        <w:t>Federal a través de cualquier modalidad, deberá existir un Oficio previo de la Autorización de Recursos</w:t>
      </w:r>
      <w:r>
        <w:rPr>
          <w:rFonts w:ascii="Century Gothic" w:hAnsi="Century Gothic"/>
        </w:rPr>
        <w:t xml:space="preserve"> </w:t>
      </w:r>
      <w:r w:rsidRPr="00542056">
        <w:rPr>
          <w:rFonts w:ascii="Century Gothic" w:hAnsi="Century Gothic"/>
        </w:rPr>
        <w:t>expedido por la dependencia Estatal gestora y/o por la dependencia Federal que asigne los recursos,</w:t>
      </w:r>
      <w:r>
        <w:rPr>
          <w:rFonts w:ascii="Century Gothic" w:hAnsi="Century Gothic"/>
        </w:rPr>
        <w:t xml:space="preserve"> </w:t>
      </w:r>
      <w:r w:rsidRPr="00542056">
        <w:rPr>
          <w:rFonts w:ascii="Century Gothic" w:hAnsi="Century Gothic"/>
        </w:rPr>
        <w:t>considerando las siguientes excepciones, de acue</w:t>
      </w:r>
      <w:r>
        <w:rPr>
          <w:rFonts w:ascii="Century Gothic" w:hAnsi="Century Gothic"/>
        </w:rPr>
        <w:t xml:space="preserve">rdo a la normatividad aplicable, </w:t>
      </w:r>
      <w:r w:rsidRPr="00542056">
        <w:rPr>
          <w:rFonts w:ascii="Century Gothic" w:hAnsi="Century Gothic"/>
        </w:rPr>
        <w:t>cuando</w:t>
      </w:r>
      <w:r>
        <w:rPr>
          <w:rFonts w:ascii="Century Gothic" w:hAnsi="Century Gothic"/>
        </w:rPr>
        <w:t xml:space="preserve"> </w:t>
      </w:r>
      <w:r w:rsidRPr="00542056">
        <w:rPr>
          <w:rFonts w:ascii="Century Gothic" w:hAnsi="Century Gothic"/>
        </w:rPr>
        <w:t>los trabajos sean ordenados por el Gobernador del Estado o cuando sean programas emergentes en</w:t>
      </w:r>
      <w:r>
        <w:rPr>
          <w:rFonts w:ascii="Century Gothic" w:hAnsi="Century Gothic"/>
        </w:rPr>
        <w:t xml:space="preserve"> </w:t>
      </w:r>
      <w:r w:rsidRPr="00542056">
        <w:rPr>
          <w:rFonts w:ascii="Century Gothic" w:hAnsi="Century Gothic"/>
        </w:rPr>
        <w:t>caso de alguna contingencia el proceso se iniciara con un oficio emitido por el Secretario de Desarrollo</w:t>
      </w:r>
      <w:r>
        <w:rPr>
          <w:rFonts w:ascii="Century Gothic" w:hAnsi="Century Gothic"/>
        </w:rPr>
        <w:t xml:space="preserve"> </w:t>
      </w:r>
      <w:r w:rsidRPr="00542056">
        <w:rPr>
          <w:rFonts w:ascii="Century Gothic" w:hAnsi="Century Gothic"/>
        </w:rPr>
        <w:t>Urbano.</w:t>
      </w:r>
    </w:p>
    <w:p w14:paraId="5F13D268" w14:textId="77777777" w:rsidR="00284B40" w:rsidRPr="00542056" w:rsidRDefault="00284B40" w:rsidP="00D81836">
      <w:pPr>
        <w:spacing w:after="120" w:line="276" w:lineRule="auto"/>
        <w:ind w:left="284" w:right="284"/>
        <w:jc w:val="both"/>
        <w:rPr>
          <w:rFonts w:ascii="Century Gothic" w:hAnsi="Century Gothic"/>
        </w:rPr>
      </w:pPr>
      <w:r w:rsidRPr="00542056">
        <w:rPr>
          <w:rFonts w:ascii="Century Gothic" w:hAnsi="Century Gothic"/>
        </w:rPr>
        <w:t>3.2 Para el recurso Estatal se consultara e imprimirá del Sistema de control presupuestal el reporte de la</w:t>
      </w:r>
      <w:r>
        <w:rPr>
          <w:rFonts w:ascii="Century Gothic" w:hAnsi="Century Gothic"/>
        </w:rPr>
        <w:t xml:space="preserve"> </w:t>
      </w:r>
      <w:r w:rsidRPr="00542056">
        <w:rPr>
          <w:rFonts w:ascii="Century Gothic" w:hAnsi="Century Gothic"/>
        </w:rPr>
        <w:t>Obra, Servicio, Adquisición o Arrendamiento para conocer la autorización de recursos.</w:t>
      </w:r>
    </w:p>
    <w:p w14:paraId="167BBF78" w14:textId="77777777" w:rsidR="00284B40" w:rsidRPr="00542056" w:rsidRDefault="00284B40" w:rsidP="00D81836">
      <w:pPr>
        <w:spacing w:after="120" w:line="276" w:lineRule="auto"/>
        <w:ind w:left="284" w:right="284"/>
        <w:jc w:val="both"/>
        <w:rPr>
          <w:rFonts w:ascii="Century Gothic" w:hAnsi="Century Gothic"/>
        </w:rPr>
      </w:pPr>
      <w:r w:rsidRPr="00542056">
        <w:rPr>
          <w:rFonts w:ascii="Century Gothic" w:hAnsi="Century Gothic"/>
        </w:rPr>
        <w:lastRenderedPageBreak/>
        <w:t>3.3 Para la realización de obras públicas se requerirá contar con un Expediente Unitario de Obra (Proyecto),</w:t>
      </w:r>
      <w:r>
        <w:rPr>
          <w:rFonts w:ascii="Century Gothic" w:hAnsi="Century Gothic"/>
        </w:rPr>
        <w:t xml:space="preserve"> </w:t>
      </w:r>
      <w:r w:rsidRPr="00542056">
        <w:rPr>
          <w:rFonts w:ascii="Century Gothic" w:hAnsi="Century Gothic"/>
        </w:rPr>
        <w:t>elaborado por la Dirección de Proyectos o la Dirección de Caminos totalmente terminado, o bien, con un</w:t>
      </w:r>
      <w:r>
        <w:rPr>
          <w:rFonts w:ascii="Century Gothic" w:hAnsi="Century Gothic"/>
        </w:rPr>
        <w:t xml:space="preserve"> </w:t>
      </w:r>
      <w:r w:rsidRPr="00542056">
        <w:rPr>
          <w:rFonts w:ascii="Century Gothic" w:hAnsi="Century Gothic"/>
        </w:rPr>
        <w:t>avance en su desarrollo que permita a los licitantes preparar una proposición solvente y ejecutar los</w:t>
      </w:r>
      <w:r>
        <w:rPr>
          <w:rFonts w:ascii="Century Gothic" w:hAnsi="Century Gothic"/>
        </w:rPr>
        <w:t xml:space="preserve"> </w:t>
      </w:r>
      <w:r w:rsidRPr="00542056">
        <w:rPr>
          <w:rFonts w:ascii="Century Gothic" w:hAnsi="Century Gothic"/>
        </w:rPr>
        <w:t>trabajos hasta su conclusión</w:t>
      </w:r>
      <w:r w:rsidR="00D81836">
        <w:rPr>
          <w:rFonts w:ascii="Century Gothic" w:hAnsi="Century Gothic"/>
        </w:rPr>
        <w:t>.</w:t>
      </w:r>
    </w:p>
    <w:p w14:paraId="246D1059" w14:textId="77777777" w:rsidR="00284B40" w:rsidRPr="00542056" w:rsidRDefault="00284B40" w:rsidP="00D81836">
      <w:pPr>
        <w:spacing w:after="120" w:line="276" w:lineRule="auto"/>
        <w:ind w:left="284" w:right="284"/>
        <w:jc w:val="both"/>
        <w:rPr>
          <w:rFonts w:ascii="Century Gothic" w:hAnsi="Century Gothic"/>
        </w:rPr>
      </w:pPr>
      <w:r w:rsidRPr="00542056">
        <w:rPr>
          <w:rFonts w:ascii="Century Gothic" w:hAnsi="Century Gothic"/>
        </w:rPr>
        <w:t>3.4 Para el caso de los servicios, adquisiciones o arrendamientos la dependencia o el área solicitante de la</w:t>
      </w:r>
      <w:r>
        <w:rPr>
          <w:rFonts w:ascii="Century Gothic" w:hAnsi="Century Gothic"/>
        </w:rPr>
        <w:t xml:space="preserve"> </w:t>
      </w:r>
      <w:r w:rsidRPr="00542056">
        <w:rPr>
          <w:rFonts w:ascii="Century Gothic" w:hAnsi="Century Gothic"/>
        </w:rPr>
        <w:t>licitación deberá conformar un expediente de proyecto que incluirá en lo aplicable, términos de</w:t>
      </w:r>
      <w:r>
        <w:rPr>
          <w:rFonts w:ascii="Century Gothic" w:hAnsi="Century Gothic"/>
        </w:rPr>
        <w:t xml:space="preserve"> </w:t>
      </w:r>
      <w:r w:rsidRPr="00542056">
        <w:rPr>
          <w:rFonts w:ascii="Century Gothic" w:hAnsi="Century Gothic"/>
        </w:rPr>
        <w:t>referencia, especificaciones del equipo o material, catálogo de conceptos y la información necesaria.</w:t>
      </w:r>
    </w:p>
    <w:p w14:paraId="0718F130" w14:textId="77777777" w:rsidR="00284B40" w:rsidRPr="00542056" w:rsidRDefault="00284B40" w:rsidP="00D81836">
      <w:pPr>
        <w:spacing w:after="120" w:line="276" w:lineRule="auto"/>
        <w:ind w:left="284" w:right="284"/>
        <w:jc w:val="both"/>
        <w:rPr>
          <w:rFonts w:ascii="Century Gothic" w:hAnsi="Century Gothic"/>
        </w:rPr>
      </w:pPr>
      <w:r w:rsidRPr="00542056">
        <w:rPr>
          <w:rFonts w:ascii="Century Gothic" w:hAnsi="Century Gothic"/>
        </w:rPr>
        <w:t>3.5 Los documentos se solicitaran a los Licitantes de la siguiente manera, para la modalidad de</w:t>
      </w:r>
      <w:r>
        <w:rPr>
          <w:rFonts w:ascii="Century Gothic" w:hAnsi="Century Gothic"/>
        </w:rPr>
        <w:t xml:space="preserve"> </w:t>
      </w:r>
      <w:r w:rsidRPr="00542056">
        <w:rPr>
          <w:rFonts w:ascii="Century Gothic" w:hAnsi="Century Gothic"/>
        </w:rPr>
        <w:t>Adjudicación Directa será por medio de un oficio dirigido a la empresa firmado por el Secretario de</w:t>
      </w:r>
      <w:r>
        <w:rPr>
          <w:rFonts w:ascii="Century Gothic" w:hAnsi="Century Gothic"/>
        </w:rPr>
        <w:t xml:space="preserve"> </w:t>
      </w:r>
      <w:r w:rsidRPr="00542056">
        <w:rPr>
          <w:rFonts w:ascii="Century Gothic" w:hAnsi="Century Gothic"/>
        </w:rPr>
        <w:t>Desarrollo Urbano, para la modalidad de Invitación a Cuando Menos Tres Personas y Convocatoria</w:t>
      </w:r>
      <w:r>
        <w:rPr>
          <w:rFonts w:ascii="Century Gothic" w:hAnsi="Century Gothic"/>
        </w:rPr>
        <w:t xml:space="preserve"> </w:t>
      </w:r>
      <w:r w:rsidRPr="00542056">
        <w:rPr>
          <w:rFonts w:ascii="Century Gothic" w:hAnsi="Century Gothic"/>
        </w:rPr>
        <w:t>Pública Abierta por medio de Bases de Licitación mismas que se entregaran en un CD en el caso de</w:t>
      </w:r>
      <w:r>
        <w:rPr>
          <w:rFonts w:ascii="Century Gothic" w:hAnsi="Century Gothic"/>
        </w:rPr>
        <w:t xml:space="preserve"> </w:t>
      </w:r>
      <w:r w:rsidRPr="00542056">
        <w:rPr>
          <w:rFonts w:ascii="Century Gothic" w:hAnsi="Century Gothic"/>
        </w:rPr>
        <w:t>recurso Estatal y se incorporara al sistema CompraNet en el caso de recurso Federal.</w:t>
      </w:r>
    </w:p>
    <w:p w14:paraId="62E98385" w14:textId="77777777" w:rsidR="00284B40" w:rsidRPr="00542056" w:rsidRDefault="00284B40" w:rsidP="00D81836">
      <w:pPr>
        <w:spacing w:after="120" w:line="276" w:lineRule="auto"/>
        <w:ind w:left="284" w:right="284"/>
        <w:jc w:val="both"/>
        <w:rPr>
          <w:rFonts w:ascii="Century Gothic" w:hAnsi="Century Gothic"/>
        </w:rPr>
      </w:pPr>
      <w:r w:rsidRPr="00542056">
        <w:rPr>
          <w:rFonts w:ascii="Century Gothic" w:hAnsi="Century Gothic"/>
        </w:rPr>
        <w:t>3.6 Para poder realizar la contratación de una Obra Pública, Servicio, Adquisición o Arrendamiento el</w:t>
      </w:r>
      <w:r>
        <w:rPr>
          <w:rFonts w:ascii="Century Gothic" w:hAnsi="Century Gothic"/>
        </w:rPr>
        <w:t xml:space="preserve"> </w:t>
      </w:r>
      <w:r w:rsidRPr="00542056">
        <w:rPr>
          <w:rFonts w:ascii="Century Gothic" w:hAnsi="Century Gothic"/>
        </w:rPr>
        <w:t>Contratista deberá cumplir con la totalidad de los Documentos Solicitados en el oficio de adjudicación</w:t>
      </w:r>
      <w:r>
        <w:rPr>
          <w:rFonts w:ascii="Century Gothic" w:hAnsi="Century Gothic"/>
        </w:rPr>
        <w:t xml:space="preserve"> </w:t>
      </w:r>
      <w:r w:rsidRPr="00542056">
        <w:rPr>
          <w:rFonts w:ascii="Century Gothic" w:hAnsi="Century Gothic"/>
        </w:rPr>
        <w:t>directa o en las bases de licitación.</w:t>
      </w:r>
    </w:p>
    <w:p w14:paraId="3367714A" w14:textId="77777777" w:rsidR="00284B40" w:rsidRPr="00542056" w:rsidRDefault="00284B40" w:rsidP="00D81836">
      <w:pPr>
        <w:spacing w:after="120" w:line="276" w:lineRule="auto"/>
        <w:ind w:left="284" w:right="284"/>
        <w:jc w:val="both"/>
        <w:rPr>
          <w:rFonts w:ascii="Century Gothic" w:hAnsi="Century Gothic"/>
        </w:rPr>
      </w:pPr>
      <w:r w:rsidRPr="00542056">
        <w:rPr>
          <w:rFonts w:ascii="Century Gothic" w:hAnsi="Century Gothic"/>
        </w:rPr>
        <w:t>3.7 Todos los Contratos deberán ser firmados por el Titular de la Secretaría de Desarrollo Urbano, el</w:t>
      </w:r>
      <w:r>
        <w:rPr>
          <w:rFonts w:ascii="Century Gothic" w:hAnsi="Century Gothic"/>
        </w:rPr>
        <w:t xml:space="preserve"> </w:t>
      </w:r>
      <w:r w:rsidRPr="00542056">
        <w:rPr>
          <w:rFonts w:ascii="Century Gothic" w:hAnsi="Century Gothic"/>
        </w:rPr>
        <w:t>Contratista y dos testigos según sea el caso.</w:t>
      </w:r>
    </w:p>
    <w:p w14:paraId="2271F3E9" w14:textId="77777777" w:rsidR="00284B40" w:rsidRPr="00542056" w:rsidRDefault="00284B40" w:rsidP="00D81836">
      <w:pPr>
        <w:spacing w:after="120" w:line="276" w:lineRule="auto"/>
        <w:ind w:left="284" w:right="284"/>
        <w:jc w:val="both"/>
        <w:rPr>
          <w:rFonts w:ascii="Century Gothic" w:hAnsi="Century Gothic"/>
        </w:rPr>
      </w:pPr>
      <w:r w:rsidRPr="00542056">
        <w:rPr>
          <w:rFonts w:ascii="Century Gothic" w:hAnsi="Century Gothic"/>
        </w:rPr>
        <w:t>3.8 El contenido de los Contratos deberá cumplir con las disposiciones jurídicas y la Normatividad aplicable</w:t>
      </w:r>
      <w:r>
        <w:rPr>
          <w:rFonts w:ascii="Century Gothic" w:hAnsi="Century Gothic"/>
        </w:rPr>
        <w:t xml:space="preserve"> </w:t>
      </w:r>
      <w:r w:rsidRPr="00542056">
        <w:rPr>
          <w:rFonts w:ascii="Century Gothic" w:hAnsi="Century Gothic"/>
        </w:rPr>
        <w:t>en Materia de Obra pública, Adquisiciones, Arrendamientos o Servicios.</w:t>
      </w:r>
    </w:p>
    <w:p w14:paraId="08A6E4D3" w14:textId="77777777" w:rsidR="00284B40" w:rsidRPr="00CA013F" w:rsidRDefault="00284B40" w:rsidP="00D81836">
      <w:pPr>
        <w:spacing w:after="120" w:line="276" w:lineRule="auto"/>
        <w:ind w:left="284" w:right="284"/>
        <w:jc w:val="both"/>
        <w:rPr>
          <w:rFonts w:ascii="Century Gothic" w:hAnsi="Century Gothic"/>
        </w:rPr>
      </w:pPr>
      <w:r w:rsidRPr="00542056">
        <w:rPr>
          <w:rFonts w:ascii="Century Gothic" w:hAnsi="Century Gothic"/>
        </w:rPr>
        <w:t>3.9 Toda contratación de Obra Pública, Servicios, Adquisiciones o Arrendamientos, deberá contar con la</w:t>
      </w:r>
      <w:r>
        <w:rPr>
          <w:rFonts w:ascii="Century Gothic" w:hAnsi="Century Gothic"/>
        </w:rPr>
        <w:t xml:space="preserve"> </w:t>
      </w:r>
      <w:r w:rsidRPr="00542056">
        <w:rPr>
          <w:rFonts w:ascii="Century Gothic" w:hAnsi="Century Gothic"/>
        </w:rPr>
        <w:t>Fianza de Cumplimiento correspondiente, excepto aquellos que cuenten con oficio de excepción de</w:t>
      </w:r>
      <w:r>
        <w:rPr>
          <w:rFonts w:ascii="Century Gothic" w:hAnsi="Century Gothic"/>
        </w:rPr>
        <w:t xml:space="preserve"> </w:t>
      </w:r>
      <w:r w:rsidRPr="00542056">
        <w:rPr>
          <w:rFonts w:ascii="Century Gothic" w:hAnsi="Century Gothic"/>
        </w:rPr>
        <w:t>fianza firmado por el Titular de la Secretaría de Desarrollo Urbano por encontrarse en alguno de los</w:t>
      </w:r>
      <w:r>
        <w:rPr>
          <w:rFonts w:ascii="Century Gothic" w:hAnsi="Century Gothic"/>
        </w:rPr>
        <w:t xml:space="preserve"> </w:t>
      </w:r>
      <w:r w:rsidRPr="00542056">
        <w:rPr>
          <w:rFonts w:ascii="Century Gothic" w:hAnsi="Century Gothic"/>
        </w:rPr>
        <w:t>supuestos previstos en la normatividad aplicable.</w:t>
      </w:r>
    </w:p>
    <w:p w14:paraId="05A52874" w14:textId="77777777" w:rsidR="00D81836" w:rsidRDefault="00284B40" w:rsidP="00D81836">
      <w:pPr>
        <w:spacing w:after="240" w:line="276" w:lineRule="auto"/>
        <w:jc w:val="both"/>
        <w:rPr>
          <w:rFonts w:ascii="Century Gothic" w:hAnsi="Century Gothic"/>
        </w:rPr>
      </w:pPr>
      <w:r>
        <w:rPr>
          <w:rFonts w:ascii="Century Gothic" w:hAnsi="Century Gothic"/>
        </w:rPr>
        <w:t>De igual forma presenta el diagrama detallando las actividades para el proceso de la contratación, en cual se presenta a continuación:</w:t>
      </w:r>
    </w:p>
    <w:p w14:paraId="2C0DADA7" w14:textId="77777777" w:rsidR="00D81836" w:rsidRDefault="00D81836" w:rsidP="00D81836">
      <w:pPr>
        <w:spacing w:after="240" w:line="276" w:lineRule="auto"/>
        <w:jc w:val="both"/>
        <w:rPr>
          <w:rFonts w:ascii="Century Gothic" w:hAnsi="Century Gothic"/>
        </w:rPr>
        <w:sectPr w:rsidR="00D81836" w:rsidSect="00D81836">
          <w:pgSz w:w="12240" w:h="15840"/>
          <w:pgMar w:top="1418" w:right="1469" w:bottom="1418" w:left="1701" w:header="709" w:footer="709" w:gutter="0"/>
          <w:cols w:space="708"/>
          <w:titlePg/>
          <w:docGrid w:linePitch="360"/>
        </w:sectPr>
      </w:pPr>
    </w:p>
    <w:p w14:paraId="23CBAC66" w14:textId="77777777" w:rsidR="00284B40" w:rsidRDefault="001176E0" w:rsidP="00284B40">
      <w:pPr>
        <w:spacing w:after="120" w:line="276" w:lineRule="auto"/>
        <w:jc w:val="center"/>
        <w:rPr>
          <w:rFonts w:ascii="Century Gothic" w:hAnsi="Century Gothic"/>
          <w:b/>
        </w:rPr>
      </w:pPr>
      <w:r>
        <w:rPr>
          <w:rFonts w:ascii="Century Gothic" w:hAnsi="Century Gothic"/>
          <w:b/>
        </w:rPr>
        <w:lastRenderedPageBreak/>
        <w:t>Figura 4.5</w:t>
      </w:r>
      <w:r w:rsidR="00284B40" w:rsidRPr="00C74970">
        <w:rPr>
          <w:rFonts w:ascii="Century Gothic" w:hAnsi="Century Gothic"/>
          <w:b/>
        </w:rPr>
        <w:t xml:space="preserve">. Diagrama </w:t>
      </w:r>
      <w:r w:rsidR="00284B40">
        <w:rPr>
          <w:rFonts w:ascii="Century Gothic" w:hAnsi="Century Gothic"/>
          <w:b/>
        </w:rPr>
        <w:t>d</w:t>
      </w:r>
      <w:r w:rsidR="00284B40" w:rsidRPr="00C74970">
        <w:rPr>
          <w:rFonts w:ascii="Century Gothic" w:hAnsi="Century Gothic"/>
          <w:b/>
        </w:rPr>
        <w:t>el Plan de la Calidad para la Contratación</w:t>
      </w:r>
    </w:p>
    <w:p w14:paraId="57A17888" w14:textId="77777777" w:rsidR="007369FD" w:rsidRPr="00C74970" w:rsidRDefault="007369FD" w:rsidP="00284B40">
      <w:pPr>
        <w:spacing w:after="120" w:line="276" w:lineRule="auto"/>
        <w:jc w:val="center"/>
        <w:rPr>
          <w:rFonts w:ascii="Century Gothic" w:hAnsi="Century Gothic"/>
          <w:b/>
        </w:rPr>
      </w:pPr>
      <w:r>
        <w:rPr>
          <w:rFonts w:ascii="Century Gothic" w:hAnsi="Century Gothic"/>
          <w:b/>
        </w:rPr>
        <w:t>Etapa Modalidad de Contratación</w:t>
      </w:r>
    </w:p>
    <w:p w14:paraId="6899CB13" w14:textId="77777777" w:rsidR="00284B40" w:rsidRDefault="00284B40" w:rsidP="007369FD">
      <w:pPr>
        <w:spacing w:after="120" w:line="276" w:lineRule="auto"/>
        <w:ind w:left="-709"/>
        <w:jc w:val="center"/>
        <w:rPr>
          <w:rFonts w:cstheme="minorHAnsi"/>
          <w:sz w:val="22"/>
        </w:rPr>
      </w:pPr>
      <w:r>
        <w:rPr>
          <w:rFonts w:ascii="Century Gothic" w:hAnsi="Century Gothic"/>
          <w:noProof/>
          <w:lang w:val="es-MX" w:eastAsia="es-MX"/>
        </w:rPr>
        <mc:AlternateContent>
          <mc:Choice Requires="wps">
            <w:drawing>
              <wp:anchor distT="0" distB="0" distL="114300" distR="114300" simplePos="0" relativeHeight="251662336" behindDoc="0" locked="0" layoutInCell="1" allowOverlap="1" wp14:anchorId="4B406A86" wp14:editId="014374A5">
                <wp:simplePos x="0" y="0"/>
                <wp:positionH relativeFrom="column">
                  <wp:posOffset>5273040</wp:posOffset>
                </wp:positionH>
                <wp:positionV relativeFrom="paragraph">
                  <wp:posOffset>850870</wp:posOffset>
                </wp:positionV>
                <wp:extent cx="1085850" cy="1171575"/>
                <wp:effectExtent l="0" t="0" r="19050" b="28575"/>
                <wp:wrapNone/>
                <wp:docPr id="46" name="46 Elipse"/>
                <wp:cNvGraphicFramePr/>
                <a:graphic xmlns:a="http://schemas.openxmlformats.org/drawingml/2006/main">
                  <a:graphicData uri="http://schemas.microsoft.com/office/word/2010/wordprocessingShape">
                    <wps:wsp>
                      <wps:cNvSpPr/>
                      <wps:spPr>
                        <a:xfrm>
                          <a:off x="0" y="0"/>
                          <a:ext cx="1085850" cy="117157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AE5AE" id="46 Elipse" o:spid="_x0000_s1026" style="position:absolute;margin-left:415.2pt;margin-top:67pt;width:85.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" filled="f" strokecolor="#c00000" strokeweight="1.5pt">
                <v:stroke joinstyle="miter"/>
              </v:oval>
            </w:pict>
          </mc:Fallback>
        </mc:AlternateContent>
      </w:r>
      <w:r w:rsidR="007369FD">
        <w:rPr>
          <w:rFonts w:cstheme="minorHAnsi"/>
          <w:noProof/>
          <w:sz w:val="22"/>
          <w:lang w:val="es-MX" w:eastAsia="es-MX"/>
        </w:rPr>
        <w:drawing>
          <wp:inline distT="0" distB="0" distL="0" distR="0" wp14:anchorId="13DE88E1" wp14:editId="5B35D649">
            <wp:extent cx="6934306" cy="5167423"/>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34306" cy="5167423"/>
                    </a:xfrm>
                    <a:prstGeom prst="rect">
                      <a:avLst/>
                    </a:prstGeom>
                  </pic:spPr>
                </pic:pic>
              </a:graphicData>
            </a:graphic>
          </wp:inline>
        </w:drawing>
      </w:r>
    </w:p>
    <w:p w14:paraId="6F1097A7" w14:textId="77777777" w:rsidR="009D1AF1" w:rsidRDefault="001176E0" w:rsidP="009D1AF1">
      <w:pPr>
        <w:spacing w:after="120" w:line="276" w:lineRule="auto"/>
        <w:jc w:val="center"/>
        <w:rPr>
          <w:rFonts w:ascii="Century Gothic" w:hAnsi="Century Gothic"/>
          <w:b/>
        </w:rPr>
      </w:pPr>
      <w:r>
        <w:rPr>
          <w:rFonts w:ascii="Century Gothic" w:hAnsi="Century Gothic"/>
          <w:b/>
        </w:rPr>
        <w:lastRenderedPageBreak/>
        <w:t>Figura 4.5</w:t>
      </w:r>
      <w:r w:rsidR="009D1AF1" w:rsidRPr="00C74970">
        <w:rPr>
          <w:rFonts w:ascii="Century Gothic" w:hAnsi="Century Gothic"/>
          <w:b/>
        </w:rPr>
        <w:t xml:space="preserve">. Diagrama </w:t>
      </w:r>
      <w:r w:rsidR="009D1AF1">
        <w:rPr>
          <w:rFonts w:ascii="Century Gothic" w:hAnsi="Century Gothic"/>
          <w:b/>
        </w:rPr>
        <w:t>d</w:t>
      </w:r>
      <w:r w:rsidR="009D1AF1" w:rsidRPr="00C74970">
        <w:rPr>
          <w:rFonts w:ascii="Century Gothic" w:hAnsi="Century Gothic"/>
          <w:b/>
        </w:rPr>
        <w:t>el Plan de la Calidad para la Contratación</w:t>
      </w:r>
    </w:p>
    <w:p w14:paraId="6A96D641" w14:textId="77777777" w:rsidR="00284B40" w:rsidRDefault="009D1AF1" w:rsidP="009D1AF1">
      <w:pPr>
        <w:spacing w:after="120" w:line="276" w:lineRule="auto"/>
        <w:jc w:val="center"/>
        <w:rPr>
          <w:rFonts w:cstheme="minorHAnsi"/>
          <w:sz w:val="22"/>
        </w:rPr>
      </w:pPr>
      <w:r>
        <w:rPr>
          <w:rFonts w:ascii="Century Gothic" w:hAnsi="Century Gothic"/>
          <w:b/>
        </w:rPr>
        <w:t>Etapa Contratación</w:t>
      </w:r>
    </w:p>
    <w:p w14:paraId="37A66DBB" w14:textId="77777777" w:rsidR="00284B40" w:rsidRDefault="009D1AF1" w:rsidP="009D1AF1">
      <w:pPr>
        <w:spacing w:after="240" w:line="276" w:lineRule="auto"/>
        <w:jc w:val="center"/>
        <w:rPr>
          <w:rFonts w:cstheme="minorHAnsi"/>
          <w:sz w:val="22"/>
        </w:rPr>
      </w:pPr>
      <w:r>
        <w:rPr>
          <w:rFonts w:cstheme="minorHAnsi"/>
          <w:noProof/>
          <w:sz w:val="22"/>
          <w:lang w:val="es-MX" w:eastAsia="es-MX"/>
        </w:rPr>
        <w:drawing>
          <wp:inline distT="0" distB="0" distL="0" distR="0" wp14:anchorId="3B6A9CDA" wp14:editId="04102FC4">
            <wp:extent cx="7025689" cy="4805916"/>
            <wp:effectExtent l="0" t="0" r="381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jpg"/>
                    <pic:cNvPicPr/>
                  </pic:nvPicPr>
                  <pic:blipFill rotWithShape="1">
                    <a:blip r:embed="rId27" cstate="print">
                      <a:extLst>
                        <a:ext uri="{28A0092B-C50C-407E-A947-70E740481C1C}">
                          <a14:useLocalDpi xmlns:a14="http://schemas.microsoft.com/office/drawing/2010/main" val="0"/>
                        </a:ext>
                      </a:extLst>
                    </a:blip>
                    <a:srcRect t="2559" b="2294"/>
                    <a:stretch/>
                  </pic:blipFill>
                  <pic:spPr bwMode="auto">
                    <a:xfrm>
                      <a:off x="0" y="0"/>
                      <a:ext cx="7025689" cy="4805916"/>
                    </a:xfrm>
                    <a:prstGeom prst="rect">
                      <a:avLst/>
                    </a:prstGeom>
                    <a:ln>
                      <a:noFill/>
                    </a:ln>
                    <a:extLst>
                      <a:ext uri="{53640926-AAD7-44D8-BBD7-CCE9431645EC}">
                        <a14:shadowObscured xmlns:a14="http://schemas.microsoft.com/office/drawing/2010/main"/>
                      </a:ext>
                    </a:extLst>
                  </pic:spPr>
                </pic:pic>
              </a:graphicData>
            </a:graphic>
          </wp:inline>
        </w:drawing>
      </w:r>
    </w:p>
    <w:p w14:paraId="06CC6AEA" w14:textId="77777777" w:rsidR="007369FD" w:rsidRDefault="00284B40" w:rsidP="00F83403">
      <w:pPr>
        <w:rPr>
          <w:rFonts w:ascii="Century Gothic" w:hAnsi="Century Gothic"/>
        </w:rPr>
      </w:pPr>
      <w:r w:rsidRPr="00C74970">
        <w:rPr>
          <w:rFonts w:cstheme="minorHAnsi"/>
          <w:sz w:val="22"/>
        </w:rPr>
        <w:t>Fuente: Tomado el documento “Plan de la Calidad para la contratación” suministrado por la SEIDUR como evidencia</w:t>
      </w:r>
      <w:r w:rsidRPr="00C74970">
        <w:rPr>
          <w:rFonts w:ascii="Century Gothic" w:hAnsi="Century Gothic"/>
        </w:rPr>
        <w:t>.</w:t>
      </w:r>
    </w:p>
    <w:p w14:paraId="6B2E4D86" w14:textId="77777777" w:rsidR="00F83403" w:rsidRDefault="00F83403" w:rsidP="007369FD">
      <w:pPr>
        <w:spacing w:after="240" w:line="276" w:lineRule="auto"/>
        <w:jc w:val="both"/>
        <w:rPr>
          <w:rFonts w:ascii="Century Gothic" w:hAnsi="Century Gothic"/>
        </w:rPr>
        <w:sectPr w:rsidR="00F83403" w:rsidSect="00D81836">
          <w:pgSz w:w="15840" w:h="12240" w:orient="landscape"/>
          <w:pgMar w:top="1701" w:right="1418" w:bottom="1469" w:left="1418" w:header="709" w:footer="709" w:gutter="0"/>
          <w:cols w:space="708"/>
          <w:titlePg/>
          <w:docGrid w:linePitch="360"/>
        </w:sectPr>
      </w:pPr>
    </w:p>
    <w:p w14:paraId="6A61088F" w14:textId="77777777" w:rsidR="00284B40" w:rsidRDefault="00284B40" w:rsidP="00284B40">
      <w:pPr>
        <w:spacing w:after="240" w:line="276" w:lineRule="auto"/>
        <w:jc w:val="both"/>
        <w:rPr>
          <w:rFonts w:ascii="Century Gothic" w:hAnsi="Century Gothic"/>
        </w:rPr>
      </w:pPr>
      <w:r>
        <w:rPr>
          <w:rFonts w:ascii="Century Gothic" w:hAnsi="Century Gothic"/>
        </w:rPr>
        <w:lastRenderedPageBreak/>
        <w:t>Como se puede observar en el diagrama anterior este esquematiza desde que se tiene el oficio de autorización hasta la culminación con el contrato. Sin embargo no se detalla la información de cómo es el proceso según la modalidad de contratación, por lo que dicho proceso se debe actualizar según la normatividad actual e incluir el detalle del paso a paso que se debe seguir según el tipo de modalidad que se debe seguir, esto permitirá mayor claridad para el desarrollo de este proceso.</w:t>
      </w:r>
    </w:p>
    <w:p w14:paraId="279251F5" w14:textId="77777777" w:rsidR="00284B40" w:rsidRPr="004E2F4B" w:rsidRDefault="001176E0" w:rsidP="00284B40">
      <w:pPr>
        <w:spacing w:after="120" w:line="276" w:lineRule="auto"/>
        <w:jc w:val="center"/>
        <w:rPr>
          <w:rFonts w:ascii="Century Gothic" w:hAnsi="Century Gothic"/>
          <w:b/>
        </w:rPr>
      </w:pPr>
      <w:r>
        <w:rPr>
          <w:rFonts w:ascii="Century Gothic" w:hAnsi="Century Gothic"/>
          <w:b/>
        </w:rPr>
        <w:t>Figura 4.6</w:t>
      </w:r>
      <w:r w:rsidR="00284B40" w:rsidRPr="004E2F4B">
        <w:rPr>
          <w:rFonts w:ascii="Century Gothic" w:hAnsi="Century Gothic"/>
          <w:b/>
        </w:rPr>
        <w:t>. Desarrollo del subproceso de contratación según modalidad</w:t>
      </w:r>
      <w:r w:rsidR="00284B40">
        <w:rPr>
          <w:rFonts w:ascii="Century Gothic" w:hAnsi="Century Gothic"/>
          <w:b/>
        </w:rPr>
        <w:t xml:space="preserve"> de contratación</w:t>
      </w:r>
    </w:p>
    <w:p w14:paraId="335EEF15" w14:textId="77777777" w:rsidR="00284B40" w:rsidRDefault="00D119BA" w:rsidP="00284B40">
      <w:pPr>
        <w:spacing w:after="120" w:line="276" w:lineRule="auto"/>
        <w:jc w:val="center"/>
        <w:rPr>
          <w:rFonts w:ascii="Century Gothic" w:hAnsi="Century Gothic"/>
        </w:rPr>
      </w:pPr>
      <w:r>
        <w:rPr>
          <w:rFonts w:ascii="Century Gothic" w:hAnsi="Century Gothic"/>
          <w:noProof/>
          <w:lang w:val="es-MX" w:eastAsia="es-MX"/>
        </w:rPr>
        <w:drawing>
          <wp:inline distT="0" distB="0" distL="0" distR="0" wp14:anchorId="7C051A23" wp14:editId="6AC8A9CC">
            <wp:extent cx="5762846" cy="170121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5608" cy="1710881"/>
                    </a:xfrm>
                    <a:prstGeom prst="rect">
                      <a:avLst/>
                    </a:prstGeom>
                    <a:noFill/>
                  </pic:spPr>
                </pic:pic>
              </a:graphicData>
            </a:graphic>
          </wp:inline>
        </w:drawing>
      </w:r>
    </w:p>
    <w:p w14:paraId="5C06D29E" w14:textId="77777777" w:rsidR="00284B40" w:rsidRPr="00895C23" w:rsidRDefault="00284B40" w:rsidP="00284B40">
      <w:pPr>
        <w:spacing w:after="240" w:line="276" w:lineRule="auto"/>
        <w:rPr>
          <w:rFonts w:cstheme="minorHAnsi"/>
          <w:sz w:val="22"/>
        </w:rPr>
      </w:pPr>
      <w:r w:rsidRPr="00895C23">
        <w:rPr>
          <w:rFonts w:cstheme="minorHAnsi"/>
          <w:sz w:val="22"/>
        </w:rPr>
        <w:t>Fuente: Elaborado por TECSO</w:t>
      </w:r>
    </w:p>
    <w:p w14:paraId="0CCAD703" w14:textId="77777777" w:rsidR="00284B40" w:rsidRDefault="00284B40" w:rsidP="00284B40">
      <w:pPr>
        <w:spacing w:after="240" w:line="276" w:lineRule="auto"/>
        <w:jc w:val="both"/>
        <w:rPr>
          <w:rFonts w:ascii="Century Gothic" w:hAnsi="Century Gothic"/>
        </w:rPr>
      </w:pPr>
      <w:r>
        <w:rPr>
          <w:rFonts w:ascii="Century Gothic" w:hAnsi="Century Gothic"/>
        </w:rPr>
        <w:t>Incluyéndose esta aclaración este subproceso será más detallado y así se documentará en su totalidad el cómo debe ser la contratación de las obras o servicios según los diferentes tipos de modalidad de contratación que establece la ley.</w:t>
      </w:r>
    </w:p>
    <w:p w14:paraId="5CA738DF" w14:textId="77777777" w:rsidR="00FA295E" w:rsidRDefault="00C951E6" w:rsidP="0060201D">
      <w:pPr>
        <w:pStyle w:val="Ttulo3"/>
        <w:numPr>
          <w:ilvl w:val="2"/>
          <w:numId w:val="24"/>
        </w:numPr>
        <w:spacing w:before="0" w:after="240" w:line="276" w:lineRule="auto"/>
        <w:rPr>
          <w:rFonts w:ascii="Century Gothic" w:hAnsi="Century Gothic"/>
          <w:color w:val="0E4E7A"/>
        </w:rPr>
      </w:pPr>
      <w:bookmarkStart w:id="42" w:name="_Toc511236530"/>
      <w:r>
        <w:rPr>
          <w:rFonts w:ascii="Century Gothic" w:hAnsi="Century Gothic"/>
          <w:color w:val="0E4E7A"/>
        </w:rPr>
        <w:t>Procedimiento de Ejecución de obra contratada</w:t>
      </w:r>
      <w:bookmarkEnd w:id="42"/>
    </w:p>
    <w:p w14:paraId="163DB85A" w14:textId="77777777" w:rsidR="00F31E04" w:rsidRDefault="00936864" w:rsidP="00C951E6">
      <w:pPr>
        <w:spacing w:after="240" w:line="276" w:lineRule="auto"/>
        <w:jc w:val="both"/>
        <w:rPr>
          <w:rFonts w:ascii="Century Gothic" w:hAnsi="Century Gothic"/>
        </w:rPr>
      </w:pPr>
      <w:r>
        <w:rPr>
          <w:rFonts w:ascii="Century Gothic" w:hAnsi="Century Gothic"/>
        </w:rPr>
        <w:t xml:space="preserve">Una vez autorizada la obra y que se cuente con su expediente unitario de obra, </w:t>
      </w:r>
      <w:r w:rsidR="00F31E04">
        <w:rPr>
          <w:rFonts w:ascii="Century Gothic" w:hAnsi="Century Gothic"/>
        </w:rPr>
        <w:t xml:space="preserve">se entiende que es cuando esta puede iniciarse (entendiendo que hay un proceso de contratación de por medio). </w:t>
      </w:r>
    </w:p>
    <w:p w14:paraId="58D61967" w14:textId="77777777" w:rsidR="00C951E6" w:rsidRPr="001A024F" w:rsidRDefault="00F31E04" w:rsidP="00C951E6">
      <w:pPr>
        <w:spacing w:after="240" w:line="276" w:lineRule="auto"/>
        <w:jc w:val="both"/>
        <w:rPr>
          <w:rFonts w:ascii="Century Gothic" w:hAnsi="Century Gothic"/>
        </w:rPr>
      </w:pPr>
      <w:r>
        <w:rPr>
          <w:rFonts w:ascii="Century Gothic" w:hAnsi="Century Gothic"/>
        </w:rPr>
        <w:t xml:space="preserve">Para esto se cuenta con el </w:t>
      </w:r>
      <w:r w:rsidR="00C951E6">
        <w:rPr>
          <w:rFonts w:ascii="Century Gothic" w:hAnsi="Century Gothic"/>
        </w:rPr>
        <w:t>documento “</w:t>
      </w:r>
      <w:r w:rsidR="00C951E6" w:rsidRPr="00C30B6B">
        <w:rPr>
          <w:rFonts w:ascii="Century Gothic" w:hAnsi="Century Gothic"/>
        </w:rPr>
        <w:t>Procedimiento de Ejecución de Obra Contratada</w:t>
      </w:r>
      <w:r w:rsidR="00C951E6">
        <w:rPr>
          <w:rFonts w:ascii="Century Gothic" w:hAnsi="Century Gothic"/>
        </w:rPr>
        <w:t>”,</w:t>
      </w:r>
      <w:r>
        <w:rPr>
          <w:rFonts w:ascii="Century Gothic" w:hAnsi="Century Gothic"/>
        </w:rPr>
        <w:t xml:space="preserve"> el cual </w:t>
      </w:r>
      <w:r w:rsidR="00C951E6">
        <w:rPr>
          <w:rFonts w:ascii="Century Gothic" w:hAnsi="Century Gothic"/>
        </w:rPr>
        <w:t>tiene como objetivo: “</w:t>
      </w:r>
      <w:r w:rsidR="00C951E6" w:rsidRPr="001A024F">
        <w:rPr>
          <w:rFonts w:ascii="Century Gothic" w:hAnsi="Century Gothic"/>
        </w:rPr>
        <w:t xml:space="preserve">Supervisar la </w:t>
      </w:r>
      <w:r w:rsidR="00C951E6" w:rsidRPr="00C951E6">
        <w:rPr>
          <w:rFonts w:ascii="Century Gothic" w:hAnsi="Century Gothic"/>
          <w:b/>
        </w:rPr>
        <w:t>ejecución de la Obra Pública</w:t>
      </w:r>
      <w:r w:rsidR="00C951E6" w:rsidRPr="001A024F">
        <w:rPr>
          <w:rFonts w:ascii="Century Gothic" w:hAnsi="Century Gothic"/>
        </w:rPr>
        <w:t xml:space="preserve">, buscando la Excelencia y Calidad respecto al proyecto ejecutivo, plazos y presupuestos establecidos en el Contrato así como el cabal </w:t>
      </w:r>
      <w:r w:rsidR="00C951E6" w:rsidRPr="001A024F">
        <w:rPr>
          <w:rFonts w:ascii="Century Gothic" w:hAnsi="Century Gothic"/>
        </w:rPr>
        <w:lastRenderedPageBreak/>
        <w:t>cumplimiento de las Especificaciones Generales de Construcción de la Secretaría de Desarrollo Urbano y la normatividad aplicable</w:t>
      </w:r>
      <w:r w:rsidR="00C951E6">
        <w:rPr>
          <w:rStyle w:val="Refdenotaalpie"/>
          <w:rFonts w:ascii="Century Gothic" w:hAnsi="Century Gothic"/>
        </w:rPr>
        <w:footnoteReference w:id="14"/>
      </w:r>
      <w:r w:rsidR="00C951E6" w:rsidRPr="001A024F">
        <w:rPr>
          <w:rFonts w:ascii="Century Gothic" w:hAnsi="Century Gothic"/>
        </w:rPr>
        <w:t>.</w:t>
      </w:r>
    </w:p>
    <w:p w14:paraId="289973EA" w14:textId="77777777" w:rsidR="00C951E6" w:rsidRDefault="00C951E6" w:rsidP="00C951E6">
      <w:pPr>
        <w:spacing w:after="240" w:line="276" w:lineRule="auto"/>
        <w:jc w:val="both"/>
        <w:rPr>
          <w:rFonts w:ascii="Century Gothic" w:hAnsi="Century Gothic"/>
        </w:rPr>
      </w:pPr>
      <w:r>
        <w:rPr>
          <w:rFonts w:ascii="Century Gothic" w:hAnsi="Century Gothic"/>
        </w:rPr>
        <w:t>En dicho documento se establecen las políticas a seguir principalmente en caso de cambios en la obra, así como las facultades del residente de obra para suspender parcial o totalmente los trabajos en caso de alguna situación fortuita.</w:t>
      </w:r>
    </w:p>
    <w:p w14:paraId="22009646" w14:textId="77777777" w:rsidR="00C951E6" w:rsidRDefault="00C951E6" w:rsidP="00C951E6">
      <w:pPr>
        <w:spacing w:after="240" w:line="276" w:lineRule="auto"/>
        <w:jc w:val="both"/>
        <w:rPr>
          <w:rFonts w:ascii="Century Gothic" w:hAnsi="Century Gothic"/>
        </w:rPr>
      </w:pPr>
      <w:r>
        <w:rPr>
          <w:rFonts w:ascii="Century Gothic" w:hAnsi="Century Gothic"/>
        </w:rPr>
        <w:t>Dichas políticas son:</w:t>
      </w:r>
    </w:p>
    <w:p w14:paraId="0B91D319" w14:textId="77777777" w:rsidR="00C951E6" w:rsidRPr="00FD1D13" w:rsidRDefault="00C951E6" w:rsidP="00C951E6">
      <w:pPr>
        <w:spacing w:after="240" w:line="276" w:lineRule="auto"/>
        <w:ind w:left="284" w:right="283"/>
        <w:jc w:val="both"/>
        <w:rPr>
          <w:rFonts w:ascii="Century Gothic" w:hAnsi="Century Gothic"/>
        </w:rPr>
      </w:pPr>
      <w:r w:rsidRPr="00FD1D13">
        <w:rPr>
          <w:rFonts w:ascii="Century Gothic" w:hAnsi="Century Gothic"/>
        </w:rPr>
        <w:t>3.1</w:t>
      </w:r>
      <w:r w:rsidRPr="00FD1D13">
        <w:rPr>
          <w:rFonts w:ascii="Century Gothic" w:hAnsi="Century Gothic"/>
        </w:rPr>
        <w:tab/>
        <w:t>Durante la ejecución de la Obra, pueden llegar a surgir volúmenes excedentes y/o precios fuera de catálogo, en caso de volúmenes excedentes se deberá realizar una justificación de dichos volúmenes y en caso de los precios fuera de catálogo se debe presentar para su revisión y en su caso aprobación.</w:t>
      </w:r>
    </w:p>
    <w:p w14:paraId="745C2D7C" w14:textId="77777777" w:rsidR="00C951E6" w:rsidRPr="00FD1D13" w:rsidRDefault="00C951E6" w:rsidP="00C951E6">
      <w:pPr>
        <w:spacing w:after="240" w:line="276" w:lineRule="auto"/>
        <w:ind w:left="284" w:right="283"/>
        <w:jc w:val="both"/>
        <w:rPr>
          <w:rFonts w:ascii="Century Gothic" w:hAnsi="Century Gothic"/>
        </w:rPr>
      </w:pPr>
      <w:r w:rsidRPr="00FD1D13">
        <w:rPr>
          <w:rFonts w:ascii="Century Gothic" w:hAnsi="Century Gothic"/>
        </w:rPr>
        <w:t>3.2</w:t>
      </w:r>
      <w:r w:rsidRPr="00FD1D13">
        <w:rPr>
          <w:rFonts w:ascii="Century Gothic" w:hAnsi="Century Gothic"/>
        </w:rPr>
        <w:tab/>
        <w:t>Para proceder a la revisión de los precios de catálogo se deberá presentar el análisis de precios unitarios, croquis y/o fotos, bitácora de obra y cotizaciones necesarias. Todo debidamente firmado por el contratista y el residente de obra.</w:t>
      </w:r>
    </w:p>
    <w:p w14:paraId="0F49F239" w14:textId="77777777" w:rsidR="00C951E6" w:rsidRPr="00FD1D13" w:rsidRDefault="00C951E6" w:rsidP="00C951E6">
      <w:pPr>
        <w:spacing w:after="240" w:line="276" w:lineRule="auto"/>
        <w:ind w:left="284" w:right="283"/>
        <w:jc w:val="both"/>
        <w:rPr>
          <w:rFonts w:ascii="Century Gothic" w:hAnsi="Century Gothic"/>
        </w:rPr>
      </w:pPr>
      <w:r w:rsidRPr="00FD1D13">
        <w:rPr>
          <w:rFonts w:ascii="Century Gothic" w:hAnsi="Century Gothic"/>
        </w:rPr>
        <w:t>3.3</w:t>
      </w:r>
      <w:r w:rsidRPr="00FD1D13">
        <w:rPr>
          <w:rFonts w:ascii="Century Gothic" w:hAnsi="Century Gothic"/>
        </w:rPr>
        <w:tab/>
        <w:t>Si durante la ejecución de la Obra se detecta que el monto contratado no es suficiente para el cumplimiento de las metas, se debe tramitar un convenio modificatorio (FO-05-11-11). El soporte para elaborar este convenio debe ser una justificación acompañada de un presupuesto y un programa de ejecución de los trabajos.</w:t>
      </w:r>
    </w:p>
    <w:p w14:paraId="22DE3812" w14:textId="77777777" w:rsidR="00C951E6" w:rsidRPr="00FD1D13" w:rsidRDefault="00C951E6" w:rsidP="00C951E6">
      <w:pPr>
        <w:spacing w:after="240" w:line="276" w:lineRule="auto"/>
        <w:ind w:left="284" w:right="283"/>
        <w:jc w:val="both"/>
        <w:rPr>
          <w:rFonts w:ascii="Century Gothic" w:hAnsi="Century Gothic"/>
        </w:rPr>
      </w:pPr>
      <w:r w:rsidRPr="00FD1D13">
        <w:rPr>
          <w:rFonts w:ascii="Century Gothic" w:hAnsi="Century Gothic"/>
        </w:rPr>
        <w:t>3.4</w:t>
      </w:r>
      <w:r w:rsidRPr="00FD1D13">
        <w:rPr>
          <w:rFonts w:ascii="Century Gothic" w:hAnsi="Century Gothic"/>
        </w:rPr>
        <w:tab/>
        <w:t>Cuando Control Financiero detecte inconsistencia en la estimación, se procederá a notificar al residente de obra para que este a su vez, se coordine con la empresa contratista y solvente las observaciones.</w:t>
      </w:r>
    </w:p>
    <w:p w14:paraId="4219C954" w14:textId="77777777" w:rsidR="00C951E6" w:rsidRPr="00FD1D13" w:rsidRDefault="00C951E6" w:rsidP="00C951E6">
      <w:pPr>
        <w:spacing w:after="240" w:line="276" w:lineRule="auto"/>
        <w:ind w:left="284" w:right="283"/>
        <w:jc w:val="both"/>
        <w:rPr>
          <w:rFonts w:ascii="Century Gothic" w:hAnsi="Century Gothic"/>
        </w:rPr>
      </w:pPr>
      <w:r w:rsidRPr="00FD1D13">
        <w:rPr>
          <w:rFonts w:ascii="Century Gothic" w:hAnsi="Century Gothic"/>
        </w:rPr>
        <w:t>3.5</w:t>
      </w:r>
      <w:r w:rsidRPr="00FD1D13">
        <w:rPr>
          <w:rFonts w:ascii="Century Gothic" w:hAnsi="Century Gothic"/>
        </w:rPr>
        <w:tab/>
        <w:t>Cuando la estimación sea regresada por la DCSS a la DOP, Control Financiero tendrá que verificar la naturaleza de la devolución, solventar la observación cuando así lo permita la situación o en su caso, turnar la observación al área responsable de atenderla (Residente de obra y/o CUEL)</w:t>
      </w:r>
    </w:p>
    <w:p w14:paraId="724D7D98" w14:textId="77777777" w:rsidR="00C951E6" w:rsidRPr="00FD1D13" w:rsidRDefault="00C951E6" w:rsidP="00C951E6">
      <w:pPr>
        <w:spacing w:after="240" w:line="276" w:lineRule="auto"/>
        <w:ind w:left="284" w:right="283"/>
        <w:jc w:val="both"/>
        <w:rPr>
          <w:rFonts w:ascii="Century Gothic" w:hAnsi="Century Gothic"/>
        </w:rPr>
      </w:pPr>
      <w:r w:rsidRPr="00FD1D13">
        <w:rPr>
          <w:rFonts w:ascii="Century Gothic" w:hAnsi="Century Gothic"/>
        </w:rPr>
        <w:lastRenderedPageBreak/>
        <w:t>3.6</w:t>
      </w:r>
      <w:r w:rsidRPr="00FD1D13">
        <w:rPr>
          <w:rFonts w:ascii="Century Gothic" w:hAnsi="Century Gothic"/>
        </w:rPr>
        <w:tab/>
        <w:t>El expediente unitario de obra deberá contener toda la información necesaria y aplicable para la correcta ejecución de la obra, con base a la LOPSRM según el listado de verificación de cada área que participa en el proceso de integración del mismo. La información debe estar de forma impresa y contar con respaldo digital. En casos extraordinarios, dependiendo de la complejidad de la obra y/o la urgencia por ejecutarse los trabajos, podrá recibirse de forma económica y provisional de manera digital la información mínima necesaria para la correcta ejecución de la obra a excepción de la documentación necesaria para trámite de anticipo de obra que se entregara en original. Dicha documentación deberá contar por lo menos con: oficio de autorización presupuestal, proyecto ejecutivo o en su defecto un avance mínimo del 80%, catálogo de conceptos con montos e importes validado por la CUEL, programa general de la ejecución de los trabajos validado por la CUEL, explosión de insumos validado por la CUEL, contrato, fianzas, y en su caso factura de anticipo, oficios de justificaciones necesarias y oficio de excepción de fianza.</w:t>
      </w:r>
    </w:p>
    <w:p w14:paraId="21D82782" w14:textId="77777777" w:rsidR="00C951E6" w:rsidRPr="00FD1D13" w:rsidRDefault="00C951E6" w:rsidP="00C951E6">
      <w:pPr>
        <w:spacing w:after="240" w:line="276" w:lineRule="auto"/>
        <w:ind w:left="284" w:right="283"/>
        <w:jc w:val="both"/>
        <w:rPr>
          <w:rFonts w:ascii="Century Gothic" w:hAnsi="Century Gothic"/>
        </w:rPr>
      </w:pPr>
      <w:r w:rsidRPr="00FD1D13">
        <w:rPr>
          <w:rFonts w:ascii="Century Gothic" w:hAnsi="Century Gothic"/>
        </w:rPr>
        <w:t>3.7</w:t>
      </w:r>
      <w:r w:rsidRPr="00FD1D13">
        <w:rPr>
          <w:rFonts w:ascii="Century Gothic" w:hAnsi="Century Gothic"/>
        </w:rPr>
        <w:tab/>
        <w:t>El residente tendrá la facultad de suspender parcial o totalmente los trabajos, cuando el programa de obra se vea afectado por una situación fortuita.</w:t>
      </w:r>
    </w:p>
    <w:p w14:paraId="7C70604B" w14:textId="77777777" w:rsidR="00C951E6" w:rsidRDefault="00C951E6" w:rsidP="00C951E6">
      <w:pPr>
        <w:spacing w:after="240" w:line="276" w:lineRule="auto"/>
        <w:ind w:left="284" w:right="283"/>
        <w:jc w:val="both"/>
        <w:rPr>
          <w:rFonts w:ascii="Century Gothic" w:hAnsi="Century Gothic"/>
        </w:rPr>
      </w:pPr>
      <w:r w:rsidRPr="00FD1D13">
        <w:rPr>
          <w:rFonts w:ascii="Century Gothic" w:hAnsi="Century Gothic"/>
        </w:rPr>
        <w:t>3.8</w:t>
      </w:r>
      <w:r w:rsidRPr="00FD1D13">
        <w:rPr>
          <w:rFonts w:ascii="Century Gothic" w:hAnsi="Century Gothic"/>
        </w:rPr>
        <w:tab/>
        <w:t>El residente deberá verificar el debido llenado de cada uno de los formatos aplicados en el Plan de la Calidad para la Ejecución de Obra Pública.</w:t>
      </w:r>
    </w:p>
    <w:p w14:paraId="7E2B14AE" w14:textId="77777777" w:rsidR="00F83403" w:rsidRDefault="003D56C0" w:rsidP="00F83403">
      <w:pPr>
        <w:spacing w:after="240" w:line="276" w:lineRule="auto"/>
        <w:jc w:val="both"/>
        <w:rPr>
          <w:rFonts w:ascii="Century Gothic" w:hAnsi="Century Gothic"/>
        </w:rPr>
        <w:sectPr w:rsidR="00F83403" w:rsidSect="00F83403">
          <w:pgSz w:w="12240" w:h="15840"/>
          <w:pgMar w:top="1418" w:right="1469" w:bottom="1418" w:left="1701" w:header="709" w:footer="709" w:gutter="0"/>
          <w:cols w:space="708"/>
          <w:titlePg/>
          <w:docGrid w:linePitch="360"/>
        </w:sectPr>
      </w:pPr>
      <w:r>
        <w:rPr>
          <w:rFonts w:ascii="Century Gothic" w:hAnsi="Century Gothic"/>
        </w:rPr>
        <w:t>De igual forma presenta el diagrama del procedimiento que se debe llevar a cabo para la ejecución de la obra identificando los actores involucrados o responsables de cada etapa, tal como se presenta a continuación:</w:t>
      </w:r>
    </w:p>
    <w:p w14:paraId="55C545BB" w14:textId="77777777" w:rsidR="00F31E04" w:rsidRDefault="001176E0" w:rsidP="00760343">
      <w:pPr>
        <w:spacing w:after="120" w:line="276" w:lineRule="auto"/>
        <w:ind w:right="284"/>
        <w:jc w:val="center"/>
        <w:rPr>
          <w:rFonts w:ascii="Century Gothic" w:hAnsi="Century Gothic"/>
          <w:b/>
        </w:rPr>
      </w:pPr>
      <w:r>
        <w:rPr>
          <w:rFonts w:ascii="Century Gothic" w:hAnsi="Century Gothic"/>
          <w:b/>
        </w:rPr>
        <w:lastRenderedPageBreak/>
        <w:t>Figura 4.7</w:t>
      </w:r>
      <w:r w:rsidR="003D56C0" w:rsidRPr="006F373E">
        <w:rPr>
          <w:rFonts w:ascii="Century Gothic" w:hAnsi="Century Gothic"/>
          <w:b/>
        </w:rPr>
        <w:t>. Diagrama: Procedimiento de ejecución de obra contratada</w:t>
      </w:r>
    </w:p>
    <w:p w14:paraId="0C10EDC7" w14:textId="77777777" w:rsidR="00F83403" w:rsidRPr="006F373E" w:rsidRDefault="00F83403" w:rsidP="00760343">
      <w:pPr>
        <w:spacing w:after="120" w:line="276" w:lineRule="auto"/>
        <w:ind w:right="284"/>
        <w:jc w:val="center"/>
        <w:rPr>
          <w:rFonts w:ascii="Century Gothic" w:hAnsi="Century Gothic"/>
          <w:b/>
        </w:rPr>
      </w:pPr>
      <w:r>
        <w:rPr>
          <w:rFonts w:ascii="Century Gothic" w:hAnsi="Century Gothic"/>
          <w:b/>
        </w:rPr>
        <w:t xml:space="preserve">Etapa </w:t>
      </w:r>
      <w:r w:rsidR="00A84878">
        <w:rPr>
          <w:rFonts w:ascii="Century Gothic" w:hAnsi="Century Gothic"/>
          <w:b/>
        </w:rPr>
        <w:t>Ejecución de Obra</w:t>
      </w:r>
    </w:p>
    <w:p w14:paraId="007EB2C7" w14:textId="77777777" w:rsidR="003D56C0" w:rsidRDefault="003D56C0" w:rsidP="00F83403">
      <w:pPr>
        <w:spacing w:after="120" w:line="276" w:lineRule="auto"/>
        <w:ind w:left="-426" w:right="-284"/>
        <w:jc w:val="center"/>
        <w:rPr>
          <w:rFonts w:ascii="Century Gothic" w:hAnsi="Century Gothic"/>
        </w:rPr>
      </w:pPr>
      <w:r>
        <w:rPr>
          <w:noProof/>
          <w:lang w:val="es-MX" w:eastAsia="es-MX"/>
        </w:rPr>
        <w:drawing>
          <wp:inline distT="0" distB="0" distL="0" distR="0" wp14:anchorId="2F26E555" wp14:editId="0238A8DA">
            <wp:extent cx="7256721" cy="4688958"/>
            <wp:effectExtent l="0" t="0" r="1905" b="0"/>
            <wp:docPr id="3081" name="Imagen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72450" cy="4699122"/>
                    </a:xfrm>
                    <a:prstGeom prst="rect">
                      <a:avLst/>
                    </a:prstGeom>
                    <a:noFill/>
                    <a:ln>
                      <a:noFill/>
                    </a:ln>
                  </pic:spPr>
                </pic:pic>
              </a:graphicData>
            </a:graphic>
          </wp:inline>
        </w:drawing>
      </w:r>
    </w:p>
    <w:p w14:paraId="179D3AB6" w14:textId="77777777" w:rsidR="00F83403" w:rsidRDefault="00F83403" w:rsidP="00F83403">
      <w:pPr>
        <w:spacing w:after="120" w:line="276" w:lineRule="auto"/>
        <w:ind w:left="-426" w:right="-284"/>
        <w:jc w:val="center"/>
        <w:rPr>
          <w:rFonts w:ascii="Century Gothic" w:hAnsi="Century Gothic"/>
        </w:rPr>
      </w:pPr>
    </w:p>
    <w:p w14:paraId="05E2175D" w14:textId="77777777" w:rsidR="00F83403" w:rsidRDefault="001176E0" w:rsidP="00F83403">
      <w:pPr>
        <w:spacing w:after="120" w:line="276" w:lineRule="auto"/>
        <w:ind w:right="284"/>
        <w:jc w:val="center"/>
        <w:rPr>
          <w:rFonts w:ascii="Century Gothic" w:hAnsi="Century Gothic"/>
          <w:b/>
        </w:rPr>
      </w:pPr>
      <w:r>
        <w:rPr>
          <w:rFonts w:ascii="Century Gothic" w:hAnsi="Century Gothic"/>
          <w:b/>
        </w:rPr>
        <w:lastRenderedPageBreak/>
        <w:t>Figura 4.7</w:t>
      </w:r>
      <w:r w:rsidR="00F83403" w:rsidRPr="006F373E">
        <w:rPr>
          <w:rFonts w:ascii="Century Gothic" w:hAnsi="Century Gothic"/>
          <w:b/>
        </w:rPr>
        <w:t>. Diagrama: Procedimiento de ejecución de obra contratada</w:t>
      </w:r>
    </w:p>
    <w:p w14:paraId="4DA6EF16" w14:textId="77777777" w:rsidR="00F83403" w:rsidRPr="006F373E" w:rsidRDefault="00F83403" w:rsidP="00F83403">
      <w:pPr>
        <w:spacing w:after="120" w:line="276" w:lineRule="auto"/>
        <w:ind w:right="284"/>
        <w:jc w:val="center"/>
        <w:rPr>
          <w:rFonts w:ascii="Century Gothic" w:hAnsi="Century Gothic"/>
          <w:b/>
        </w:rPr>
      </w:pPr>
      <w:r>
        <w:rPr>
          <w:rFonts w:ascii="Century Gothic" w:hAnsi="Century Gothic"/>
          <w:b/>
        </w:rPr>
        <w:t>Etapa Estimaciones</w:t>
      </w:r>
    </w:p>
    <w:p w14:paraId="182F0C34" w14:textId="77777777" w:rsidR="00F31E04" w:rsidRDefault="00CE6970" w:rsidP="00F83403">
      <w:pPr>
        <w:spacing w:after="120" w:line="276" w:lineRule="auto"/>
        <w:ind w:left="-426" w:right="-284"/>
        <w:jc w:val="center"/>
        <w:rPr>
          <w:rFonts w:ascii="Century Gothic" w:hAnsi="Century Gothic"/>
        </w:rPr>
      </w:pPr>
      <w:r>
        <w:rPr>
          <w:noProof/>
          <w:lang w:val="es-MX" w:eastAsia="es-MX"/>
        </w:rPr>
        <w:drawing>
          <wp:inline distT="0" distB="0" distL="0" distR="0" wp14:anchorId="52B264CC" wp14:editId="20D1C965">
            <wp:extent cx="7383307" cy="4657061"/>
            <wp:effectExtent l="0" t="0" r="8255" b="0"/>
            <wp:docPr id="3082" name="Imagen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89518" cy="4660979"/>
                    </a:xfrm>
                    <a:prstGeom prst="rect">
                      <a:avLst/>
                    </a:prstGeom>
                    <a:noFill/>
                    <a:ln>
                      <a:noFill/>
                    </a:ln>
                  </pic:spPr>
                </pic:pic>
              </a:graphicData>
            </a:graphic>
          </wp:inline>
        </w:drawing>
      </w:r>
    </w:p>
    <w:p w14:paraId="5FF3E395" w14:textId="77777777" w:rsidR="00551863" w:rsidRDefault="00551863" w:rsidP="00F83403">
      <w:pPr>
        <w:spacing w:after="120" w:line="276" w:lineRule="auto"/>
        <w:ind w:left="-426" w:right="-284"/>
        <w:jc w:val="center"/>
        <w:rPr>
          <w:rFonts w:ascii="Century Gothic" w:hAnsi="Century Gothic"/>
        </w:rPr>
      </w:pPr>
    </w:p>
    <w:p w14:paraId="2A6EA9EA" w14:textId="77777777" w:rsidR="00551863" w:rsidRDefault="001176E0" w:rsidP="00551863">
      <w:pPr>
        <w:spacing w:after="120" w:line="276" w:lineRule="auto"/>
        <w:ind w:right="284"/>
        <w:jc w:val="center"/>
        <w:rPr>
          <w:rFonts w:ascii="Century Gothic" w:hAnsi="Century Gothic"/>
          <w:b/>
        </w:rPr>
      </w:pPr>
      <w:r>
        <w:rPr>
          <w:rFonts w:ascii="Century Gothic" w:hAnsi="Century Gothic"/>
          <w:b/>
        </w:rPr>
        <w:lastRenderedPageBreak/>
        <w:t>Figura 4.7</w:t>
      </w:r>
      <w:r w:rsidR="00551863" w:rsidRPr="006F373E">
        <w:rPr>
          <w:rFonts w:ascii="Century Gothic" w:hAnsi="Century Gothic"/>
          <w:b/>
        </w:rPr>
        <w:t>. Diagrama: Procedimiento de ejecución de obra contratada</w:t>
      </w:r>
    </w:p>
    <w:p w14:paraId="7279473A" w14:textId="77777777" w:rsidR="00551863" w:rsidRPr="006F373E" w:rsidRDefault="00551863" w:rsidP="00551863">
      <w:pPr>
        <w:spacing w:after="120" w:line="276" w:lineRule="auto"/>
        <w:ind w:right="284"/>
        <w:jc w:val="center"/>
        <w:rPr>
          <w:rFonts w:ascii="Century Gothic" w:hAnsi="Century Gothic"/>
          <w:b/>
        </w:rPr>
      </w:pPr>
      <w:r>
        <w:rPr>
          <w:rFonts w:ascii="Century Gothic" w:hAnsi="Century Gothic"/>
          <w:b/>
        </w:rPr>
        <w:t>Etapa Cierre de Obra</w:t>
      </w:r>
    </w:p>
    <w:p w14:paraId="31AE7861" w14:textId="77777777" w:rsidR="00760343" w:rsidRDefault="00760343" w:rsidP="00551863">
      <w:pPr>
        <w:spacing w:after="40" w:line="276" w:lineRule="auto"/>
        <w:ind w:left="-425" w:right="-284"/>
        <w:jc w:val="center"/>
        <w:rPr>
          <w:rFonts w:ascii="Century Gothic" w:hAnsi="Century Gothic"/>
        </w:rPr>
      </w:pPr>
      <w:r>
        <w:rPr>
          <w:noProof/>
          <w:lang w:val="es-MX" w:eastAsia="es-MX"/>
        </w:rPr>
        <w:drawing>
          <wp:inline distT="0" distB="0" distL="0" distR="0" wp14:anchorId="2B27E5A9" wp14:editId="34A24030">
            <wp:extent cx="7580117" cy="4284921"/>
            <wp:effectExtent l="19050" t="19050" r="20955" b="20955"/>
            <wp:docPr id="3083" name="Imagen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1">
                      <a:extLst>
                        <a:ext uri="{28A0092B-C50C-407E-A947-70E740481C1C}">
                          <a14:useLocalDpi xmlns:a14="http://schemas.microsoft.com/office/drawing/2010/main" val="0"/>
                        </a:ext>
                      </a:extLst>
                    </a:blip>
                    <a:srcRect b="13688"/>
                    <a:stretch/>
                  </pic:blipFill>
                  <pic:spPr bwMode="auto">
                    <a:xfrm>
                      <a:off x="0" y="0"/>
                      <a:ext cx="7615161" cy="430473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D4CE1E8" w14:textId="77777777" w:rsidR="00760343" w:rsidRPr="00284B40" w:rsidRDefault="00760343" w:rsidP="00284B40">
      <w:pPr>
        <w:jc w:val="both"/>
        <w:rPr>
          <w:rFonts w:ascii="Century Gothic" w:hAnsi="Century Gothic"/>
          <w:sz w:val="20"/>
        </w:rPr>
      </w:pPr>
      <w:r w:rsidRPr="00284B40">
        <w:rPr>
          <w:rFonts w:cstheme="minorHAnsi"/>
          <w:sz w:val="18"/>
        </w:rPr>
        <w:t>Fuente: Tomado el documento “Plan de la Calidad para la contratación” suministrado por la SEIDUR como evidencia</w:t>
      </w:r>
      <w:r w:rsidRPr="00284B40">
        <w:rPr>
          <w:rFonts w:ascii="Century Gothic" w:hAnsi="Century Gothic"/>
          <w:sz w:val="20"/>
        </w:rPr>
        <w:t>.</w:t>
      </w:r>
    </w:p>
    <w:p w14:paraId="59832B64" w14:textId="77777777" w:rsidR="00551863" w:rsidRDefault="00551863" w:rsidP="00183244">
      <w:pPr>
        <w:spacing w:after="240" w:line="276" w:lineRule="auto"/>
        <w:jc w:val="both"/>
        <w:rPr>
          <w:rFonts w:ascii="Century Gothic" w:hAnsi="Century Gothic"/>
        </w:rPr>
        <w:sectPr w:rsidR="00551863" w:rsidSect="00F83403">
          <w:pgSz w:w="15840" w:h="12240" w:orient="landscape"/>
          <w:pgMar w:top="1701" w:right="1418" w:bottom="1469" w:left="1418" w:header="709" w:footer="709" w:gutter="0"/>
          <w:cols w:space="708"/>
          <w:titlePg/>
          <w:docGrid w:linePitch="360"/>
        </w:sectPr>
      </w:pPr>
    </w:p>
    <w:p w14:paraId="18247851" w14:textId="77777777" w:rsidR="00434B73" w:rsidRDefault="00183244" w:rsidP="00183244">
      <w:pPr>
        <w:spacing w:after="240" w:line="276" w:lineRule="auto"/>
        <w:jc w:val="both"/>
        <w:rPr>
          <w:rFonts w:ascii="Century Gothic" w:hAnsi="Century Gothic"/>
        </w:rPr>
      </w:pPr>
      <w:r w:rsidRPr="00183244">
        <w:rPr>
          <w:rFonts w:ascii="Century Gothic" w:hAnsi="Century Gothic"/>
        </w:rPr>
        <w:lastRenderedPageBreak/>
        <w:t xml:space="preserve">El resultado </w:t>
      </w:r>
      <w:r>
        <w:rPr>
          <w:rFonts w:ascii="Century Gothic" w:hAnsi="Century Gothic"/>
        </w:rPr>
        <w:t>final de este proceso culmina</w:t>
      </w:r>
      <w:r w:rsidRPr="00183244">
        <w:rPr>
          <w:rFonts w:ascii="Century Gothic" w:hAnsi="Century Gothic"/>
        </w:rPr>
        <w:t>, con las</w:t>
      </w:r>
      <w:r>
        <w:rPr>
          <w:rFonts w:ascii="Century Gothic" w:hAnsi="Century Gothic"/>
        </w:rPr>
        <w:t xml:space="preserve"> </w:t>
      </w:r>
      <w:r w:rsidRPr="00183244">
        <w:rPr>
          <w:rFonts w:ascii="Century Gothic" w:hAnsi="Century Gothic"/>
        </w:rPr>
        <w:t>actas de entrega-recepción donde se certifique que las obras cumplen con los criterios</w:t>
      </w:r>
      <w:r>
        <w:rPr>
          <w:rFonts w:ascii="Century Gothic" w:hAnsi="Century Gothic"/>
        </w:rPr>
        <w:t xml:space="preserve"> </w:t>
      </w:r>
      <w:r w:rsidRPr="00183244">
        <w:rPr>
          <w:rFonts w:ascii="Century Gothic" w:hAnsi="Century Gothic"/>
        </w:rPr>
        <w:t>funcionales, de calidad, ambientales, de tiempo y legales con que fueron planeadas.</w:t>
      </w:r>
      <w:r>
        <w:rPr>
          <w:rFonts w:ascii="Century Gothic" w:hAnsi="Century Gothic"/>
        </w:rPr>
        <w:t xml:space="preserve"> Por ello es importante que se cuente con procedimientos adecuados para la supervisión y control de las obras, tema que se tratará en el siguiente apartado.</w:t>
      </w:r>
    </w:p>
    <w:p w14:paraId="4A287EDC" w14:textId="77777777" w:rsidR="00813636" w:rsidRPr="00813636" w:rsidRDefault="00E84C5A" w:rsidP="00813636">
      <w:pPr>
        <w:pStyle w:val="Ttulo2"/>
        <w:spacing w:before="0" w:after="240" w:line="276" w:lineRule="auto"/>
        <w:rPr>
          <w:rFonts w:ascii="Century Gothic" w:hAnsi="Century Gothic"/>
          <w:color w:val="0E4E7A"/>
          <w:sz w:val="24"/>
          <w:szCs w:val="24"/>
        </w:rPr>
      </w:pPr>
      <w:bookmarkStart w:id="43" w:name="_Toc511236531"/>
      <w:r>
        <w:rPr>
          <w:rFonts w:ascii="Century Gothic" w:hAnsi="Century Gothic"/>
          <w:color w:val="0E4E7A"/>
          <w:sz w:val="24"/>
          <w:szCs w:val="24"/>
        </w:rPr>
        <w:t>4.4 P</w:t>
      </w:r>
      <w:r w:rsidR="00813636" w:rsidRPr="00813636">
        <w:rPr>
          <w:rFonts w:ascii="Century Gothic" w:hAnsi="Century Gothic"/>
          <w:color w:val="0E4E7A"/>
          <w:sz w:val="24"/>
          <w:szCs w:val="24"/>
        </w:rPr>
        <w:t>roceso: Seguimiento y control</w:t>
      </w:r>
      <w:bookmarkEnd w:id="43"/>
    </w:p>
    <w:p w14:paraId="0E97AA0C" w14:textId="77777777" w:rsidR="00FD1D13" w:rsidRPr="00FD1D13" w:rsidRDefault="00C30B6B" w:rsidP="00C951E6">
      <w:pPr>
        <w:spacing w:after="240" w:line="276" w:lineRule="auto"/>
        <w:jc w:val="both"/>
        <w:rPr>
          <w:rFonts w:ascii="Century Gothic" w:hAnsi="Century Gothic"/>
        </w:rPr>
      </w:pPr>
      <w:r>
        <w:rPr>
          <w:rFonts w:ascii="Century Gothic" w:hAnsi="Century Gothic"/>
        </w:rPr>
        <w:t xml:space="preserve">Este </w:t>
      </w:r>
      <w:r w:rsidRPr="00050DA1">
        <w:rPr>
          <w:rFonts w:ascii="Century Gothic" w:hAnsi="Century Gothic"/>
        </w:rPr>
        <w:t>proceso contempla las acciones que dan seguimiento y cont</w:t>
      </w:r>
      <w:r>
        <w:rPr>
          <w:rFonts w:ascii="Century Gothic" w:hAnsi="Century Gothic"/>
        </w:rPr>
        <w:t xml:space="preserve">rol </w:t>
      </w:r>
      <w:r w:rsidR="00183244">
        <w:rPr>
          <w:rFonts w:ascii="Century Gothic" w:hAnsi="Century Gothic"/>
        </w:rPr>
        <w:t>desde</w:t>
      </w:r>
      <w:r>
        <w:rPr>
          <w:rFonts w:ascii="Century Gothic" w:hAnsi="Century Gothic"/>
        </w:rPr>
        <w:t xml:space="preserve"> la asignación de recursos</w:t>
      </w:r>
      <w:r w:rsidR="00183244">
        <w:rPr>
          <w:rFonts w:ascii="Century Gothic" w:hAnsi="Century Gothic"/>
        </w:rPr>
        <w:t>, hasta el finiquito de la obra</w:t>
      </w:r>
      <w:r>
        <w:rPr>
          <w:rFonts w:ascii="Century Gothic" w:hAnsi="Century Gothic"/>
        </w:rPr>
        <w:t xml:space="preserve">. Para ello la SEIDUR suministro como evidencia </w:t>
      </w:r>
      <w:r w:rsidR="00C951E6">
        <w:rPr>
          <w:rFonts w:ascii="Century Gothic" w:hAnsi="Century Gothic"/>
        </w:rPr>
        <w:t>el documento “Plan de calidad para la ejecución de la obra”.</w:t>
      </w:r>
    </w:p>
    <w:p w14:paraId="6B6345F4" w14:textId="77777777" w:rsidR="00C951E6" w:rsidRDefault="00C951E6" w:rsidP="00C951E6">
      <w:pPr>
        <w:pStyle w:val="Ttulo3"/>
        <w:numPr>
          <w:ilvl w:val="2"/>
          <w:numId w:val="21"/>
        </w:numPr>
        <w:spacing w:before="0" w:after="240" w:line="276" w:lineRule="auto"/>
        <w:rPr>
          <w:rFonts w:ascii="Century Gothic" w:hAnsi="Century Gothic"/>
          <w:color w:val="0E4E7A"/>
        </w:rPr>
      </w:pPr>
      <w:bookmarkStart w:id="44" w:name="_Toc511236532"/>
      <w:r>
        <w:rPr>
          <w:rFonts w:ascii="Century Gothic" w:hAnsi="Century Gothic"/>
          <w:color w:val="0E4E7A"/>
        </w:rPr>
        <w:t>Plan de la calidad para la ejecución de la obra</w:t>
      </w:r>
      <w:bookmarkEnd w:id="44"/>
    </w:p>
    <w:p w14:paraId="5A7F994D" w14:textId="77777777" w:rsidR="00C951E6" w:rsidRDefault="00C951E6" w:rsidP="00C951E6">
      <w:pPr>
        <w:spacing w:after="240" w:line="276" w:lineRule="auto"/>
        <w:jc w:val="both"/>
        <w:rPr>
          <w:rFonts w:ascii="Century Gothic" w:hAnsi="Century Gothic"/>
        </w:rPr>
      </w:pPr>
      <w:r>
        <w:rPr>
          <w:rFonts w:ascii="Century Gothic" w:hAnsi="Century Gothic"/>
        </w:rPr>
        <w:t>El documento, “Plan de calidad para la ejecución de la obra”, tiene como objetivo “</w:t>
      </w:r>
      <w:r w:rsidRPr="00C951E6">
        <w:rPr>
          <w:rFonts w:ascii="Century Gothic" w:hAnsi="Century Gothic"/>
          <w:b/>
        </w:rPr>
        <w:t>Supervisar, Controlar</w:t>
      </w:r>
      <w:r w:rsidRPr="000C73BE">
        <w:rPr>
          <w:rFonts w:ascii="Century Gothic" w:hAnsi="Century Gothic"/>
        </w:rPr>
        <w:t xml:space="preserve"> y Ejecutar la Obra Pública que realiza la Secretaría de Desarrollo Urbano, buscando la Excelencia y Calidad  respecto  al proyecto ejecutivo, plazos y presupuestos establecidos en el Contrato o Acuerdo, así como el cabal cumplimiento de las Especificaciones Generales de Construcción de la Secretaría de Desarrollo Urbano y la normatividad aplicable</w:t>
      </w:r>
      <w:r>
        <w:rPr>
          <w:rFonts w:ascii="Century Gothic" w:hAnsi="Century Gothic"/>
        </w:rPr>
        <w:t>”</w:t>
      </w:r>
      <w:r>
        <w:rPr>
          <w:rStyle w:val="Refdenotaalpie"/>
          <w:rFonts w:ascii="Century Gothic" w:hAnsi="Century Gothic"/>
        </w:rPr>
        <w:footnoteReference w:id="15"/>
      </w:r>
      <w:r w:rsidRPr="000C73BE">
        <w:rPr>
          <w:rFonts w:ascii="Century Gothic" w:hAnsi="Century Gothic"/>
        </w:rPr>
        <w:t>.</w:t>
      </w:r>
    </w:p>
    <w:p w14:paraId="6C28FBF5" w14:textId="77777777" w:rsidR="00C951E6" w:rsidRDefault="00C951E6" w:rsidP="00C951E6">
      <w:pPr>
        <w:spacing w:after="240" w:line="276" w:lineRule="auto"/>
        <w:jc w:val="both"/>
        <w:rPr>
          <w:rFonts w:ascii="Century Gothic" w:hAnsi="Century Gothic"/>
        </w:rPr>
      </w:pPr>
      <w:r>
        <w:rPr>
          <w:rFonts w:ascii="Century Gothic" w:hAnsi="Century Gothic"/>
        </w:rPr>
        <w:t>Este subproceso es esencial, pues comprende desde la recepción de la unidad ejecutora de los documentos de la obra a realizar (expediente unitario de obra, autorización de recursos, y oficio de asignación de la obra); el inicio de la obra; la</w:t>
      </w:r>
      <w:r w:rsidRPr="00C951E6">
        <w:rPr>
          <w:rFonts w:ascii="Century Gothic" w:hAnsi="Century Gothic"/>
          <w:b/>
        </w:rPr>
        <w:t xml:space="preserve"> supervisión</w:t>
      </w:r>
      <w:r>
        <w:rPr>
          <w:rFonts w:ascii="Century Gothic" w:hAnsi="Century Gothic"/>
        </w:rPr>
        <w:t xml:space="preserve"> y ejecución de la obra, finalizando con la terminación de la obra, tal como se detalla en el siguiente diagrama:</w:t>
      </w:r>
    </w:p>
    <w:p w14:paraId="7B56CFCD" w14:textId="77777777" w:rsidR="00183244" w:rsidRDefault="00183244" w:rsidP="00C951E6">
      <w:pPr>
        <w:spacing w:after="120" w:line="276" w:lineRule="auto"/>
        <w:jc w:val="center"/>
        <w:rPr>
          <w:rFonts w:ascii="Century Gothic" w:hAnsi="Century Gothic"/>
          <w:b/>
          <w:lang w:val="es-MX"/>
        </w:rPr>
      </w:pPr>
    </w:p>
    <w:p w14:paraId="4C6ED798" w14:textId="77777777" w:rsidR="00183244" w:rsidRDefault="00183244" w:rsidP="00C951E6">
      <w:pPr>
        <w:spacing w:after="120" w:line="276" w:lineRule="auto"/>
        <w:jc w:val="center"/>
        <w:rPr>
          <w:rFonts w:ascii="Century Gothic" w:hAnsi="Century Gothic"/>
          <w:b/>
          <w:lang w:val="es-MX"/>
        </w:rPr>
      </w:pPr>
    </w:p>
    <w:p w14:paraId="5351C041" w14:textId="77777777" w:rsidR="00183244" w:rsidRDefault="00183244" w:rsidP="00C951E6">
      <w:pPr>
        <w:spacing w:after="120" w:line="276" w:lineRule="auto"/>
        <w:jc w:val="center"/>
        <w:rPr>
          <w:rFonts w:ascii="Century Gothic" w:hAnsi="Century Gothic"/>
          <w:b/>
          <w:lang w:val="es-MX"/>
        </w:rPr>
      </w:pPr>
    </w:p>
    <w:p w14:paraId="024955E2" w14:textId="77777777" w:rsidR="0060201D" w:rsidRDefault="0060201D" w:rsidP="00C951E6">
      <w:pPr>
        <w:spacing w:after="120" w:line="276" w:lineRule="auto"/>
        <w:jc w:val="center"/>
        <w:rPr>
          <w:rFonts w:ascii="Century Gothic" w:hAnsi="Century Gothic"/>
          <w:b/>
          <w:lang w:val="es-MX"/>
        </w:rPr>
      </w:pPr>
    </w:p>
    <w:p w14:paraId="52707187" w14:textId="77777777" w:rsidR="0026713C" w:rsidRDefault="0026713C" w:rsidP="00C951E6">
      <w:pPr>
        <w:spacing w:after="120" w:line="276" w:lineRule="auto"/>
        <w:jc w:val="center"/>
        <w:rPr>
          <w:rFonts w:ascii="Century Gothic" w:hAnsi="Century Gothic"/>
          <w:b/>
          <w:lang w:val="es-MX"/>
        </w:rPr>
        <w:sectPr w:rsidR="0026713C" w:rsidSect="00551863">
          <w:pgSz w:w="12240" w:h="15840"/>
          <w:pgMar w:top="1418" w:right="1469" w:bottom="1418" w:left="1701" w:header="709" w:footer="709" w:gutter="0"/>
          <w:cols w:space="708"/>
          <w:titlePg/>
          <w:docGrid w:linePitch="360"/>
        </w:sectPr>
      </w:pPr>
    </w:p>
    <w:p w14:paraId="3EC02B40" w14:textId="77777777" w:rsidR="00C951E6" w:rsidRDefault="001176E0" w:rsidP="00C951E6">
      <w:pPr>
        <w:spacing w:after="120" w:line="276" w:lineRule="auto"/>
        <w:jc w:val="center"/>
        <w:rPr>
          <w:rFonts w:ascii="Century Gothic" w:hAnsi="Century Gothic"/>
          <w:b/>
          <w:lang w:val="es-MX"/>
        </w:rPr>
      </w:pPr>
      <w:r>
        <w:rPr>
          <w:rFonts w:ascii="Century Gothic" w:hAnsi="Century Gothic"/>
          <w:b/>
          <w:lang w:val="es-MX"/>
        </w:rPr>
        <w:lastRenderedPageBreak/>
        <w:t>Figura 4.8</w:t>
      </w:r>
      <w:r w:rsidR="00C951E6" w:rsidRPr="00E21CFB">
        <w:rPr>
          <w:rFonts w:ascii="Century Gothic" w:hAnsi="Century Gothic"/>
          <w:b/>
          <w:lang w:val="es-MX"/>
        </w:rPr>
        <w:t xml:space="preserve">. Diagrama: Plan de la Calidad para la </w:t>
      </w:r>
      <w:r w:rsidR="00C951E6">
        <w:rPr>
          <w:rFonts w:ascii="Century Gothic" w:hAnsi="Century Gothic"/>
          <w:b/>
          <w:lang w:val="es-MX"/>
        </w:rPr>
        <w:t>ejecución de la obra</w:t>
      </w:r>
    </w:p>
    <w:p w14:paraId="6D48139C" w14:textId="77777777" w:rsidR="0026713C" w:rsidRPr="00E21CFB" w:rsidRDefault="0026713C" w:rsidP="00C951E6">
      <w:pPr>
        <w:spacing w:after="120" w:line="276" w:lineRule="auto"/>
        <w:jc w:val="center"/>
        <w:rPr>
          <w:rFonts w:ascii="Century Gothic" w:hAnsi="Century Gothic"/>
          <w:b/>
          <w:lang w:val="es-MX"/>
        </w:rPr>
      </w:pPr>
      <w:r>
        <w:rPr>
          <w:rFonts w:ascii="Century Gothic" w:hAnsi="Century Gothic"/>
          <w:b/>
          <w:lang w:val="es-MX"/>
        </w:rPr>
        <w:t>Etapa Residente de Obra</w:t>
      </w:r>
    </w:p>
    <w:p w14:paraId="01252DF4" w14:textId="77777777" w:rsidR="00C951E6" w:rsidRDefault="0026713C" w:rsidP="0026713C">
      <w:pPr>
        <w:spacing w:after="240" w:line="276" w:lineRule="auto"/>
        <w:ind w:left="-426" w:right="-284"/>
        <w:jc w:val="center"/>
      </w:pPr>
      <w:r>
        <w:object w:dxaOrig="14795" w:dyaOrig="10827" w14:anchorId="4F854954">
          <v:shape id="_x0000_i1027" type="#_x0000_t75" style="width:534.75pt;height:393.75pt" o:ole="">
            <v:imagedata r:id="rId32" o:title=""/>
          </v:shape>
          <o:OLEObject Type="Embed" ProgID="Visio.Drawing.11" ShapeID="_x0000_i1027" DrawAspect="Content" ObjectID="_1589787573" r:id="rId33"/>
        </w:object>
      </w:r>
    </w:p>
    <w:p w14:paraId="0A609ADF" w14:textId="77777777" w:rsidR="0026713C" w:rsidRDefault="001176E0" w:rsidP="0026713C">
      <w:pPr>
        <w:spacing w:after="120" w:line="276" w:lineRule="auto"/>
        <w:jc w:val="center"/>
        <w:rPr>
          <w:rFonts w:ascii="Century Gothic" w:hAnsi="Century Gothic"/>
          <w:b/>
          <w:lang w:val="es-MX"/>
        </w:rPr>
      </w:pPr>
      <w:r>
        <w:rPr>
          <w:rFonts w:ascii="Century Gothic" w:hAnsi="Century Gothic"/>
          <w:b/>
          <w:lang w:val="es-MX"/>
        </w:rPr>
        <w:lastRenderedPageBreak/>
        <w:t>Figura 4.8</w:t>
      </w:r>
      <w:r w:rsidR="0026713C" w:rsidRPr="00E21CFB">
        <w:rPr>
          <w:rFonts w:ascii="Century Gothic" w:hAnsi="Century Gothic"/>
          <w:b/>
          <w:lang w:val="es-MX"/>
        </w:rPr>
        <w:t xml:space="preserve">. Diagrama: Plan de la Calidad para la </w:t>
      </w:r>
      <w:r w:rsidR="0026713C">
        <w:rPr>
          <w:rFonts w:ascii="Century Gothic" w:hAnsi="Century Gothic"/>
          <w:b/>
          <w:lang w:val="es-MX"/>
        </w:rPr>
        <w:t>ejecución de la obra</w:t>
      </w:r>
    </w:p>
    <w:p w14:paraId="37221D74" w14:textId="77777777" w:rsidR="0026713C" w:rsidRPr="00E21CFB" w:rsidRDefault="0026713C" w:rsidP="0026713C">
      <w:pPr>
        <w:spacing w:after="120" w:line="276" w:lineRule="auto"/>
        <w:jc w:val="center"/>
        <w:rPr>
          <w:rFonts w:ascii="Century Gothic" w:hAnsi="Century Gothic"/>
          <w:b/>
          <w:lang w:val="es-MX"/>
        </w:rPr>
      </w:pPr>
      <w:r>
        <w:rPr>
          <w:rFonts w:ascii="Century Gothic" w:hAnsi="Century Gothic"/>
          <w:b/>
          <w:lang w:val="es-MX"/>
        </w:rPr>
        <w:t>Etapa Supervisión – terminación de Obra</w:t>
      </w:r>
    </w:p>
    <w:p w14:paraId="32D0B236" w14:textId="77777777" w:rsidR="00C951E6" w:rsidRPr="00E21CFB" w:rsidRDefault="002D3CE7" w:rsidP="0026713C">
      <w:pPr>
        <w:spacing w:after="240" w:line="276" w:lineRule="auto"/>
        <w:ind w:left="-425" w:right="-284"/>
        <w:jc w:val="center"/>
        <w:rPr>
          <w:sz w:val="2"/>
        </w:rPr>
      </w:pPr>
      <w:r>
        <w:rPr>
          <w:noProof/>
          <w:lang w:val="es-MX" w:eastAsia="es-MX"/>
        </w:rPr>
        <mc:AlternateContent>
          <mc:Choice Requires="wps">
            <w:drawing>
              <wp:anchor distT="0" distB="0" distL="114300" distR="114300" simplePos="0" relativeHeight="251660288" behindDoc="0" locked="0" layoutInCell="1" allowOverlap="1" wp14:anchorId="475AF7D4" wp14:editId="07E25177">
                <wp:simplePos x="0" y="0"/>
                <wp:positionH relativeFrom="column">
                  <wp:posOffset>1872615</wp:posOffset>
                </wp:positionH>
                <wp:positionV relativeFrom="paragraph">
                  <wp:posOffset>938368</wp:posOffset>
                </wp:positionV>
                <wp:extent cx="1076325" cy="866775"/>
                <wp:effectExtent l="0" t="0" r="28575" b="28575"/>
                <wp:wrapNone/>
                <wp:docPr id="3084" name="3084 Elipse"/>
                <wp:cNvGraphicFramePr/>
                <a:graphic xmlns:a="http://schemas.openxmlformats.org/drawingml/2006/main">
                  <a:graphicData uri="http://schemas.microsoft.com/office/word/2010/wordprocessingShape">
                    <wps:wsp>
                      <wps:cNvSpPr/>
                      <wps:spPr>
                        <a:xfrm>
                          <a:off x="0" y="0"/>
                          <a:ext cx="1076325" cy="86677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55678E" id="3084 Elipse" o:spid="_x0000_s1026" style="position:absolute;margin-left:147.45pt;margin-top:73.9pt;width:84.75pt;height:6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" filled="f" strokecolor="#c00000" strokeweight="1.5pt">
                <v:stroke joinstyle="miter"/>
              </v:oval>
            </w:pict>
          </mc:Fallback>
        </mc:AlternateContent>
      </w:r>
      <w:r w:rsidR="0026713C">
        <w:object w:dxaOrig="14795" w:dyaOrig="10827" w14:anchorId="105C06B8">
          <v:shape id="_x0000_i1028" type="#_x0000_t75" style="width:525.75pt;height:366pt" o:ole="">
            <v:imagedata r:id="rId34" o:title=""/>
          </v:shape>
          <o:OLEObject Type="Embed" ProgID="Visio.Drawing.11" ShapeID="_x0000_i1028" DrawAspect="Content" ObjectID="_1589787574" r:id="rId35"/>
        </w:object>
      </w:r>
    </w:p>
    <w:p w14:paraId="0B51934B" w14:textId="77777777" w:rsidR="00C951E6" w:rsidRDefault="00C951E6" w:rsidP="00C951E6">
      <w:pPr>
        <w:spacing w:after="240" w:line="276" w:lineRule="auto"/>
        <w:rPr>
          <w:rFonts w:ascii="Century Gothic" w:hAnsi="Century Gothic"/>
        </w:rPr>
      </w:pPr>
      <w:r w:rsidRPr="00C74970">
        <w:rPr>
          <w:rFonts w:cstheme="minorHAnsi"/>
          <w:sz w:val="22"/>
        </w:rPr>
        <w:t>Fuente: Tomado el documento “Plan de la Calidad para la contratación” suministrado por la SEIDUR como evidencia</w:t>
      </w:r>
      <w:r w:rsidRPr="00C74970">
        <w:rPr>
          <w:rFonts w:ascii="Century Gothic" w:hAnsi="Century Gothic"/>
        </w:rPr>
        <w:t>.</w:t>
      </w:r>
    </w:p>
    <w:p w14:paraId="538C5745" w14:textId="77777777" w:rsidR="0026713C" w:rsidRDefault="0026713C" w:rsidP="00CE2C94">
      <w:pPr>
        <w:spacing w:after="240" w:line="276" w:lineRule="auto"/>
        <w:jc w:val="both"/>
        <w:rPr>
          <w:rFonts w:ascii="Century Gothic" w:hAnsi="Century Gothic"/>
        </w:rPr>
        <w:sectPr w:rsidR="0026713C" w:rsidSect="0026713C">
          <w:pgSz w:w="15840" w:h="12240" w:orient="landscape"/>
          <w:pgMar w:top="1701" w:right="1418" w:bottom="1469" w:left="1418" w:header="709" w:footer="709" w:gutter="0"/>
          <w:cols w:space="708"/>
          <w:titlePg/>
          <w:docGrid w:linePitch="360"/>
        </w:sectPr>
      </w:pPr>
    </w:p>
    <w:p w14:paraId="49FCE6A8" w14:textId="77777777" w:rsidR="00C951E6" w:rsidRPr="00CE2C94" w:rsidRDefault="00CE2C94" w:rsidP="00CE2C94">
      <w:pPr>
        <w:spacing w:after="240" w:line="276" w:lineRule="auto"/>
        <w:jc w:val="both"/>
        <w:rPr>
          <w:rFonts w:ascii="Century Gothic" w:hAnsi="Century Gothic"/>
        </w:rPr>
      </w:pPr>
      <w:r w:rsidRPr="00CE2C94">
        <w:rPr>
          <w:rFonts w:ascii="Century Gothic" w:hAnsi="Century Gothic"/>
        </w:rPr>
        <w:lastRenderedPageBreak/>
        <w:t>El tema esencial en este apartado es sobre la supervisión de la obra</w:t>
      </w:r>
      <w:r>
        <w:rPr>
          <w:rFonts w:ascii="Century Gothic" w:hAnsi="Century Gothic"/>
        </w:rPr>
        <w:t xml:space="preserve">, identificando como participan las </w:t>
      </w:r>
      <w:r w:rsidRPr="00CE2C94">
        <w:rPr>
          <w:rFonts w:ascii="Century Gothic" w:hAnsi="Century Gothic"/>
        </w:rPr>
        <w:t>distintas instancias internas, que tienen por objetivo verificar que los proyectos de obra se alineen a la normatividad federal y estatal de modo que se garantice que la utilización de los recursos se realice de forma eficiente, eficaz, transparente y dentro de una lógica de rendición de cuentas.</w:t>
      </w:r>
    </w:p>
    <w:p w14:paraId="062986CA" w14:textId="77777777" w:rsidR="00C951E6" w:rsidRPr="00CE2C94" w:rsidRDefault="00CE2C94" w:rsidP="00CE2C94">
      <w:pPr>
        <w:spacing w:after="240" w:line="276" w:lineRule="auto"/>
        <w:jc w:val="both"/>
        <w:rPr>
          <w:rFonts w:ascii="Century Gothic" w:hAnsi="Century Gothic"/>
        </w:rPr>
      </w:pPr>
      <w:r>
        <w:rPr>
          <w:rFonts w:ascii="Century Gothic" w:hAnsi="Century Gothic"/>
        </w:rPr>
        <w:t xml:space="preserve">Ante ello, se observa </w:t>
      </w:r>
      <w:r w:rsidR="001C05B2">
        <w:rPr>
          <w:rFonts w:ascii="Century Gothic" w:hAnsi="Century Gothic"/>
        </w:rPr>
        <w:t xml:space="preserve">que el tema que </w:t>
      </w:r>
      <w:r>
        <w:rPr>
          <w:rFonts w:ascii="Century Gothic" w:hAnsi="Century Gothic"/>
        </w:rPr>
        <w:t>está pendiente por definir es como es la supervisión de la obra, que pasa si no cumple con los requisitos o estándares.</w:t>
      </w:r>
      <w:r w:rsidR="001C05B2">
        <w:rPr>
          <w:rFonts w:ascii="Century Gothic" w:hAnsi="Century Gothic"/>
        </w:rPr>
        <w:t xml:space="preserve"> Procedimiento que es necesario desarrollar.</w:t>
      </w:r>
    </w:p>
    <w:p w14:paraId="02249900" w14:textId="77777777" w:rsidR="006600CA" w:rsidRDefault="001176E0" w:rsidP="00B929C0">
      <w:pPr>
        <w:spacing w:after="120" w:line="276" w:lineRule="auto"/>
        <w:jc w:val="center"/>
        <w:rPr>
          <w:rFonts w:ascii="Century Gothic" w:hAnsi="Century Gothic"/>
          <w:b/>
        </w:rPr>
      </w:pPr>
      <w:r>
        <w:rPr>
          <w:rFonts w:ascii="Century Gothic" w:hAnsi="Century Gothic"/>
          <w:b/>
        </w:rPr>
        <w:t>Figura 4.9</w:t>
      </w:r>
      <w:r w:rsidR="006600CA">
        <w:rPr>
          <w:rFonts w:ascii="Century Gothic" w:hAnsi="Century Gothic"/>
          <w:b/>
        </w:rPr>
        <w:t xml:space="preserve">. </w:t>
      </w:r>
      <w:r w:rsidR="00B929C0">
        <w:rPr>
          <w:rFonts w:ascii="Century Gothic" w:hAnsi="Century Gothic"/>
          <w:b/>
        </w:rPr>
        <w:t>Desarrollo del proceso de supervisión de la obra</w:t>
      </w:r>
    </w:p>
    <w:p w14:paraId="510E4F85" w14:textId="77777777" w:rsidR="006600CA" w:rsidRDefault="006600CA" w:rsidP="00940229">
      <w:pPr>
        <w:spacing w:after="120" w:line="276" w:lineRule="auto"/>
        <w:jc w:val="center"/>
        <w:rPr>
          <w:rFonts w:ascii="Century Gothic" w:hAnsi="Century Gothic"/>
          <w:b/>
        </w:rPr>
      </w:pPr>
      <w:r>
        <w:rPr>
          <w:rFonts w:ascii="Century Gothic" w:hAnsi="Century Gothic"/>
          <w:b/>
          <w:noProof/>
          <w:lang w:val="es-MX" w:eastAsia="es-MX"/>
        </w:rPr>
        <w:drawing>
          <wp:inline distT="0" distB="0" distL="0" distR="0" wp14:anchorId="357A7512" wp14:editId="35E9FE2B">
            <wp:extent cx="3819525" cy="3244565"/>
            <wp:effectExtent l="0" t="0" r="0" b="0"/>
            <wp:docPr id="3102" name="Imagen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21815" cy="3246511"/>
                    </a:xfrm>
                    <a:prstGeom prst="rect">
                      <a:avLst/>
                    </a:prstGeom>
                    <a:noFill/>
                  </pic:spPr>
                </pic:pic>
              </a:graphicData>
            </a:graphic>
          </wp:inline>
        </w:drawing>
      </w:r>
    </w:p>
    <w:p w14:paraId="2D0D75D7" w14:textId="77777777" w:rsidR="006600CA" w:rsidRPr="00940229" w:rsidRDefault="00940229" w:rsidP="00813636">
      <w:pPr>
        <w:spacing w:after="240" w:line="276" w:lineRule="auto"/>
        <w:rPr>
          <w:rFonts w:ascii="Century Gothic" w:hAnsi="Century Gothic"/>
          <w:sz w:val="22"/>
        </w:rPr>
      </w:pPr>
      <w:r w:rsidRPr="00940229">
        <w:rPr>
          <w:rFonts w:ascii="Century Gothic" w:hAnsi="Century Gothic"/>
          <w:sz w:val="22"/>
        </w:rPr>
        <w:t>Fuente: Elaborado por TECSO</w:t>
      </w:r>
    </w:p>
    <w:p w14:paraId="786E7F63" w14:textId="77777777" w:rsidR="006600CA" w:rsidRPr="00940229" w:rsidRDefault="004732BB" w:rsidP="00953BBA">
      <w:pPr>
        <w:spacing w:after="240" w:line="276" w:lineRule="auto"/>
        <w:jc w:val="both"/>
        <w:rPr>
          <w:rFonts w:ascii="Century Gothic" w:hAnsi="Century Gothic"/>
        </w:rPr>
      </w:pPr>
      <w:r>
        <w:rPr>
          <w:rFonts w:ascii="Century Gothic" w:hAnsi="Century Gothic"/>
        </w:rPr>
        <w:t xml:space="preserve">Este proceso es de vital importancia se desarrolle, con el objeto de identificar responsables y las facultades </w:t>
      </w:r>
      <w:r w:rsidRPr="004732BB">
        <w:rPr>
          <w:rFonts w:ascii="Century Gothic" w:hAnsi="Century Gothic"/>
        </w:rPr>
        <w:t>para dar un seguimiento constante de la operación</w:t>
      </w:r>
      <w:r>
        <w:rPr>
          <w:rFonts w:ascii="Century Gothic" w:hAnsi="Century Gothic"/>
        </w:rPr>
        <w:t xml:space="preserve"> de las</w:t>
      </w:r>
      <w:r w:rsidRPr="004732BB">
        <w:rPr>
          <w:rFonts w:ascii="Century Gothic" w:hAnsi="Century Gothic"/>
        </w:rPr>
        <w:t xml:space="preserve"> </w:t>
      </w:r>
      <w:r>
        <w:rPr>
          <w:rFonts w:ascii="Century Gothic" w:hAnsi="Century Gothic"/>
        </w:rPr>
        <w:t>obras, identificando</w:t>
      </w:r>
      <w:r w:rsidRPr="004732BB">
        <w:rPr>
          <w:rFonts w:ascii="Century Gothic" w:hAnsi="Century Gothic"/>
        </w:rPr>
        <w:t xml:space="preserve"> y en su caso sancionar y establecer responsabilidades</w:t>
      </w:r>
      <w:r>
        <w:rPr>
          <w:rFonts w:ascii="Century Gothic" w:hAnsi="Century Gothic"/>
        </w:rPr>
        <w:t xml:space="preserve"> </w:t>
      </w:r>
      <w:r w:rsidRPr="004732BB">
        <w:rPr>
          <w:rFonts w:ascii="Century Gothic" w:hAnsi="Century Gothic"/>
        </w:rPr>
        <w:t xml:space="preserve">según los resultados observados </w:t>
      </w:r>
      <w:r w:rsidR="00953BBA">
        <w:rPr>
          <w:rFonts w:ascii="Century Gothic" w:hAnsi="Century Gothic"/>
        </w:rPr>
        <w:t>en la supervisión</w:t>
      </w:r>
      <w:r w:rsidRPr="004732BB">
        <w:rPr>
          <w:rFonts w:ascii="Century Gothic" w:hAnsi="Century Gothic"/>
        </w:rPr>
        <w:t>, en cualquiera de</w:t>
      </w:r>
      <w:r w:rsidR="00953BBA">
        <w:rPr>
          <w:rFonts w:ascii="Century Gothic" w:hAnsi="Century Gothic"/>
        </w:rPr>
        <w:t xml:space="preserve"> </w:t>
      </w:r>
      <w:r w:rsidRPr="004732BB">
        <w:rPr>
          <w:rFonts w:ascii="Century Gothic" w:hAnsi="Century Gothic"/>
        </w:rPr>
        <w:t>las fases, desde la planeación hasta la finalización de las obras</w:t>
      </w:r>
      <w:r w:rsidR="00953BBA">
        <w:rPr>
          <w:rFonts w:ascii="Century Gothic" w:hAnsi="Century Gothic"/>
        </w:rPr>
        <w:t>.</w:t>
      </w:r>
    </w:p>
    <w:p w14:paraId="4219E157" w14:textId="77777777" w:rsidR="00940229" w:rsidRPr="00940229" w:rsidRDefault="00953BBA" w:rsidP="00953BBA">
      <w:pPr>
        <w:spacing w:after="240" w:line="276" w:lineRule="auto"/>
        <w:jc w:val="both"/>
        <w:rPr>
          <w:rFonts w:ascii="Century Gothic" w:hAnsi="Century Gothic"/>
        </w:rPr>
      </w:pPr>
      <w:r>
        <w:rPr>
          <w:rFonts w:ascii="Century Gothic" w:hAnsi="Century Gothic"/>
        </w:rPr>
        <w:t xml:space="preserve">De igual forma desde </w:t>
      </w:r>
      <w:r w:rsidRPr="00953BBA">
        <w:rPr>
          <w:rFonts w:ascii="Century Gothic" w:hAnsi="Century Gothic"/>
        </w:rPr>
        <w:t>la LCF,</w:t>
      </w:r>
      <w:r>
        <w:rPr>
          <w:rFonts w:ascii="Century Gothic" w:hAnsi="Century Gothic"/>
        </w:rPr>
        <w:t xml:space="preserve"> se prevé </w:t>
      </w:r>
      <w:r w:rsidRPr="00953BBA">
        <w:rPr>
          <w:rFonts w:ascii="Century Gothic" w:hAnsi="Century Gothic"/>
        </w:rPr>
        <w:t xml:space="preserve">que el ejercicio de los recursos del FISE debe contar con mecanismos de participación social. </w:t>
      </w:r>
      <w:r>
        <w:rPr>
          <w:rFonts w:ascii="Century Gothic" w:hAnsi="Century Gothic"/>
        </w:rPr>
        <w:t xml:space="preserve">Por lo que en el desarrollo de este proceso se deben plasmar mecanismos para que la </w:t>
      </w:r>
      <w:r>
        <w:rPr>
          <w:rFonts w:ascii="Century Gothic" w:hAnsi="Century Gothic"/>
        </w:rPr>
        <w:lastRenderedPageBreak/>
        <w:t>población y beneficiarios pue</w:t>
      </w:r>
      <w:r w:rsidR="001E2607">
        <w:rPr>
          <w:rFonts w:ascii="Century Gothic" w:hAnsi="Century Gothic"/>
        </w:rPr>
        <w:t>d</w:t>
      </w:r>
      <w:r>
        <w:rPr>
          <w:rFonts w:ascii="Century Gothic" w:hAnsi="Century Gothic"/>
        </w:rPr>
        <w:t>an</w:t>
      </w:r>
      <w:r w:rsidRPr="00953BBA">
        <w:rPr>
          <w:rFonts w:ascii="Century Gothic" w:hAnsi="Century Gothic"/>
        </w:rPr>
        <w:t xml:space="preserve"> dar seguimiento y verificar que las obras se realicen con base en el marco normativo y las condiciones específicas acordadas en cada uno de los proyectos de obras de Infraestructura, en todas las fases del proceso, no sólo en la ejecución.</w:t>
      </w:r>
    </w:p>
    <w:p w14:paraId="75E6A17E" w14:textId="77777777" w:rsidR="00813636" w:rsidRPr="00813636" w:rsidRDefault="00E84C5A" w:rsidP="00ED3776">
      <w:pPr>
        <w:pStyle w:val="Ttulo2"/>
        <w:spacing w:before="0" w:after="240" w:line="276" w:lineRule="auto"/>
        <w:rPr>
          <w:rFonts w:ascii="Century Gothic" w:hAnsi="Century Gothic"/>
          <w:color w:val="0E4E7A"/>
          <w:sz w:val="24"/>
          <w:szCs w:val="24"/>
        </w:rPr>
      </w:pPr>
      <w:bookmarkStart w:id="45" w:name="_Toc511236533"/>
      <w:r>
        <w:rPr>
          <w:rFonts w:ascii="Century Gothic" w:hAnsi="Century Gothic"/>
          <w:color w:val="0E4E7A"/>
          <w:sz w:val="24"/>
          <w:szCs w:val="24"/>
        </w:rPr>
        <w:t>4.5 P</w:t>
      </w:r>
      <w:r w:rsidR="00813636" w:rsidRPr="00813636">
        <w:rPr>
          <w:rFonts w:ascii="Century Gothic" w:hAnsi="Century Gothic"/>
          <w:color w:val="0E4E7A"/>
          <w:sz w:val="24"/>
          <w:szCs w:val="24"/>
        </w:rPr>
        <w:t>roceso</w:t>
      </w:r>
      <w:r w:rsidR="00813636">
        <w:rPr>
          <w:rFonts w:ascii="Century Gothic" w:hAnsi="Century Gothic"/>
          <w:color w:val="0E4E7A"/>
          <w:sz w:val="24"/>
          <w:szCs w:val="24"/>
        </w:rPr>
        <w:t xml:space="preserve">: </w:t>
      </w:r>
      <w:r w:rsidR="00813636" w:rsidRPr="00813636">
        <w:rPr>
          <w:rFonts w:ascii="Century Gothic" w:hAnsi="Century Gothic"/>
          <w:color w:val="0E4E7A"/>
          <w:sz w:val="24"/>
          <w:szCs w:val="24"/>
        </w:rPr>
        <w:t>Evaluación y Rendición de Cuentas</w:t>
      </w:r>
      <w:bookmarkEnd w:id="45"/>
    </w:p>
    <w:p w14:paraId="2BCE4547" w14:textId="77777777" w:rsidR="00813636" w:rsidRDefault="00ED3776" w:rsidP="00ED3776">
      <w:pPr>
        <w:spacing w:after="240" w:line="276" w:lineRule="auto"/>
        <w:jc w:val="both"/>
        <w:rPr>
          <w:rFonts w:ascii="Century Gothic" w:hAnsi="Century Gothic"/>
        </w:rPr>
      </w:pPr>
      <w:r>
        <w:rPr>
          <w:rFonts w:ascii="Century Gothic" w:hAnsi="Century Gothic"/>
        </w:rPr>
        <w:t xml:space="preserve">Este </w:t>
      </w:r>
      <w:r w:rsidRPr="00050DA1">
        <w:rPr>
          <w:rFonts w:ascii="Century Gothic" w:hAnsi="Century Gothic"/>
        </w:rPr>
        <w:t xml:space="preserve">proceso contempla que una vez </w:t>
      </w:r>
      <w:r>
        <w:rPr>
          <w:rFonts w:ascii="Century Gothic" w:hAnsi="Century Gothic"/>
        </w:rPr>
        <w:t>desarrolladas</w:t>
      </w:r>
      <w:r w:rsidRPr="00050DA1">
        <w:rPr>
          <w:rFonts w:ascii="Century Gothic" w:hAnsi="Century Gothic"/>
        </w:rPr>
        <w:t xml:space="preserve"> las acciones de apoyo se </w:t>
      </w:r>
      <w:r>
        <w:rPr>
          <w:rFonts w:ascii="Century Gothic" w:hAnsi="Century Gothic"/>
        </w:rPr>
        <w:t xml:space="preserve">debe contar con mecanismos para </w:t>
      </w:r>
      <w:r w:rsidRPr="00050DA1">
        <w:rPr>
          <w:rFonts w:ascii="Century Gothic" w:hAnsi="Century Gothic"/>
        </w:rPr>
        <w:t>la evaluación y a la rendición de cuentas</w:t>
      </w:r>
      <w:r>
        <w:rPr>
          <w:rFonts w:ascii="Century Gothic" w:hAnsi="Century Gothic"/>
        </w:rPr>
        <w:t>.</w:t>
      </w:r>
    </w:p>
    <w:p w14:paraId="23447ADA" w14:textId="77777777" w:rsidR="00ED3776" w:rsidRPr="00ED3776" w:rsidRDefault="00ED3776" w:rsidP="00ED3776">
      <w:pPr>
        <w:pStyle w:val="Ttulo3"/>
        <w:spacing w:after="240" w:line="276" w:lineRule="auto"/>
        <w:rPr>
          <w:rFonts w:ascii="Century Gothic" w:hAnsi="Century Gothic"/>
          <w:color w:val="0E4E7A"/>
        </w:rPr>
      </w:pPr>
      <w:bookmarkStart w:id="46" w:name="_Toc511236534"/>
      <w:r w:rsidRPr="00ED3776">
        <w:rPr>
          <w:rFonts w:ascii="Century Gothic" w:hAnsi="Century Gothic"/>
          <w:color w:val="0E4E7A"/>
        </w:rPr>
        <w:t>4.5.1 Rendición de cuentas</w:t>
      </w:r>
      <w:bookmarkEnd w:id="46"/>
    </w:p>
    <w:p w14:paraId="1529D0AB" w14:textId="77777777" w:rsidR="002854BE" w:rsidRDefault="002854BE" w:rsidP="002854BE">
      <w:pPr>
        <w:spacing w:after="240" w:line="276" w:lineRule="auto"/>
        <w:jc w:val="both"/>
        <w:rPr>
          <w:rFonts w:ascii="Century Gothic" w:hAnsi="Century Gothic"/>
        </w:rPr>
      </w:pPr>
      <w:r w:rsidRPr="005B0DE5">
        <w:rPr>
          <w:rFonts w:ascii="Century Gothic" w:hAnsi="Century Gothic"/>
        </w:rPr>
        <w:t>La rendición de cuentas consiste en informar y explicar a los ciudadanos las acciones realizadas por el gobierno de manera transparente y clara para dar a conocer sus estructuras y funcionamiento, y por consecuencia, ser sujeto de la opinión pública.</w:t>
      </w:r>
      <w:r>
        <w:rPr>
          <w:rFonts w:ascii="Century Gothic" w:hAnsi="Century Gothic"/>
        </w:rPr>
        <w:t xml:space="preserve"> </w:t>
      </w:r>
    </w:p>
    <w:p w14:paraId="0036F0F0" w14:textId="77777777" w:rsidR="002854BE" w:rsidRPr="008D5E7C" w:rsidRDefault="002854BE" w:rsidP="002854BE">
      <w:pPr>
        <w:spacing w:after="240" w:line="276" w:lineRule="auto"/>
        <w:jc w:val="both"/>
        <w:rPr>
          <w:rFonts w:ascii="Century Gothic" w:hAnsi="Century Gothic"/>
        </w:rPr>
      </w:pPr>
      <w:r>
        <w:rPr>
          <w:rFonts w:ascii="Century Gothic" w:hAnsi="Century Gothic"/>
        </w:rPr>
        <w:t xml:space="preserve">Esto dando cumplimiento al </w:t>
      </w:r>
      <w:r w:rsidRPr="008D5E7C">
        <w:rPr>
          <w:rFonts w:ascii="Century Gothic" w:hAnsi="Century Gothic"/>
        </w:rPr>
        <w:t xml:space="preserve">Artículo 29 </w:t>
      </w:r>
      <w:r>
        <w:rPr>
          <w:rFonts w:ascii="Century Gothic" w:hAnsi="Century Gothic"/>
        </w:rPr>
        <w:t xml:space="preserve">de la </w:t>
      </w:r>
      <w:r w:rsidRPr="00A701C8">
        <w:rPr>
          <w:rFonts w:ascii="Century Gothic" w:hAnsi="Century Gothic"/>
          <w:b/>
        </w:rPr>
        <w:t>Ley de Transparencia y Acceso a la Información Pública del Estado de</w:t>
      </w:r>
      <w:r>
        <w:rPr>
          <w:rFonts w:ascii="Century Gothic" w:hAnsi="Century Gothic"/>
          <w:b/>
        </w:rPr>
        <w:t xml:space="preserve"> Colima</w:t>
      </w:r>
      <w:r>
        <w:rPr>
          <w:rFonts w:ascii="Century Gothic" w:hAnsi="Century Gothic"/>
        </w:rPr>
        <w:t>, el cual establece:</w:t>
      </w:r>
    </w:p>
    <w:p w14:paraId="56C5DF3C" w14:textId="77777777" w:rsidR="002854BE" w:rsidRDefault="002854BE" w:rsidP="002854BE">
      <w:pPr>
        <w:spacing w:after="240" w:line="276" w:lineRule="auto"/>
        <w:ind w:left="284" w:right="333"/>
        <w:jc w:val="both"/>
        <w:rPr>
          <w:rFonts w:ascii="Century Gothic" w:hAnsi="Century Gothic"/>
        </w:rPr>
      </w:pPr>
      <w:r w:rsidRPr="005C5CB9">
        <w:rPr>
          <w:rFonts w:ascii="Century Gothic" w:hAnsi="Century Gothic"/>
        </w:rPr>
        <w:t xml:space="preserve">Conforme lo dispone la Ley General, los sujetos obligados a que se </w:t>
      </w:r>
      <w:r w:rsidR="006D7FCB" w:rsidRPr="005C5CB9">
        <w:rPr>
          <w:rFonts w:ascii="Century Gothic" w:hAnsi="Century Gothic"/>
        </w:rPr>
        <w:t>refiera</w:t>
      </w:r>
      <w:r w:rsidRPr="005C5CB9">
        <w:rPr>
          <w:rFonts w:ascii="Century Gothic" w:hAnsi="Century Gothic"/>
        </w:rPr>
        <w:t xml:space="preserve"> la presente Ley deberán </w:t>
      </w:r>
      <w:r w:rsidRPr="005C5CB9">
        <w:rPr>
          <w:rFonts w:ascii="Century Gothic" w:hAnsi="Century Gothic"/>
          <w:b/>
        </w:rPr>
        <w:t>poner a disposición del público, difundir y actualizar</w:t>
      </w:r>
      <w:r w:rsidRPr="005C5CB9">
        <w:rPr>
          <w:rFonts w:ascii="Century Gothic" w:hAnsi="Century Gothic"/>
        </w:rPr>
        <w:t xml:space="preserve">, en forma permanente y </w:t>
      </w:r>
      <w:r w:rsidRPr="005C5CB9">
        <w:rPr>
          <w:rFonts w:ascii="Century Gothic" w:hAnsi="Century Gothic"/>
          <w:b/>
        </w:rPr>
        <w:t>por Internet</w:t>
      </w:r>
      <w:r>
        <w:rPr>
          <w:rFonts w:ascii="Century Gothic" w:hAnsi="Century Gothic"/>
        </w:rPr>
        <w:t>, la información.</w:t>
      </w:r>
    </w:p>
    <w:p w14:paraId="0011D58C" w14:textId="77777777" w:rsidR="00E43D53" w:rsidRDefault="00E43D53" w:rsidP="00E43D53">
      <w:pPr>
        <w:spacing w:after="240" w:line="276" w:lineRule="auto"/>
        <w:jc w:val="both"/>
        <w:rPr>
          <w:rFonts w:ascii="Century Gothic" w:hAnsi="Century Gothic"/>
        </w:rPr>
      </w:pPr>
      <w:r w:rsidRPr="00E43D53">
        <w:rPr>
          <w:rFonts w:ascii="Century Gothic" w:hAnsi="Century Gothic"/>
        </w:rPr>
        <w:t xml:space="preserve">De </w:t>
      </w:r>
      <w:r>
        <w:rPr>
          <w:rFonts w:ascii="Century Gothic" w:hAnsi="Century Gothic"/>
        </w:rPr>
        <w:t xml:space="preserve">igual forma </w:t>
      </w:r>
      <w:r w:rsidRPr="00E43D53">
        <w:rPr>
          <w:rFonts w:ascii="Century Gothic" w:hAnsi="Century Gothic"/>
        </w:rPr>
        <w:t xml:space="preserve">la LCF y la LFPRH, </w:t>
      </w:r>
      <w:r>
        <w:rPr>
          <w:rFonts w:ascii="Century Gothic" w:hAnsi="Century Gothic"/>
        </w:rPr>
        <w:t xml:space="preserve">establece que </w:t>
      </w:r>
      <w:r w:rsidRPr="00E43D53">
        <w:rPr>
          <w:rFonts w:ascii="Century Gothic" w:hAnsi="Century Gothic"/>
        </w:rPr>
        <w:t>las dependencias deberán informar trimestralmente a</w:t>
      </w:r>
      <w:r>
        <w:rPr>
          <w:rFonts w:ascii="Century Gothic" w:hAnsi="Century Gothic"/>
        </w:rPr>
        <w:t xml:space="preserve"> </w:t>
      </w:r>
      <w:r w:rsidRPr="00E43D53">
        <w:rPr>
          <w:rFonts w:ascii="Century Gothic" w:hAnsi="Century Gothic"/>
        </w:rPr>
        <w:t>la SHCP y a la SEDESOL sobre los avances físicos y financieros de las obras de</w:t>
      </w:r>
      <w:r>
        <w:rPr>
          <w:rFonts w:ascii="Century Gothic" w:hAnsi="Century Gothic"/>
        </w:rPr>
        <w:t xml:space="preserve"> </w:t>
      </w:r>
      <w:r w:rsidRPr="00E43D53">
        <w:rPr>
          <w:rFonts w:ascii="Century Gothic" w:hAnsi="Century Gothic"/>
        </w:rPr>
        <w:t>infraestructura.</w:t>
      </w:r>
    </w:p>
    <w:p w14:paraId="473A0811" w14:textId="77777777" w:rsidR="00ED3776" w:rsidRDefault="00293524" w:rsidP="00293524">
      <w:pPr>
        <w:spacing w:after="240" w:line="276" w:lineRule="auto"/>
        <w:jc w:val="both"/>
        <w:rPr>
          <w:rFonts w:ascii="Century Gothic" w:hAnsi="Century Gothic"/>
        </w:rPr>
      </w:pPr>
      <w:r>
        <w:rPr>
          <w:rFonts w:ascii="Century Gothic" w:hAnsi="Century Gothic"/>
        </w:rPr>
        <w:t>Ante ello, se identifican dos subprocesos como medio de la rendición de cuentas</w:t>
      </w:r>
      <w:r w:rsidR="006837FB">
        <w:rPr>
          <w:rFonts w:ascii="Century Gothic" w:hAnsi="Century Gothic"/>
        </w:rPr>
        <w:t xml:space="preserve"> para esta evaluación</w:t>
      </w:r>
      <w:r>
        <w:rPr>
          <w:rFonts w:ascii="Century Gothic" w:hAnsi="Century Gothic"/>
        </w:rPr>
        <w:t>,</w:t>
      </w:r>
      <w:r w:rsidR="006837FB">
        <w:rPr>
          <w:rFonts w:ascii="Century Gothic" w:hAnsi="Century Gothic"/>
        </w:rPr>
        <w:t xml:space="preserve"> cabe mencionar que como tal no está desarrollado el proceso, tal como</w:t>
      </w:r>
      <w:r>
        <w:rPr>
          <w:rFonts w:ascii="Century Gothic" w:hAnsi="Century Gothic"/>
        </w:rPr>
        <w:t xml:space="preserve"> se presenta en la siguiente figura:</w:t>
      </w:r>
    </w:p>
    <w:p w14:paraId="18545476" w14:textId="77777777" w:rsidR="006837FB" w:rsidRDefault="006837FB" w:rsidP="00293524">
      <w:pPr>
        <w:spacing w:after="240" w:line="276" w:lineRule="auto"/>
        <w:jc w:val="both"/>
        <w:rPr>
          <w:rFonts w:ascii="Century Gothic" w:hAnsi="Century Gothic"/>
        </w:rPr>
      </w:pPr>
    </w:p>
    <w:p w14:paraId="763903A3" w14:textId="77777777" w:rsidR="006837FB" w:rsidRDefault="006837FB" w:rsidP="00293524">
      <w:pPr>
        <w:spacing w:after="240" w:line="276" w:lineRule="auto"/>
        <w:jc w:val="both"/>
        <w:rPr>
          <w:rFonts w:ascii="Century Gothic" w:hAnsi="Century Gothic"/>
        </w:rPr>
      </w:pPr>
    </w:p>
    <w:p w14:paraId="044D7D14" w14:textId="77777777" w:rsidR="006837FB" w:rsidRDefault="006837FB" w:rsidP="00293524">
      <w:pPr>
        <w:spacing w:after="240" w:line="276" w:lineRule="auto"/>
        <w:jc w:val="both"/>
        <w:rPr>
          <w:rFonts w:ascii="Century Gothic" w:hAnsi="Century Gothic"/>
        </w:rPr>
      </w:pPr>
    </w:p>
    <w:p w14:paraId="2BC41B4B" w14:textId="77777777" w:rsidR="006837FB" w:rsidRDefault="006837FB" w:rsidP="00293524">
      <w:pPr>
        <w:spacing w:after="240" w:line="276" w:lineRule="auto"/>
        <w:jc w:val="both"/>
        <w:rPr>
          <w:rFonts w:ascii="Century Gothic" w:hAnsi="Century Gothic"/>
        </w:rPr>
      </w:pPr>
    </w:p>
    <w:p w14:paraId="1D57DA79" w14:textId="77777777" w:rsidR="00293524" w:rsidRPr="00293524" w:rsidRDefault="001176E0" w:rsidP="00293524">
      <w:pPr>
        <w:spacing w:after="240" w:line="276" w:lineRule="auto"/>
        <w:jc w:val="center"/>
        <w:rPr>
          <w:rFonts w:ascii="Century Gothic" w:hAnsi="Century Gothic"/>
          <w:b/>
        </w:rPr>
      </w:pPr>
      <w:r>
        <w:rPr>
          <w:rFonts w:ascii="Century Gothic" w:hAnsi="Century Gothic"/>
          <w:b/>
        </w:rPr>
        <w:t>Figura 4.10</w:t>
      </w:r>
      <w:r w:rsidR="00293524" w:rsidRPr="00293524">
        <w:rPr>
          <w:rFonts w:ascii="Century Gothic" w:hAnsi="Century Gothic"/>
          <w:b/>
        </w:rPr>
        <w:t>. Desarrollo el proceso de Rendición de cuentas</w:t>
      </w:r>
    </w:p>
    <w:p w14:paraId="4E651FB5" w14:textId="77777777" w:rsidR="00293524" w:rsidRDefault="00293524" w:rsidP="00293524">
      <w:pPr>
        <w:spacing w:after="240" w:line="276" w:lineRule="auto"/>
        <w:jc w:val="center"/>
        <w:rPr>
          <w:rFonts w:ascii="Century Gothic" w:hAnsi="Century Gothic"/>
        </w:rPr>
      </w:pPr>
      <w:r>
        <w:rPr>
          <w:rFonts w:ascii="Century Gothic" w:hAnsi="Century Gothic"/>
          <w:noProof/>
          <w:lang w:val="es-MX" w:eastAsia="es-MX"/>
        </w:rPr>
        <w:lastRenderedPageBreak/>
        <w:drawing>
          <wp:inline distT="0" distB="0" distL="0" distR="0" wp14:anchorId="6CC88E29" wp14:editId="6502B33A">
            <wp:extent cx="5714777" cy="2438400"/>
            <wp:effectExtent l="0" t="0" r="635" b="0"/>
            <wp:docPr id="3105" name="Imagen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4777" cy="2438400"/>
                    </a:xfrm>
                    <a:prstGeom prst="rect">
                      <a:avLst/>
                    </a:prstGeom>
                    <a:noFill/>
                  </pic:spPr>
                </pic:pic>
              </a:graphicData>
            </a:graphic>
          </wp:inline>
        </w:drawing>
      </w:r>
    </w:p>
    <w:p w14:paraId="187E5519" w14:textId="77777777" w:rsidR="006A07D7" w:rsidRDefault="00293524" w:rsidP="00ED3776">
      <w:pPr>
        <w:spacing w:after="240" w:line="276" w:lineRule="auto"/>
        <w:rPr>
          <w:rFonts w:ascii="Century Gothic" w:hAnsi="Century Gothic"/>
        </w:rPr>
      </w:pPr>
      <w:r>
        <w:rPr>
          <w:rFonts w:eastAsia="Times New Roman" w:cstheme="minorHAnsi"/>
          <w:color w:val="000000"/>
          <w:sz w:val="22"/>
          <w:szCs w:val="22"/>
          <w:lang w:eastAsia="es-MX"/>
        </w:rPr>
        <w:t>Fuente: Elaborado por TECSO con base a información proporcionada por la SEIDUR “Anexo 5”.</w:t>
      </w:r>
    </w:p>
    <w:p w14:paraId="41935A9A" w14:textId="77777777" w:rsidR="006A07D7" w:rsidRDefault="00E43D53" w:rsidP="00BE7ED2">
      <w:pPr>
        <w:spacing w:after="240" w:line="276" w:lineRule="auto"/>
        <w:jc w:val="both"/>
        <w:rPr>
          <w:rFonts w:ascii="Century Gothic" w:hAnsi="Century Gothic"/>
        </w:rPr>
      </w:pPr>
      <w:r>
        <w:rPr>
          <w:rFonts w:ascii="Century Gothic" w:hAnsi="Century Gothic"/>
        </w:rPr>
        <w:t xml:space="preserve">Aunque se tiene identificado los medios para la rendición de cuentas, no se cuenta con el desarrollo y documentación del proceso, </w:t>
      </w:r>
      <w:r w:rsidR="00BE7ED2">
        <w:rPr>
          <w:rFonts w:ascii="Century Gothic" w:hAnsi="Century Gothic"/>
        </w:rPr>
        <w:t>derivándose de ello la recomendación de implementar dicho procedimiento, identificando l</w:t>
      </w:r>
      <w:r w:rsidR="00BE7ED2" w:rsidRPr="00BE7ED2">
        <w:rPr>
          <w:rFonts w:ascii="Century Gothic" w:hAnsi="Century Gothic"/>
        </w:rPr>
        <w:t>os principales responsables de la concentración y la publicación de información</w:t>
      </w:r>
      <w:r w:rsidR="00BE7ED2">
        <w:rPr>
          <w:rFonts w:ascii="Century Gothic" w:hAnsi="Century Gothic"/>
        </w:rPr>
        <w:t>.</w:t>
      </w:r>
    </w:p>
    <w:p w14:paraId="4D079A77" w14:textId="77777777" w:rsidR="006A07D7" w:rsidRPr="00ED3776" w:rsidRDefault="006A07D7" w:rsidP="006A07D7">
      <w:pPr>
        <w:pStyle w:val="Ttulo3"/>
        <w:spacing w:after="240" w:line="276" w:lineRule="auto"/>
        <w:rPr>
          <w:rFonts w:ascii="Century Gothic" w:hAnsi="Century Gothic"/>
          <w:color w:val="0E4E7A"/>
        </w:rPr>
      </w:pPr>
      <w:bookmarkStart w:id="47" w:name="_Toc511236535"/>
      <w:r>
        <w:rPr>
          <w:rFonts w:ascii="Century Gothic" w:hAnsi="Century Gothic"/>
          <w:color w:val="0E4E7A"/>
        </w:rPr>
        <w:t>4.5.2</w:t>
      </w:r>
      <w:r w:rsidRPr="00ED3776">
        <w:rPr>
          <w:rFonts w:ascii="Century Gothic" w:hAnsi="Century Gothic"/>
          <w:color w:val="0E4E7A"/>
        </w:rPr>
        <w:t xml:space="preserve"> </w:t>
      </w:r>
      <w:r>
        <w:rPr>
          <w:rFonts w:ascii="Century Gothic" w:hAnsi="Century Gothic"/>
          <w:color w:val="0E4E7A"/>
        </w:rPr>
        <w:t>Evaluación</w:t>
      </w:r>
      <w:bookmarkEnd w:id="47"/>
    </w:p>
    <w:p w14:paraId="37BD9CE0" w14:textId="77777777" w:rsidR="001D27E1" w:rsidRDefault="001D27E1" w:rsidP="001D27E1">
      <w:pPr>
        <w:spacing w:after="240" w:line="276" w:lineRule="auto"/>
        <w:jc w:val="both"/>
        <w:rPr>
          <w:rFonts w:ascii="Century Gothic" w:hAnsi="Century Gothic"/>
        </w:rPr>
      </w:pPr>
      <w:r>
        <w:rPr>
          <w:rFonts w:ascii="Century Gothic" w:hAnsi="Century Gothic"/>
        </w:rPr>
        <w:t xml:space="preserve">Desde </w:t>
      </w:r>
      <w:r w:rsidRPr="001D27E1">
        <w:rPr>
          <w:rFonts w:ascii="Century Gothic" w:hAnsi="Century Gothic"/>
        </w:rPr>
        <w:t xml:space="preserve">la LFPRH, principalmente, </w:t>
      </w:r>
      <w:r>
        <w:rPr>
          <w:rFonts w:ascii="Century Gothic" w:hAnsi="Century Gothic"/>
        </w:rPr>
        <w:t xml:space="preserve">se </w:t>
      </w:r>
      <w:r w:rsidRPr="001D27E1">
        <w:rPr>
          <w:rFonts w:ascii="Century Gothic" w:hAnsi="Century Gothic"/>
        </w:rPr>
        <w:t xml:space="preserve">establece que </w:t>
      </w:r>
      <w:r w:rsidRPr="001D27E1">
        <w:rPr>
          <w:rFonts w:ascii="Century Gothic" w:hAnsi="Century Gothic"/>
          <w:b/>
        </w:rPr>
        <w:t>los recursos del Fondo deben ser evaluados</w:t>
      </w:r>
      <w:r w:rsidRPr="001D27E1">
        <w:rPr>
          <w:rFonts w:ascii="Century Gothic" w:hAnsi="Century Gothic"/>
        </w:rPr>
        <w:t xml:space="preserve"> por personal externo </w:t>
      </w:r>
      <w:r>
        <w:rPr>
          <w:rFonts w:ascii="Century Gothic" w:hAnsi="Century Gothic"/>
        </w:rPr>
        <w:t xml:space="preserve">y que </w:t>
      </w:r>
      <w:r w:rsidRPr="00C76AF2">
        <w:rPr>
          <w:rFonts w:ascii="Century Gothic" w:hAnsi="Century Gothic" w:cs="Century Gothic"/>
          <w:color w:val="000000"/>
        </w:rPr>
        <w:t>se realizará a través de la verificación del grado de cumplimiento de objetivos y metas</w:t>
      </w:r>
      <w:r w:rsidRPr="00980C53">
        <w:rPr>
          <w:rFonts w:ascii="Century Gothic" w:hAnsi="Century Gothic" w:cs="Century Gothic"/>
          <w:color w:val="000000"/>
        </w:rPr>
        <w:t xml:space="preserve">, </w:t>
      </w:r>
      <w:r w:rsidRPr="001D27E1">
        <w:rPr>
          <w:rFonts w:ascii="Century Gothic" w:hAnsi="Century Gothic" w:cs="Century Gothic"/>
          <w:color w:val="000000"/>
        </w:rPr>
        <w:t>con base en indicadores estratégicos y de gestión que permitan conocer los resultados de la aplicación de los recursos</w:t>
      </w:r>
      <w:r>
        <w:rPr>
          <w:rFonts w:ascii="Century Gothic" w:hAnsi="Century Gothic" w:cs="Century Gothic"/>
          <w:b/>
          <w:color w:val="000000"/>
        </w:rPr>
        <w:t>.</w:t>
      </w:r>
    </w:p>
    <w:p w14:paraId="00380875" w14:textId="77777777" w:rsidR="001D1846" w:rsidRDefault="00101651" w:rsidP="001D1846">
      <w:pPr>
        <w:spacing w:after="240" w:line="276" w:lineRule="auto"/>
        <w:jc w:val="both"/>
        <w:rPr>
          <w:rFonts w:ascii="Century Gothic" w:hAnsi="Century Gothic" w:cs="Century Gothic"/>
          <w:color w:val="000000"/>
        </w:rPr>
      </w:pPr>
      <w:r w:rsidRPr="00101651">
        <w:rPr>
          <w:rFonts w:ascii="Century Gothic" w:hAnsi="Century Gothic"/>
        </w:rPr>
        <w:t>En el ámbito estatal</w:t>
      </w:r>
      <w:r w:rsidR="001D1846">
        <w:rPr>
          <w:rFonts w:ascii="Century Gothic" w:hAnsi="Century Gothic"/>
        </w:rPr>
        <w:t xml:space="preserve"> a partir del año 2017 </w:t>
      </w:r>
      <w:r w:rsidR="001D1846" w:rsidRPr="0092482D">
        <w:rPr>
          <w:rFonts w:ascii="Century Gothic" w:hAnsi="Century Gothic"/>
        </w:rPr>
        <w:t>a través de la Secretaría de Planeación y Finanzas</w:t>
      </w:r>
      <w:r w:rsidR="001D1846">
        <w:rPr>
          <w:rFonts w:ascii="Century Gothic" w:hAnsi="Century Gothic" w:cs="Century Gothic"/>
          <w:color w:val="000000"/>
        </w:rPr>
        <w:t xml:space="preserve">, se desarrolla el proceso de planeación de los fondos y programas a evaluar, sin embargo </w:t>
      </w:r>
      <w:r w:rsidR="00C4664A">
        <w:rPr>
          <w:rFonts w:ascii="Century Gothic" w:hAnsi="Century Gothic" w:cs="Century Gothic"/>
          <w:color w:val="000000"/>
        </w:rPr>
        <w:t>al momento de la evaluación no se suministró información sobre</w:t>
      </w:r>
      <w:r w:rsidR="001D1846">
        <w:rPr>
          <w:rFonts w:ascii="Century Gothic" w:hAnsi="Century Gothic" w:cs="Century Gothic"/>
          <w:color w:val="000000"/>
        </w:rPr>
        <w:t xml:space="preserve"> el procedimiento del cómo se decide las evaluaciones a desarrollar.</w:t>
      </w:r>
    </w:p>
    <w:p w14:paraId="00A92422" w14:textId="77777777" w:rsidR="00813636" w:rsidRDefault="00C4664A" w:rsidP="00C4664A">
      <w:pPr>
        <w:spacing w:after="240" w:line="276" w:lineRule="auto"/>
        <w:jc w:val="both"/>
        <w:rPr>
          <w:rFonts w:ascii="Century Gothic" w:hAnsi="Century Gothic"/>
        </w:rPr>
      </w:pPr>
      <w:r>
        <w:rPr>
          <w:rFonts w:ascii="Century Gothic" w:hAnsi="Century Gothic"/>
        </w:rPr>
        <w:t xml:space="preserve">Proceso que es necesario documentar para así ya contar con un macroproceso completo para la ejecución de obra de infraestructura. A continuación se </w:t>
      </w:r>
      <w:r w:rsidR="006837FB">
        <w:rPr>
          <w:rFonts w:ascii="Century Gothic" w:hAnsi="Century Gothic"/>
        </w:rPr>
        <w:t>proponen</w:t>
      </w:r>
      <w:r>
        <w:rPr>
          <w:rFonts w:ascii="Century Gothic" w:hAnsi="Century Gothic"/>
        </w:rPr>
        <w:t xml:space="preserve"> algunos pasos que se deben tener en cuenta en el tema de la evaluación:</w:t>
      </w:r>
    </w:p>
    <w:p w14:paraId="73DBE598" w14:textId="77777777" w:rsidR="00A87923" w:rsidRPr="00C4664A" w:rsidRDefault="001176E0" w:rsidP="00C4664A">
      <w:pPr>
        <w:spacing w:after="120" w:line="276" w:lineRule="auto"/>
        <w:jc w:val="center"/>
        <w:rPr>
          <w:rFonts w:ascii="Century Gothic" w:hAnsi="Century Gothic"/>
          <w:b/>
        </w:rPr>
      </w:pPr>
      <w:r>
        <w:rPr>
          <w:rFonts w:ascii="Century Gothic" w:hAnsi="Century Gothic"/>
          <w:b/>
        </w:rPr>
        <w:t>Figura 4.11</w:t>
      </w:r>
      <w:r w:rsidR="00C4664A" w:rsidRPr="00C4664A">
        <w:rPr>
          <w:rFonts w:ascii="Century Gothic" w:hAnsi="Century Gothic"/>
          <w:b/>
        </w:rPr>
        <w:t>. Pasos para el desarrollo del proceso de evaluación</w:t>
      </w:r>
    </w:p>
    <w:p w14:paraId="5603FE1A" w14:textId="77777777" w:rsidR="00A87923" w:rsidRDefault="00C4664A" w:rsidP="00C4664A">
      <w:pPr>
        <w:spacing w:after="120" w:line="276" w:lineRule="auto"/>
        <w:rPr>
          <w:rFonts w:ascii="Century Gothic" w:hAnsi="Century Gothic"/>
        </w:rPr>
      </w:pPr>
      <w:r>
        <w:rPr>
          <w:rFonts w:ascii="Century Gothic" w:hAnsi="Century Gothic"/>
          <w:noProof/>
          <w:lang w:val="es-MX" w:eastAsia="es-MX"/>
        </w:rPr>
        <w:lastRenderedPageBreak/>
        <w:drawing>
          <wp:inline distT="0" distB="0" distL="0" distR="0" wp14:anchorId="33A2AD7C" wp14:editId="02E639BA">
            <wp:extent cx="5981699" cy="3209925"/>
            <wp:effectExtent l="0" t="0" r="635" b="0"/>
            <wp:docPr id="3109" name="Imagen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4526" cy="3216808"/>
                    </a:xfrm>
                    <a:prstGeom prst="rect">
                      <a:avLst/>
                    </a:prstGeom>
                    <a:noFill/>
                  </pic:spPr>
                </pic:pic>
              </a:graphicData>
            </a:graphic>
          </wp:inline>
        </w:drawing>
      </w:r>
    </w:p>
    <w:p w14:paraId="723810AC" w14:textId="77777777" w:rsidR="00A87923" w:rsidRPr="00A87923" w:rsidRDefault="00A87923" w:rsidP="00980C53">
      <w:pPr>
        <w:spacing w:after="240" w:line="276" w:lineRule="auto"/>
        <w:rPr>
          <w:rFonts w:cstheme="minorHAnsi"/>
          <w:sz w:val="22"/>
        </w:rPr>
      </w:pPr>
      <w:r w:rsidRPr="00A87923">
        <w:rPr>
          <w:rFonts w:cstheme="minorHAnsi"/>
          <w:sz w:val="22"/>
        </w:rPr>
        <w:t>Fuente: Elaborado por TECSO</w:t>
      </w:r>
    </w:p>
    <w:p w14:paraId="6BE47F88" w14:textId="77777777" w:rsidR="00A87923" w:rsidRDefault="00066E1B" w:rsidP="00066E1B">
      <w:pPr>
        <w:spacing w:after="240" w:line="276" w:lineRule="auto"/>
        <w:jc w:val="both"/>
        <w:rPr>
          <w:rFonts w:ascii="Century Gothic" w:hAnsi="Century Gothic"/>
        </w:rPr>
      </w:pPr>
      <w:r>
        <w:rPr>
          <w:rFonts w:ascii="Century Gothic" w:hAnsi="Century Gothic"/>
        </w:rPr>
        <w:t xml:space="preserve">Es importante tener presente </w:t>
      </w:r>
      <w:r w:rsidR="00314737">
        <w:rPr>
          <w:rFonts w:ascii="Century Gothic" w:hAnsi="Century Gothic"/>
        </w:rPr>
        <w:t>para</w:t>
      </w:r>
      <w:r>
        <w:rPr>
          <w:rFonts w:ascii="Century Gothic" w:hAnsi="Century Gothic"/>
        </w:rPr>
        <w:t xml:space="preserve"> el</w:t>
      </w:r>
      <w:r w:rsidR="00314737">
        <w:rPr>
          <w:rFonts w:ascii="Century Gothic" w:hAnsi="Century Gothic"/>
        </w:rPr>
        <w:t xml:space="preserve"> </w:t>
      </w:r>
      <w:r>
        <w:rPr>
          <w:rFonts w:ascii="Century Gothic" w:hAnsi="Century Gothic"/>
        </w:rPr>
        <w:t xml:space="preserve">proceso de evaluación </w:t>
      </w:r>
      <w:r w:rsidR="00314737">
        <w:rPr>
          <w:rFonts w:ascii="Century Gothic" w:hAnsi="Century Gothic"/>
        </w:rPr>
        <w:t xml:space="preserve">que </w:t>
      </w:r>
      <w:r>
        <w:rPr>
          <w:rFonts w:ascii="Century Gothic" w:hAnsi="Century Gothic"/>
        </w:rPr>
        <w:t>la normatividad ya establece</w:t>
      </w:r>
      <w:r w:rsidR="00314737">
        <w:rPr>
          <w:rFonts w:ascii="Century Gothic" w:hAnsi="Century Gothic"/>
        </w:rPr>
        <w:t xml:space="preserve"> </w:t>
      </w:r>
      <w:r>
        <w:rPr>
          <w:rFonts w:ascii="Century Gothic" w:hAnsi="Century Gothic"/>
        </w:rPr>
        <w:t>que tipos de evaluaciones se</w:t>
      </w:r>
      <w:r w:rsidR="00314737">
        <w:rPr>
          <w:rFonts w:ascii="Century Gothic" w:hAnsi="Century Gothic"/>
        </w:rPr>
        <w:t xml:space="preserve"> p</w:t>
      </w:r>
      <w:r>
        <w:rPr>
          <w:rFonts w:ascii="Century Gothic" w:hAnsi="Century Gothic"/>
        </w:rPr>
        <w:t>u</w:t>
      </w:r>
      <w:r w:rsidR="00314737">
        <w:rPr>
          <w:rFonts w:ascii="Century Gothic" w:hAnsi="Century Gothic"/>
        </w:rPr>
        <w:t>e</w:t>
      </w:r>
      <w:r>
        <w:rPr>
          <w:rFonts w:ascii="Century Gothic" w:hAnsi="Century Gothic"/>
        </w:rPr>
        <w:t>den realizar</w:t>
      </w:r>
      <w:r w:rsidR="00314737">
        <w:rPr>
          <w:rFonts w:ascii="Century Gothic" w:hAnsi="Century Gothic"/>
        </w:rPr>
        <w:t>, así como una fecha específica para la publicación del Programa Anual de Evaluación (PAE), temas que se deben tener en cuenta con el fin de evitar posibles observaciones.</w:t>
      </w:r>
    </w:p>
    <w:p w14:paraId="37FD77B9" w14:textId="77777777" w:rsidR="006D7FCB" w:rsidRDefault="00896BD2" w:rsidP="00066E1B">
      <w:pPr>
        <w:spacing w:after="240" w:line="276" w:lineRule="auto"/>
        <w:jc w:val="both"/>
        <w:rPr>
          <w:rFonts w:ascii="Century Gothic" w:hAnsi="Century Gothic"/>
        </w:rPr>
      </w:pPr>
      <w:r>
        <w:rPr>
          <w:rFonts w:ascii="Century Gothic" w:hAnsi="Century Gothic"/>
        </w:rPr>
        <w:t>En general en cuanto al macroproceso para el desarrollo de las obras de infraestructura social, se pudo constatar que aunque ya cuentan con algunos procesos documentados estos aún presentan algunos vacíos o etapas pendientes por desarrollar, como también algunos procesos que no tienen ningún desarrollo o soporte que los documente.</w:t>
      </w:r>
    </w:p>
    <w:p w14:paraId="11E6BCAA" w14:textId="77777777" w:rsidR="00896BD2" w:rsidRPr="00D96F9D" w:rsidRDefault="00896BD2" w:rsidP="00896BD2">
      <w:pPr>
        <w:spacing w:after="240" w:line="276" w:lineRule="auto"/>
        <w:jc w:val="both"/>
        <w:rPr>
          <w:rFonts w:ascii="Century Gothic" w:hAnsi="Century Gothic"/>
        </w:rPr>
      </w:pPr>
      <w:r>
        <w:rPr>
          <w:rFonts w:ascii="Century Gothic" w:hAnsi="Century Gothic"/>
        </w:rPr>
        <w:t xml:space="preserve">Como se dijo al inicio del capítulo es necesario desarrollar y documentar debidamente todos los procesos pues son una herramienta que debe ser </w:t>
      </w:r>
      <w:r w:rsidRPr="00D96F9D">
        <w:rPr>
          <w:rFonts w:ascii="Century Gothic" w:hAnsi="Century Gothic"/>
        </w:rPr>
        <w:t>ajena</w:t>
      </w:r>
      <w:r>
        <w:rPr>
          <w:rFonts w:ascii="Century Gothic" w:hAnsi="Century Gothic"/>
        </w:rPr>
        <w:t xml:space="preserve"> </w:t>
      </w:r>
      <w:r w:rsidRPr="00D96F9D">
        <w:rPr>
          <w:rFonts w:ascii="Century Gothic" w:hAnsi="Century Gothic"/>
        </w:rPr>
        <w:t>a los cambios de personas o responsables, hasta que éstos</w:t>
      </w:r>
      <w:r>
        <w:rPr>
          <w:rFonts w:ascii="Century Gothic" w:hAnsi="Century Gothic"/>
        </w:rPr>
        <w:t xml:space="preserve"> </w:t>
      </w:r>
      <w:r w:rsidRPr="00D96F9D">
        <w:rPr>
          <w:rFonts w:ascii="Century Gothic" w:hAnsi="Century Gothic"/>
        </w:rPr>
        <w:t>sufran modificaciones para su mejora o adaptación a las nuevas</w:t>
      </w:r>
      <w:r>
        <w:rPr>
          <w:rFonts w:ascii="Century Gothic" w:hAnsi="Century Gothic"/>
        </w:rPr>
        <w:t xml:space="preserve"> </w:t>
      </w:r>
      <w:r w:rsidRPr="00D96F9D">
        <w:rPr>
          <w:rFonts w:ascii="Century Gothic" w:hAnsi="Century Gothic"/>
        </w:rPr>
        <w:t>circunstancias normativas o administrativas.</w:t>
      </w:r>
    </w:p>
    <w:p w14:paraId="5BE09209" w14:textId="77777777" w:rsidR="00F8264E" w:rsidRDefault="00896BD2" w:rsidP="00F8264E">
      <w:pPr>
        <w:spacing w:after="240" w:line="276" w:lineRule="auto"/>
        <w:jc w:val="both"/>
        <w:rPr>
          <w:rFonts w:ascii="Century Gothic" w:hAnsi="Century Gothic"/>
        </w:rPr>
        <w:sectPr w:rsidR="00F8264E" w:rsidSect="00551863">
          <w:pgSz w:w="12240" w:h="15840"/>
          <w:pgMar w:top="1418" w:right="1469" w:bottom="1418" w:left="1701" w:header="709" w:footer="709" w:gutter="0"/>
          <w:cols w:space="708"/>
          <w:titlePg/>
          <w:docGrid w:linePitch="360"/>
        </w:sectPr>
      </w:pPr>
      <w:r w:rsidRPr="00D96F9D">
        <w:rPr>
          <w:rFonts w:ascii="Century Gothic" w:hAnsi="Century Gothic"/>
        </w:rPr>
        <w:t>Por lo que de esta manera</w:t>
      </w:r>
      <w:r>
        <w:rPr>
          <w:rFonts w:ascii="Century Gothic" w:hAnsi="Century Gothic"/>
        </w:rPr>
        <w:t xml:space="preserve"> a continuación se presenta el resumen del macroproceso con los procesos que se identificaron y las áreas pendientes aún por desarrollar</w:t>
      </w:r>
      <w:r w:rsidR="00F8264E">
        <w:rPr>
          <w:rFonts w:ascii="Century Gothic" w:hAnsi="Century Gothic"/>
        </w:rPr>
        <w:t xml:space="preserve">. </w:t>
      </w:r>
      <w:r>
        <w:rPr>
          <w:rFonts w:ascii="Century Gothic" w:hAnsi="Century Gothic"/>
        </w:rPr>
        <w:t xml:space="preserve"> </w:t>
      </w:r>
    </w:p>
    <w:p w14:paraId="514F39A9" w14:textId="77777777" w:rsidR="00556582" w:rsidRDefault="001176E0" w:rsidP="00F8264E">
      <w:pPr>
        <w:spacing w:after="120" w:line="276" w:lineRule="auto"/>
        <w:jc w:val="center"/>
        <w:rPr>
          <w:rFonts w:ascii="Century Gothic" w:hAnsi="Century Gothic"/>
          <w:b/>
        </w:rPr>
      </w:pPr>
      <w:r>
        <w:rPr>
          <w:rFonts w:ascii="Century Gothic" w:hAnsi="Century Gothic"/>
          <w:b/>
        </w:rPr>
        <w:lastRenderedPageBreak/>
        <w:t>Figura 4.12</w:t>
      </w:r>
      <w:r w:rsidR="00F8264E">
        <w:rPr>
          <w:rFonts w:ascii="Century Gothic" w:hAnsi="Century Gothic"/>
          <w:b/>
        </w:rPr>
        <w:t>. Macroproceso general para el desarrollo de Infraestructura</w:t>
      </w:r>
    </w:p>
    <w:p w14:paraId="6763F2CA" w14:textId="77777777" w:rsidR="00F8264E" w:rsidRDefault="00924D1E" w:rsidP="00F8264E">
      <w:pPr>
        <w:spacing w:after="240" w:line="276" w:lineRule="auto"/>
        <w:jc w:val="center"/>
        <w:rPr>
          <w:rFonts w:ascii="Century Gothic" w:hAnsi="Century Gothic"/>
          <w:b/>
        </w:rPr>
      </w:pPr>
      <w:r>
        <w:rPr>
          <w:rFonts w:ascii="Century Gothic" w:hAnsi="Century Gothic"/>
          <w:b/>
          <w:noProof/>
          <w:lang w:val="es-MX" w:eastAsia="es-MX"/>
        </w:rPr>
        <w:drawing>
          <wp:inline distT="0" distB="0" distL="0" distR="0" wp14:anchorId="55415994" wp14:editId="471667C5">
            <wp:extent cx="8004999" cy="5408572"/>
            <wp:effectExtent l="0" t="0" r="0" b="1905"/>
            <wp:docPr id="3179" name="Imagen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9315" cy="5411488"/>
                    </a:xfrm>
                    <a:prstGeom prst="rect">
                      <a:avLst/>
                    </a:prstGeom>
                    <a:noFill/>
                  </pic:spPr>
                </pic:pic>
              </a:graphicData>
            </a:graphic>
          </wp:inline>
        </w:drawing>
      </w:r>
    </w:p>
    <w:p w14:paraId="00662CE4" w14:textId="77777777" w:rsidR="00F8264E" w:rsidRDefault="00F8264E" w:rsidP="00F8264E">
      <w:pPr>
        <w:spacing w:after="120" w:line="276" w:lineRule="auto"/>
        <w:jc w:val="center"/>
        <w:rPr>
          <w:rFonts w:ascii="Century Gothic" w:hAnsi="Century Gothic"/>
          <w:b/>
        </w:rPr>
      </w:pPr>
      <w:r>
        <w:rPr>
          <w:rFonts w:ascii="Century Gothic" w:hAnsi="Century Gothic"/>
          <w:b/>
          <w:noProof/>
          <w:lang w:val="es-MX" w:eastAsia="es-MX"/>
        </w:rPr>
        <w:lastRenderedPageBreak/>
        <w:drawing>
          <wp:inline distT="0" distB="0" distL="0" distR="0" wp14:anchorId="4197DBB7" wp14:editId="79D4CB93">
            <wp:extent cx="6794204" cy="5376525"/>
            <wp:effectExtent l="0" t="0" r="6985" b="0"/>
            <wp:docPr id="3127" name="Imagen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00609" cy="5381594"/>
                    </a:xfrm>
                    <a:prstGeom prst="rect">
                      <a:avLst/>
                    </a:prstGeom>
                    <a:noFill/>
                  </pic:spPr>
                </pic:pic>
              </a:graphicData>
            </a:graphic>
          </wp:inline>
        </w:drawing>
      </w:r>
    </w:p>
    <w:p w14:paraId="6AD4E3D1" w14:textId="77777777" w:rsidR="00F8264E" w:rsidRDefault="00F8264E" w:rsidP="00F8264E">
      <w:pPr>
        <w:spacing w:after="240" w:line="276" w:lineRule="auto"/>
        <w:rPr>
          <w:rFonts w:ascii="Century Gothic" w:hAnsi="Century Gothic"/>
          <w:b/>
        </w:rPr>
        <w:sectPr w:rsidR="00F8264E" w:rsidSect="00F8264E">
          <w:pgSz w:w="15840" w:h="12240" w:orient="landscape"/>
          <w:pgMar w:top="1701" w:right="1418" w:bottom="1469" w:left="1418" w:header="709" w:footer="709" w:gutter="0"/>
          <w:cols w:space="708"/>
          <w:titlePg/>
          <w:docGrid w:linePitch="360"/>
        </w:sectPr>
      </w:pPr>
      <w:r w:rsidRPr="00F8264E">
        <w:rPr>
          <w:rFonts w:ascii="Century Gothic" w:hAnsi="Century Gothic"/>
          <w:sz w:val="20"/>
        </w:rPr>
        <w:t>Fuente: Elaborado por TECSO con base a información proporcionada por la SEIDUR</w:t>
      </w:r>
    </w:p>
    <w:p w14:paraId="0434C397" w14:textId="77777777" w:rsidR="00B07691" w:rsidRPr="00A774BA" w:rsidRDefault="009A3A99" w:rsidP="007A07AD">
      <w:pPr>
        <w:pStyle w:val="Ttulo1"/>
        <w:numPr>
          <w:ilvl w:val="0"/>
          <w:numId w:val="6"/>
        </w:numPr>
        <w:spacing w:before="0" w:after="240" w:line="276" w:lineRule="auto"/>
        <w:rPr>
          <w:rFonts w:ascii="Century Gothic" w:hAnsi="Century Gothic"/>
          <w:color w:val="0E4E7A"/>
        </w:rPr>
      </w:pPr>
      <w:bookmarkStart w:id="48" w:name="_Toc511236536"/>
      <w:r>
        <w:rPr>
          <w:rFonts w:ascii="Century Gothic" w:hAnsi="Century Gothic"/>
          <w:color w:val="0E4E7A"/>
        </w:rPr>
        <w:lastRenderedPageBreak/>
        <w:t>Verificación del proceso en campo de obras</w:t>
      </w:r>
      <w:bookmarkEnd w:id="48"/>
    </w:p>
    <w:p w14:paraId="774020B0" w14:textId="77777777" w:rsidR="0003571C" w:rsidRPr="0003571C" w:rsidRDefault="0003571C" w:rsidP="0003571C">
      <w:pPr>
        <w:spacing w:after="240" w:line="276" w:lineRule="auto"/>
        <w:jc w:val="both"/>
        <w:rPr>
          <w:rFonts w:ascii="Century Gothic" w:hAnsi="Century Gothic"/>
        </w:rPr>
      </w:pPr>
      <w:r w:rsidRPr="0003571C">
        <w:rPr>
          <w:rFonts w:ascii="Century Gothic" w:hAnsi="Century Gothic"/>
        </w:rPr>
        <w:t xml:space="preserve">Dentro del análisis cualitativo para la evaluación de procesos se llevó a cabo una </w:t>
      </w:r>
      <w:r w:rsidRPr="0003571C">
        <w:rPr>
          <w:rFonts w:ascii="Century Gothic" w:hAnsi="Century Gothic"/>
          <w:b/>
        </w:rPr>
        <w:t xml:space="preserve">revisión de casos de obras, </w:t>
      </w:r>
      <w:r w:rsidRPr="0003571C">
        <w:rPr>
          <w:rFonts w:ascii="Century Gothic" w:hAnsi="Century Gothic"/>
        </w:rPr>
        <w:t xml:space="preserve">es decir se revisó el expediente de la obra, desde el inicio del proceso (estudios, anteproyecto) hasta el proceso final (entrega), mediante una revisión física de documentos y la visita de la obra (in situ).  </w:t>
      </w:r>
    </w:p>
    <w:p w14:paraId="7232FFEA" w14:textId="77777777" w:rsidR="003C38A6" w:rsidRDefault="00F9313A" w:rsidP="00F9313A">
      <w:pPr>
        <w:spacing w:after="240" w:line="276" w:lineRule="auto"/>
        <w:jc w:val="both"/>
        <w:rPr>
          <w:rFonts w:ascii="Century Gothic" w:hAnsi="Century Gothic"/>
        </w:rPr>
      </w:pPr>
      <w:r>
        <w:rPr>
          <w:rFonts w:ascii="Century Gothic" w:hAnsi="Century Gothic"/>
        </w:rPr>
        <w:t xml:space="preserve">Así, por parte de la SEIDUR en el año 2016 se llevaron a cabo </w:t>
      </w:r>
      <w:r w:rsidR="00794215">
        <w:rPr>
          <w:rFonts w:ascii="Century Gothic" w:hAnsi="Century Gothic"/>
        </w:rPr>
        <w:t>nueve</w:t>
      </w:r>
      <w:r>
        <w:rPr>
          <w:rFonts w:ascii="Century Gothic" w:hAnsi="Century Gothic"/>
        </w:rPr>
        <w:t xml:space="preserve"> obras financiadas con recursos del FISE, tales obras fueron:</w:t>
      </w:r>
    </w:p>
    <w:tbl>
      <w:tblPr>
        <w:tblW w:w="5000" w:type="pct"/>
        <w:tblCellMar>
          <w:left w:w="70" w:type="dxa"/>
          <w:right w:w="70" w:type="dxa"/>
        </w:tblCellMar>
        <w:tblLook w:val="04A0" w:firstRow="1" w:lastRow="0" w:firstColumn="1" w:lastColumn="0" w:noHBand="0" w:noVBand="1"/>
      </w:tblPr>
      <w:tblGrid>
        <w:gridCol w:w="1320"/>
        <w:gridCol w:w="1507"/>
        <w:gridCol w:w="1301"/>
        <w:gridCol w:w="1527"/>
        <w:gridCol w:w="3405"/>
      </w:tblGrid>
      <w:tr w:rsidR="00F9313A" w:rsidRPr="00F9313A" w14:paraId="2B02FF8B" w14:textId="77777777" w:rsidTr="00F9313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0E4E7A"/>
            <w:noWrap/>
            <w:vAlign w:val="bottom"/>
            <w:hideMark/>
          </w:tcPr>
          <w:p w14:paraId="29909724" w14:textId="77777777" w:rsidR="00F9313A" w:rsidRPr="00F9313A" w:rsidRDefault="001176E0" w:rsidP="00F9313A">
            <w:pPr>
              <w:jc w:val="center"/>
              <w:rPr>
                <w:rFonts w:ascii="Calibri" w:eastAsia="Times New Roman" w:hAnsi="Calibri" w:cs="Calibri"/>
                <w:b/>
                <w:bCs/>
                <w:color w:val="FFFFFF"/>
                <w:sz w:val="20"/>
                <w:szCs w:val="22"/>
                <w:lang w:val="es-MX" w:eastAsia="es-MX"/>
              </w:rPr>
            </w:pPr>
            <w:r>
              <w:rPr>
                <w:rFonts w:ascii="Calibri" w:eastAsia="Times New Roman" w:hAnsi="Calibri" w:cs="Calibri"/>
                <w:b/>
                <w:bCs/>
                <w:color w:val="FFFFFF"/>
                <w:sz w:val="20"/>
                <w:szCs w:val="22"/>
                <w:lang w:val="es-MX" w:eastAsia="es-MX"/>
              </w:rPr>
              <w:t>Cuadro 5.1</w:t>
            </w:r>
            <w:r w:rsidR="00F9313A" w:rsidRPr="00F9313A">
              <w:rPr>
                <w:rFonts w:ascii="Calibri" w:eastAsia="Times New Roman" w:hAnsi="Calibri" w:cs="Calibri"/>
                <w:b/>
                <w:bCs/>
                <w:color w:val="FFFFFF"/>
                <w:sz w:val="20"/>
                <w:szCs w:val="22"/>
                <w:lang w:val="es-MX" w:eastAsia="es-MX"/>
              </w:rPr>
              <w:t>. Obras desarrolladas por la SEIDUR con recursos del FISE, 2016.</w:t>
            </w:r>
          </w:p>
        </w:tc>
      </w:tr>
      <w:tr w:rsidR="00F9313A" w:rsidRPr="00D63547" w14:paraId="62C129B2" w14:textId="77777777" w:rsidTr="00D63547">
        <w:trPr>
          <w:trHeight w:val="315"/>
        </w:trPr>
        <w:tc>
          <w:tcPr>
            <w:tcW w:w="727" w:type="pct"/>
            <w:tcBorders>
              <w:top w:val="nil"/>
              <w:left w:val="single" w:sz="4" w:space="0" w:color="auto"/>
              <w:bottom w:val="single" w:sz="4" w:space="0" w:color="auto"/>
              <w:right w:val="single" w:sz="4" w:space="0" w:color="auto"/>
            </w:tcBorders>
            <w:shd w:val="clear" w:color="auto" w:fill="0E4E7A"/>
            <w:vAlign w:val="center"/>
            <w:hideMark/>
          </w:tcPr>
          <w:p w14:paraId="2D124B91" w14:textId="77777777" w:rsidR="00F9313A" w:rsidRPr="00F9313A" w:rsidRDefault="00F9313A" w:rsidP="00D63547">
            <w:pPr>
              <w:jc w:val="center"/>
              <w:rPr>
                <w:rFonts w:ascii="Calibri" w:eastAsia="Times New Roman" w:hAnsi="Calibri" w:cs="Calibri"/>
                <w:b/>
                <w:bCs/>
                <w:color w:val="FFFFFF"/>
                <w:sz w:val="20"/>
                <w:szCs w:val="22"/>
                <w:lang w:val="es-MX" w:eastAsia="es-MX"/>
              </w:rPr>
            </w:pPr>
            <w:r w:rsidRPr="00F9313A">
              <w:rPr>
                <w:rFonts w:ascii="Calibri" w:eastAsia="Times New Roman" w:hAnsi="Calibri" w:cs="Calibri"/>
                <w:b/>
                <w:bCs/>
                <w:color w:val="FFFFFF"/>
                <w:sz w:val="20"/>
                <w:szCs w:val="22"/>
                <w:lang w:val="es-MX" w:eastAsia="es-MX"/>
              </w:rPr>
              <w:t>M</w:t>
            </w:r>
            <w:r w:rsidR="00D63547">
              <w:rPr>
                <w:rFonts w:ascii="Calibri" w:eastAsia="Times New Roman" w:hAnsi="Calibri" w:cs="Calibri"/>
                <w:b/>
                <w:bCs/>
                <w:color w:val="FFFFFF"/>
                <w:sz w:val="20"/>
                <w:szCs w:val="22"/>
                <w:lang w:val="es-MX" w:eastAsia="es-MX"/>
              </w:rPr>
              <w:t>unicipio</w:t>
            </w:r>
          </w:p>
        </w:tc>
        <w:tc>
          <w:tcPr>
            <w:tcW w:w="830" w:type="pct"/>
            <w:tcBorders>
              <w:top w:val="nil"/>
              <w:left w:val="nil"/>
              <w:bottom w:val="single" w:sz="4" w:space="0" w:color="auto"/>
              <w:right w:val="single" w:sz="4" w:space="0" w:color="auto"/>
            </w:tcBorders>
            <w:shd w:val="clear" w:color="auto" w:fill="0E4E7A"/>
            <w:vAlign w:val="center"/>
            <w:hideMark/>
          </w:tcPr>
          <w:p w14:paraId="31E9CBE0" w14:textId="77777777" w:rsidR="00F9313A" w:rsidRPr="00F9313A" w:rsidRDefault="00F9313A" w:rsidP="00F9313A">
            <w:pPr>
              <w:jc w:val="center"/>
              <w:rPr>
                <w:rFonts w:ascii="Calibri" w:eastAsia="Times New Roman" w:hAnsi="Calibri" w:cs="Calibri"/>
                <w:b/>
                <w:bCs/>
                <w:color w:val="FFFFFF"/>
                <w:sz w:val="20"/>
                <w:szCs w:val="22"/>
                <w:lang w:val="es-MX" w:eastAsia="es-MX"/>
              </w:rPr>
            </w:pPr>
            <w:r w:rsidRPr="00F9313A">
              <w:rPr>
                <w:rFonts w:ascii="Calibri" w:eastAsia="Times New Roman" w:hAnsi="Calibri" w:cs="Calibri"/>
                <w:b/>
                <w:bCs/>
                <w:color w:val="FFFFFF"/>
                <w:sz w:val="20"/>
                <w:szCs w:val="22"/>
                <w:lang w:val="es-MX" w:eastAsia="es-MX"/>
              </w:rPr>
              <w:t>Rubro del Gasto</w:t>
            </w:r>
          </w:p>
        </w:tc>
        <w:tc>
          <w:tcPr>
            <w:tcW w:w="716" w:type="pct"/>
            <w:tcBorders>
              <w:top w:val="nil"/>
              <w:left w:val="nil"/>
              <w:bottom w:val="single" w:sz="4" w:space="0" w:color="auto"/>
              <w:right w:val="single" w:sz="4" w:space="0" w:color="auto"/>
            </w:tcBorders>
            <w:shd w:val="clear" w:color="auto" w:fill="0E4E7A"/>
            <w:vAlign w:val="center"/>
            <w:hideMark/>
          </w:tcPr>
          <w:p w14:paraId="713F0DD0" w14:textId="77777777" w:rsidR="00F9313A" w:rsidRPr="00F9313A" w:rsidRDefault="00F9313A" w:rsidP="00F9313A">
            <w:pPr>
              <w:jc w:val="center"/>
              <w:rPr>
                <w:rFonts w:ascii="Calibri" w:eastAsia="Times New Roman" w:hAnsi="Calibri" w:cs="Calibri"/>
                <w:b/>
                <w:bCs/>
                <w:color w:val="FFFFFF"/>
                <w:sz w:val="20"/>
                <w:szCs w:val="22"/>
                <w:lang w:val="es-MX" w:eastAsia="es-MX"/>
              </w:rPr>
            </w:pPr>
            <w:r w:rsidRPr="00F9313A">
              <w:rPr>
                <w:rFonts w:ascii="Calibri" w:eastAsia="Times New Roman" w:hAnsi="Calibri" w:cs="Calibri"/>
                <w:b/>
                <w:bCs/>
                <w:color w:val="FFFFFF"/>
                <w:sz w:val="20"/>
                <w:szCs w:val="22"/>
                <w:lang w:val="es-MX" w:eastAsia="es-MX"/>
              </w:rPr>
              <w:t>Clasificación</w:t>
            </w:r>
          </w:p>
        </w:tc>
        <w:tc>
          <w:tcPr>
            <w:tcW w:w="842" w:type="pct"/>
            <w:tcBorders>
              <w:top w:val="nil"/>
              <w:left w:val="nil"/>
              <w:bottom w:val="single" w:sz="4" w:space="0" w:color="auto"/>
              <w:right w:val="single" w:sz="4" w:space="0" w:color="auto"/>
            </w:tcBorders>
            <w:shd w:val="clear" w:color="auto" w:fill="0E4E7A"/>
            <w:vAlign w:val="center"/>
            <w:hideMark/>
          </w:tcPr>
          <w:p w14:paraId="1B01E2AB" w14:textId="77777777" w:rsidR="00F9313A" w:rsidRPr="00F9313A" w:rsidRDefault="00F9313A" w:rsidP="00F9313A">
            <w:pPr>
              <w:jc w:val="center"/>
              <w:rPr>
                <w:rFonts w:ascii="Calibri" w:eastAsia="Times New Roman" w:hAnsi="Calibri" w:cs="Calibri"/>
                <w:b/>
                <w:bCs/>
                <w:color w:val="FFFFFF"/>
                <w:sz w:val="20"/>
                <w:szCs w:val="22"/>
                <w:lang w:val="es-MX" w:eastAsia="es-MX"/>
              </w:rPr>
            </w:pPr>
            <w:r w:rsidRPr="00F9313A">
              <w:rPr>
                <w:rFonts w:ascii="Calibri" w:eastAsia="Times New Roman" w:hAnsi="Calibri" w:cs="Calibri"/>
                <w:b/>
                <w:bCs/>
                <w:color w:val="FFFFFF"/>
                <w:sz w:val="20"/>
                <w:szCs w:val="22"/>
                <w:lang w:val="es-MX" w:eastAsia="es-MX"/>
              </w:rPr>
              <w:t>Modalidad</w:t>
            </w:r>
          </w:p>
        </w:tc>
        <w:tc>
          <w:tcPr>
            <w:tcW w:w="1884" w:type="pct"/>
            <w:tcBorders>
              <w:top w:val="nil"/>
              <w:left w:val="nil"/>
              <w:bottom w:val="single" w:sz="4" w:space="0" w:color="auto"/>
              <w:right w:val="single" w:sz="4" w:space="0" w:color="auto"/>
            </w:tcBorders>
            <w:shd w:val="clear" w:color="auto" w:fill="0E4E7A"/>
            <w:vAlign w:val="center"/>
            <w:hideMark/>
          </w:tcPr>
          <w:p w14:paraId="32618892" w14:textId="77777777" w:rsidR="00F9313A" w:rsidRPr="00F9313A" w:rsidRDefault="00D63547" w:rsidP="00F9313A">
            <w:pPr>
              <w:jc w:val="center"/>
              <w:rPr>
                <w:rFonts w:ascii="Calibri" w:eastAsia="Times New Roman" w:hAnsi="Calibri" w:cs="Calibri"/>
                <w:b/>
                <w:bCs/>
                <w:color w:val="FFFFFF"/>
                <w:sz w:val="20"/>
                <w:szCs w:val="22"/>
                <w:lang w:val="es-MX" w:eastAsia="es-MX"/>
              </w:rPr>
            </w:pPr>
            <w:r w:rsidRPr="00F9313A">
              <w:rPr>
                <w:rFonts w:ascii="Calibri" w:eastAsia="Times New Roman" w:hAnsi="Calibri" w:cs="Calibri"/>
                <w:b/>
                <w:bCs/>
                <w:color w:val="FFFFFF"/>
                <w:sz w:val="20"/>
                <w:szCs w:val="22"/>
                <w:lang w:val="es-MX" w:eastAsia="es-MX"/>
              </w:rPr>
              <w:t>Nombre del proyecto</w:t>
            </w:r>
          </w:p>
        </w:tc>
      </w:tr>
      <w:tr w:rsidR="00D63547" w:rsidRPr="00F9313A" w14:paraId="684B8E46" w14:textId="77777777" w:rsidTr="00D63547">
        <w:trPr>
          <w:trHeight w:val="539"/>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276977A5" w14:textId="77777777" w:rsidR="00F9313A" w:rsidRPr="00F9313A" w:rsidRDefault="004F0B49" w:rsidP="00F9313A">
            <w:pPr>
              <w:jc w:val="center"/>
              <w:rPr>
                <w:rFonts w:ascii="Calibri" w:eastAsia="Times New Roman" w:hAnsi="Calibri" w:cs="Calibri"/>
                <w:color w:val="000000"/>
                <w:sz w:val="20"/>
                <w:szCs w:val="22"/>
                <w:lang w:val="es-MX" w:eastAsia="es-MX"/>
              </w:rPr>
            </w:pPr>
            <w:r w:rsidRPr="00F9313A">
              <w:rPr>
                <w:rFonts w:ascii="Calibri" w:eastAsia="Times New Roman" w:hAnsi="Calibri" w:cs="Calibri"/>
                <w:color w:val="000000"/>
                <w:sz w:val="20"/>
                <w:szCs w:val="22"/>
                <w:lang w:val="es-MX" w:eastAsia="es-MX"/>
              </w:rPr>
              <w:t>Armería</w:t>
            </w:r>
          </w:p>
        </w:tc>
        <w:tc>
          <w:tcPr>
            <w:tcW w:w="830" w:type="pct"/>
            <w:tcBorders>
              <w:top w:val="nil"/>
              <w:left w:val="nil"/>
              <w:bottom w:val="single" w:sz="4" w:space="0" w:color="auto"/>
              <w:right w:val="single" w:sz="4" w:space="0" w:color="auto"/>
            </w:tcBorders>
            <w:shd w:val="clear" w:color="auto" w:fill="auto"/>
            <w:vAlign w:val="center"/>
            <w:hideMark/>
          </w:tcPr>
          <w:p w14:paraId="141FB096"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Agua y Saneamiento</w:t>
            </w:r>
          </w:p>
        </w:tc>
        <w:tc>
          <w:tcPr>
            <w:tcW w:w="716" w:type="pct"/>
            <w:tcBorders>
              <w:top w:val="nil"/>
              <w:left w:val="nil"/>
              <w:bottom w:val="single" w:sz="4" w:space="0" w:color="auto"/>
              <w:right w:val="single" w:sz="4" w:space="0" w:color="auto"/>
            </w:tcBorders>
            <w:shd w:val="clear" w:color="auto" w:fill="auto"/>
            <w:vAlign w:val="center"/>
            <w:hideMark/>
          </w:tcPr>
          <w:p w14:paraId="1EC63473"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Alcantarillado</w:t>
            </w:r>
          </w:p>
        </w:tc>
        <w:tc>
          <w:tcPr>
            <w:tcW w:w="842" w:type="pct"/>
            <w:tcBorders>
              <w:top w:val="nil"/>
              <w:left w:val="nil"/>
              <w:bottom w:val="single" w:sz="4" w:space="0" w:color="auto"/>
              <w:right w:val="single" w:sz="4" w:space="0" w:color="auto"/>
            </w:tcBorders>
            <w:shd w:val="clear" w:color="auto" w:fill="auto"/>
            <w:vAlign w:val="center"/>
            <w:hideMark/>
          </w:tcPr>
          <w:p w14:paraId="34D6DDF8"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Ampliación</w:t>
            </w:r>
          </w:p>
        </w:tc>
        <w:tc>
          <w:tcPr>
            <w:tcW w:w="1884" w:type="pct"/>
            <w:tcBorders>
              <w:top w:val="nil"/>
              <w:left w:val="nil"/>
              <w:bottom w:val="single" w:sz="4" w:space="0" w:color="auto"/>
              <w:right w:val="single" w:sz="4" w:space="0" w:color="auto"/>
            </w:tcBorders>
            <w:shd w:val="clear" w:color="auto" w:fill="auto"/>
            <w:vAlign w:val="center"/>
            <w:hideMark/>
          </w:tcPr>
          <w:p w14:paraId="320E43CB" w14:textId="77777777" w:rsidR="00F9313A" w:rsidRPr="00F9313A" w:rsidRDefault="00D63547" w:rsidP="00D63547">
            <w:pPr>
              <w:jc w:val="both"/>
              <w:rPr>
                <w:rFonts w:ascii="Calibri" w:eastAsia="Times New Roman" w:hAnsi="Calibri" w:cs="Calibri"/>
                <w:color w:val="000000"/>
                <w:sz w:val="20"/>
                <w:szCs w:val="22"/>
                <w:lang w:val="es-MX" w:eastAsia="es-MX"/>
              </w:rPr>
            </w:pPr>
            <w:r w:rsidRPr="00F9313A">
              <w:rPr>
                <w:rFonts w:ascii="Calibri" w:eastAsia="Times New Roman" w:hAnsi="Calibri" w:cs="Calibri"/>
                <w:color w:val="000000"/>
                <w:sz w:val="20"/>
                <w:szCs w:val="22"/>
                <w:lang w:val="es-MX" w:eastAsia="es-MX"/>
              </w:rPr>
              <w:t>Tercera etapa de</w:t>
            </w:r>
            <w:r>
              <w:rPr>
                <w:rFonts w:ascii="Calibri" w:eastAsia="Times New Roman" w:hAnsi="Calibri" w:cs="Calibri"/>
                <w:color w:val="000000"/>
                <w:sz w:val="20"/>
                <w:szCs w:val="22"/>
                <w:lang w:val="es-MX" w:eastAsia="es-MX"/>
              </w:rPr>
              <w:t>l sistema de alcantarillado en Cofradía de J</w:t>
            </w:r>
            <w:r w:rsidRPr="00F9313A">
              <w:rPr>
                <w:rFonts w:ascii="Calibri" w:eastAsia="Times New Roman" w:hAnsi="Calibri" w:cs="Calibri"/>
                <w:color w:val="000000"/>
                <w:sz w:val="20"/>
                <w:szCs w:val="22"/>
                <w:lang w:val="es-MX" w:eastAsia="es-MX"/>
              </w:rPr>
              <w:t>uárez.</w:t>
            </w:r>
          </w:p>
        </w:tc>
      </w:tr>
      <w:tr w:rsidR="00D63547" w:rsidRPr="00F9313A" w14:paraId="57E1D564" w14:textId="77777777" w:rsidTr="00D63547">
        <w:trPr>
          <w:trHeight w:val="315"/>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59DF0DE" w14:textId="77777777" w:rsidR="00F9313A" w:rsidRPr="00F9313A" w:rsidRDefault="004F0B49" w:rsidP="00F9313A">
            <w:pPr>
              <w:jc w:val="center"/>
              <w:rPr>
                <w:rFonts w:ascii="Calibri" w:eastAsia="Times New Roman" w:hAnsi="Calibri" w:cs="Calibri"/>
                <w:color w:val="000000"/>
                <w:sz w:val="20"/>
                <w:szCs w:val="22"/>
                <w:lang w:val="es-MX" w:eastAsia="es-MX"/>
              </w:rPr>
            </w:pPr>
            <w:r w:rsidRPr="00F9313A">
              <w:rPr>
                <w:rFonts w:ascii="Calibri" w:eastAsia="Times New Roman" w:hAnsi="Calibri" w:cs="Calibri"/>
                <w:color w:val="000000"/>
                <w:sz w:val="20"/>
                <w:szCs w:val="22"/>
                <w:lang w:val="es-MX" w:eastAsia="es-MX"/>
              </w:rPr>
              <w:t>Armería</w:t>
            </w:r>
          </w:p>
        </w:tc>
        <w:tc>
          <w:tcPr>
            <w:tcW w:w="830" w:type="pct"/>
            <w:tcBorders>
              <w:top w:val="nil"/>
              <w:left w:val="nil"/>
              <w:bottom w:val="single" w:sz="4" w:space="0" w:color="auto"/>
              <w:right w:val="single" w:sz="4" w:space="0" w:color="auto"/>
            </w:tcBorders>
            <w:shd w:val="clear" w:color="auto" w:fill="auto"/>
            <w:vAlign w:val="center"/>
            <w:hideMark/>
          </w:tcPr>
          <w:p w14:paraId="072E3B89" w14:textId="77777777" w:rsidR="00F9313A" w:rsidRPr="00F9313A" w:rsidRDefault="00F9313A" w:rsidP="00F9313A">
            <w:pPr>
              <w:rPr>
                <w:rFonts w:ascii="Calibri" w:eastAsia="Times New Roman" w:hAnsi="Calibri" w:cs="Calibri"/>
                <w:color w:val="000000"/>
                <w:sz w:val="20"/>
                <w:szCs w:val="22"/>
                <w:lang w:val="es-MX" w:eastAsia="es-MX"/>
              </w:rPr>
            </w:pPr>
            <w:r w:rsidRPr="00F9313A">
              <w:rPr>
                <w:rFonts w:ascii="Calibri" w:eastAsia="Times New Roman" w:hAnsi="Calibri" w:cs="Calibri"/>
                <w:color w:val="000000"/>
                <w:sz w:val="20"/>
                <w:szCs w:val="22"/>
                <w:lang w:val="es-MX" w:eastAsia="es-MX"/>
              </w:rPr>
              <w:t>Vivienda</w:t>
            </w:r>
          </w:p>
        </w:tc>
        <w:tc>
          <w:tcPr>
            <w:tcW w:w="716" w:type="pct"/>
            <w:tcBorders>
              <w:top w:val="nil"/>
              <w:left w:val="nil"/>
              <w:bottom w:val="single" w:sz="4" w:space="0" w:color="auto"/>
              <w:right w:val="single" w:sz="4" w:space="0" w:color="auto"/>
            </w:tcBorders>
            <w:shd w:val="clear" w:color="auto" w:fill="auto"/>
            <w:vAlign w:val="center"/>
            <w:hideMark/>
          </w:tcPr>
          <w:p w14:paraId="13AEA3CE" w14:textId="77777777" w:rsidR="00F9313A" w:rsidRPr="00F9313A" w:rsidRDefault="00F9313A" w:rsidP="00F9313A">
            <w:pPr>
              <w:rPr>
                <w:rFonts w:ascii="Calibri" w:eastAsia="Times New Roman" w:hAnsi="Calibri" w:cs="Calibri"/>
                <w:color w:val="000000"/>
                <w:sz w:val="20"/>
                <w:szCs w:val="22"/>
                <w:lang w:val="es-MX" w:eastAsia="es-MX"/>
              </w:rPr>
            </w:pPr>
            <w:r w:rsidRPr="00F9313A">
              <w:rPr>
                <w:rFonts w:ascii="Calibri" w:eastAsia="Times New Roman" w:hAnsi="Calibri" w:cs="Calibri"/>
                <w:color w:val="000000"/>
                <w:sz w:val="20"/>
                <w:szCs w:val="22"/>
                <w:lang w:val="es-MX" w:eastAsia="es-MX"/>
              </w:rPr>
              <w:t>Piso Firme</w:t>
            </w:r>
          </w:p>
        </w:tc>
        <w:tc>
          <w:tcPr>
            <w:tcW w:w="842" w:type="pct"/>
            <w:tcBorders>
              <w:top w:val="nil"/>
              <w:left w:val="nil"/>
              <w:bottom w:val="single" w:sz="4" w:space="0" w:color="auto"/>
              <w:right w:val="single" w:sz="4" w:space="0" w:color="auto"/>
            </w:tcBorders>
            <w:shd w:val="clear" w:color="auto" w:fill="auto"/>
            <w:vAlign w:val="center"/>
            <w:hideMark/>
          </w:tcPr>
          <w:p w14:paraId="2DCECFAF" w14:textId="77777777" w:rsidR="00F9313A" w:rsidRPr="00F9313A" w:rsidRDefault="00F9313A" w:rsidP="00F9313A">
            <w:pPr>
              <w:rPr>
                <w:rFonts w:ascii="Calibri" w:eastAsia="Times New Roman" w:hAnsi="Calibri" w:cs="Calibri"/>
                <w:color w:val="000000"/>
                <w:sz w:val="20"/>
                <w:szCs w:val="22"/>
                <w:lang w:val="es-MX" w:eastAsia="es-MX"/>
              </w:rPr>
            </w:pPr>
            <w:r w:rsidRPr="00F9313A">
              <w:rPr>
                <w:rFonts w:ascii="Calibri" w:eastAsia="Times New Roman" w:hAnsi="Calibri" w:cs="Calibri"/>
                <w:color w:val="000000"/>
                <w:sz w:val="20"/>
                <w:szCs w:val="22"/>
                <w:lang w:val="es-MX" w:eastAsia="es-MX"/>
              </w:rPr>
              <w:t>Construcción</w:t>
            </w:r>
          </w:p>
        </w:tc>
        <w:tc>
          <w:tcPr>
            <w:tcW w:w="1884" w:type="pct"/>
            <w:tcBorders>
              <w:top w:val="nil"/>
              <w:left w:val="nil"/>
              <w:bottom w:val="single" w:sz="4" w:space="0" w:color="auto"/>
              <w:right w:val="single" w:sz="4" w:space="0" w:color="auto"/>
            </w:tcBorders>
            <w:shd w:val="clear" w:color="auto" w:fill="auto"/>
            <w:vAlign w:val="center"/>
            <w:hideMark/>
          </w:tcPr>
          <w:p w14:paraId="720228BD" w14:textId="77777777" w:rsidR="00F9313A" w:rsidRPr="00F9313A" w:rsidRDefault="00D63547" w:rsidP="00D63547">
            <w:pPr>
              <w:jc w:val="both"/>
              <w:rPr>
                <w:rFonts w:ascii="Calibri" w:eastAsia="Times New Roman" w:hAnsi="Calibri" w:cs="Calibri"/>
                <w:color w:val="000000"/>
                <w:sz w:val="20"/>
                <w:szCs w:val="22"/>
                <w:lang w:val="es-MX" w:eastAsia="es-MX"/>
              </w:rPr>
            </w:pPr>
            <w:r w:rsidRPr="00F9313A">
              <w:rPr>
                <w:rFonts w:ascii="Calibri" w:eastAsia="Times New Roman" w:hAnsi="Calibri" w:cs="Calibri"/>
                <w:color w:val="000000"/>
                <w:sz w:val="20"/>
                <w:szCs w:val="22"/>
                <w:lang w:val="es-MX" w:eastAsia="es-MX"/>
              </w:rPr>
              <w:t xml:space="preserve">83 pisos firmes </w:t>
            </w:r>
          </w:p>
        </w:tc>
      </w:tr>
      <w:tr w:rsidR="00D63547" w:rsidRPr="00F9313A" w14:paraId="0B67B25E" w14:textId="77777777" w:rsidTr="00D63547">
        <w:trPr>
          <w:trHeight w:val="510"/>
        </w:trPr>
        <w:tc>
          <w:tcPr>
            <w:tcW w:w="727"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C44B8D" w14:textId="77777777" w:rsidR="00F9313A" w:rsidRPr="00F9313A" w:rsidRDefault="004F0B49" w:rsidP="00F9313A">
            <w:pPr>
              <w:jc w:val="cente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Cómala</w:t>
            </w:r>
          </w:p>
        </w:tc>
        <w:tc>
          <w:tcPr>
            <w:tcW w:w="830" w:type="pct"/>
            <w:tcBorders>
              <w:top w:val="nil"/>
              <w:left w:val="nil"/>
              <w:bottom w:val="single" w:sz="4" w:space="0" w:color="auto"/>
              <w:right w:val="single" w:sz="4" w:space="0" w:color="auto"/>
            </w:tcBorders>
            <w:shd w:val="clear" w:color="auto" w:fill="D9D9D9" w:themeFill="background1" w:themeFillShade="D9"/>
            <w:vAlign w:val="center"/>
            <w:hideMark/>
          </w:tcPr>
          <w:p w14:paraId="3E931B1E"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Agua y Saneamiento</w:t>
            </w:r>
          </w:p>
        </w:tc>
        <w:tc>
          <w:tcPr>
            <w:tcW w:w="716" w:type="pct"/>
            <w:tcBorders>
              <w:top w:val="nil"/>
              <w:left w:val="nil"/>
              <w:bottom w:val="single" w:sz="4" w:space="0" w:color="auto"/>
              <w:right w:val="single" w:sz="4" w:space="0" w:color="auto"/>
            </w:tcBorders>
            <w:shd w:val="clear" w:color="auto" w:fill="D9D9D9" w:themeFill="background1" w:themeFillShade="D9"/>
            <w:vAlign w:val="center"/>
            <w:hideMark/>
          </w:tcPr>
          <w:p w14:paraId="2C841EE6"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Alcantarillado</w:t>
            </w:r>
          </w:p>
        </w:tc>
        <w:tc>
          <w:tcPr>
            <w:tcW w:w="842" w:type="pct"/>
            <w:tcBorders>
              <w:top w:val="nil"/>
              <w:left w:val="nil"/>
              <w:bottom w:val="single" w:sz="4" w:space="0" w:color="auto"/>
              <w:right w:val="single" w:sz="4" w:space="0" w:color="auto"/>
            </w:tcBorders>
            <w:shd w:val="clear" w:color="auto" w:fill="D9D9D9" w:themeFill="background1" w:themeFillShade="D9"/>
            <w:vAlign w:val="center"/>
            <w:hideMark/>
          </w:tcPr>
          <w:p w14:paraId="63A21E97"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Ampliación</w:t>
            </w:r>
          </w:p>
        </w:tc>
        <w:tc>
          <w:tcPr>
            <w:tcW w:w="1884" w:type="pct"/>
            <w:tcBorders>
              <w:top w:val="nil"/>
              <w:left w:val="nil"/>
              <w:bottom w:val="single" w:sz="4" w:space="0" w:color="auto"/>
              <w:right w:val="single" w:sz="4" w:space="0" w:color="auto"/>
            </w:tcBorders>
            <w:shd w:val="clear" w:color="auto" w:fill="D9D9D9" w:themeFill="background1" w:themeFillShade="D9"/>
            <w:vAlign w:val="center"/>
            <w:hideMark/>
          </w:tcPr>
          <w:p w14:paraId="5D7C7A2B" w14:textId="77777777" w:rsidR="00F9313A" w:rsidRPr="00F9313A" w:rsidRDefault="00D63547" w:rsidP="00D63547">
            <w:pPr>
              <w:jc w:val="both"/>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Sistema de alcantarillado sanitario y saneamiento</w:t>
            </w:r>
            <w:r>
              <w:rPr>
                <w:rFonts w:ascii="Calibri" w:eastAsia="Times New Roman" w:hAnsi="Calibri" w:cs="Calibri"/>
                <w:sz w:val="20"/>
                <w:szCs w:val="22"/>
                <w:lang w:val="es-MX" w:eastAsia="es-MX"/>
              </w:rPr>
              <w:t xml:space="preserve"> (1er etapa),  localidad de la N</w:t>
            </w:r>
            <w:r w:rsidRPr="00F9313A">
              <w:rPr>
                <w:rFonts w:ascii="Calibri" w:eastAsia="Times New Roman" w:hAnsi="Calibri" w:cs="Calibri"/>
                <w:sz w:val="20"/>
                <w:szCs w:val="22"/>
                <w:lang w:val="es-MX" w:eastAsia="es-MX"/>
              </w:rPr>
              <w:t>ogalera</w:t>
            </w:r>
          </w:p>
        </w:tc>
      </w:tr>
      <w:tr w:rsidR="00D63547" w:rsidRPr="00F9313A" w14:paraId="72CCB3DC" w14:textId="77777777" w:rsidTr="00D63547">
        <w:trPr>
          <w:trHeight w:val="336"/>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24328576" w14:textId="77777777" w:rsidR="00F9313A" w:rsidRPr="00F9313A" w:rsidRDefault="004F0B49" w:rsidP="00F9313A">
            <w:pPr>
              <w:jc w:val="cente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Ixtlahuacán</w:t>
            </w:r>
          </w:p>
        </w:tc>
        <w:tc>
          <w:tcPr>
            <w:tcW w:w="830" w:type="pct"/>
            <w:tcBorders>
              <w:top w:val="nil"/>
              <w:left w:val="nil"/>
              <w:bottom w:val="single" w:sz="4" w:space="0" w:color="auto"/>
              <w:right w:val="single" w:sz="4" w:space="0" w:color="auto"/>
            </w:tcBorders>
            <w:shd w:val="clear" w:color="auto" w:fill="auto"/>
            <w:vAlign w:val="center"/>
            <w:hideMark/>
          </w:tcPr>
          <w:p w14:paraId="4136B404"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Agua y Saneamiento</w:t>
            </w:r>
          </w:p>
        </w:tc>
        <w:tc>
          <w:tcPr>
            <w:tcW w:w="716" w:type="pct"/>
            <w:tcBorders>
              <w:top w:val="nil"/>
              <w:left w:val="nil"/>
              <w:bottom w:val="single" w:sz="4" w:space="0" w:color="auto"/>
              <w:right w:val="single" w:sz="4" w:space="0" w:color="auto"/>
            </w:tcBorders>
            <w:shd w:val="clear" w:color="auto" w:fill="auto"/>
            <w:vAlign w:val="center"/>
            <w:hideMark/>
          </w:tcPr>
          <w:p w14:paraId="6AA4E779"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Agua potable</w:t>
            </w:r>
          </w:p>
        </w:tc>
        <w:tc>
          <w:tcPr>
            <w:tcW w:w="842" w:type="pct"/>
            <w:tcBorders>
              <w:top w:val="nil"/>
              <w:left w:val="nil"/>
              <w:bottom w:val="single" w:sz="4" w:space="0" w:color="auto"/>
              <w:right w:val="single" w:sz="4" w:space="0" w:color="auto"/>
            </w:tcBorders>
            <w:shd w:val="clear" w:color="auto" w:fill="auto"/>
            <w:vAlign w:val="center"/>
            <w:hideMark/>
          </w:tcPr>
          <w:p w14:paraId="53510DFC"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Ampliación</w:t>
            </w:r>
          </w:p>
        </w:tc>
        <w:tc>
          <w:tcPr>
            <w:tcW w:w="1884" w:type="pct"/>
            <w:tcBorders>
              <w:top w:val="nil"/>
              <w:left w:val="nil"/>
              <w:bottom w:val="single" w:sz="4" w:space="0" w:color="auto"/>
              <w:right w:val="single" w:sz="4" w:space="0" w:color="auto"/>
            </w:tcBorders>
            <w:shd w:val="clear" w:color="auto" w:fill="auto"/>
            <w:vAlign w:val="center"/>
            <w:hideMark/>
          </w:tcPr>
          <w:p w14:paraId="67924E24" w14:textId="77777777" w:rsidR="00F9313A" w:rsidRPr="00F9313A" w:rsidRDefault="00D63547" w:rsidP="00D63547">
            <w:pPr>
              <w:jc w:val="both"/>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Sistema de a</w:t>
            </w:r>
            <w:r>
              <w:rPr>
                <w:rFonts w:ascii="Calibri" w:eastAsia="Times New Roman" w:hAnsi="Calibri" w:cs="Calibri"/>
                <w:sz w:val="20"/>
                <w:szCs w:val="22"/>
                <w:lang w:val="es-MX" w:eastAsia="es-MX"/>
              </w:rPr>
              <w:t>gua potable,  localidad de las C</w:t>
            </w:r>
            <w:r w:rsidRPr="00F9313A">
              <w:rPr>
                <w:rFonts w:ascii="Calibri" w:eastAsia="Times New Roman" w:hAnsi="Calibri" w:cs="Calibri"/>
                <w:sz w:val="20"/>
                <w:szCs w:val="22"/>
                <w:lang w:val="es-MX" w:eastAsia="es-MX"/>
              </w:rPr>
              <w:t>onchas.</w:t>
            </w:r>
          </w:p>
        </w:tc>
      </w:tr>
      <w:tr w:rsidR="00D63547" w:rsidRPr="00F9313A" w14:paraId="54013A39" w14:textId="77777777" w:rsidTr="00D63547">
        <w:trPr>
          <w:trHeight w:val="683"/>
        </w:trPr>
        <w:tc>
          <w:tcPr>
            <w:tcW w:w="727"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1CF7A2" w14:textId="77777777" w:rsidR="00F9313A" w:rsidRPr="00F9313A" w:rsidRDefault="004F0B49" w:rsidP="00F9313A">
            <w:pPr>
              <w:jc w:val="cente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Ixtlahuacán</w:t>
            </w:r>
          </w:p>
        </w:tc>
        <w:tc>
          <w:tcPr>
            <w:tcW w:w="830" w:type="pct"/>
            <w:tcBorders>
              <w:top w:val="nil"/>
              <w:left w:val="nil"/>
              <w:bottom w:val="single" w:sz="4" w:space="0" w:color="auto"/>
              <w:right w:val="single" w:sz="4" w:space="0" w:color="auto"/>
            </w:tcBorders>
            <w:shd w:val="clear" w:color="auto" w:fill="D9D9D9" w:themeFill="background1" w:themeFillShade="D9"/>
            <w:vAlign w:val="center"/>
            <w:hideMark/>
          </w:tcPr>
          <w:p w14:paraId="1C54CD4F"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Agua y Saneamiento</w:t>
            </w:r>
          </w:p>
        </w:tc>
        <w:tc>
          <w:tcPr>
            <w:tcW w:w="716" w:type="pct"/>
            <w:tcBorders>
              <w:top w:val="nil"/>
              <w:left w:val="nil"/>
              <w:bottom w:val="single" w:sz="4" w:space="0" w:color="auto"/>
              <w:right w:val="single" w:sz="4" w:space="0" w:color="auto"/>
            </w:tcBorders>
            <w:shd w:val="clear" w:color="auto" w:fill="D9D9D9" w:themeFill="background1" w:themeFillShade="D9"/>
            <w:vAlign w:val="center"/>
            <w:hideMark/>
          </w:tcPr>
          <w:p w14:paraId="7C54FFCD"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Agua potable</w:t>
            </w:r>
          </w:p>
        </w:tc>
        <w:tc>
          <w:tcPr>
            <w:tcW w:w="842" w:type="pct"/>
            <w:tcBorders>
              <w:top w:val="nil"/>
              <w:left w:val="nil"/>
              <w:bottom w:val="single" w:sz="4" w:space="0" w:color="auto"/>
              <w:right w:val="single" w:sz="4" w:space="0" w:color="auto"/>
            </w:tcBorders>
            <w:shd w:val="clear" w:color="auto" w:fill="D9D9D9" w:themeFill="background1" w:themeFillShade="D9"/>
            <w:vAlign w:val="center"/>
            <w:hideMark/>
          </w:tcPr>
          <w:p w14:paraId="63E64CD6"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Ampliación</w:t>
            </w:r>
          </w:p>
        </w:tc>
        <w:tc>
          <w:tcPr>
            <w:tcW w:w="1884" w:type="pct"/>
            <w:tcBorders>
              <w:top w:val="nil"/>
              <w:left w:val="nil"/>
              <w:bottom w:val="single" w:sz="4" w:space="0" w:color="auto"/>
              <w:right w:val="single" w:sz="4" w:space="0" w:color="auto"/>
            </w:tcBorders>
            <w:shd w:val="clear" w:color="auto" w:fill="D9D9D9" w:themeFill="background1" w:themeFillShade="D9"/>
            <w:vAlign w:val="center"/>
            <w:hideMark/>
          </w:tcPr>
          <w:p w14:paraId="151EA734" w14:textId="77777777" w:rsidR="00F9313A" w:rsidRPr="00F9313A" w:rsidRDefault="004F0B49" w:rsidP="00D63547">
            <w:pPr>
              <w:jc w:val="both"/>
              <w:rPr>
                <w:rFonts w:ascii="Calibri" w:eastAsia="Times New Roman" w:hAnsi="Calibri" w:cs="Calibri"/>
                <w:sz w:val="20"/>
                <w:szCs w:val="22"/>
                <w:lang w:val="es-MX" w:eastAsia="es-MX"/>
              </w:rPr>
            </w:pPr>
            <w:r>
              <w:rPr>
                <w:rFonts w:ascii="Calibri" w:eastAsia="Times New Roman" w:hAnsi="Calibri" w:cs="Calibri"/>
                <w:sz w:val="20"/>
                <w:szCs w:val="22"/>
                <w:lang w:val="es-MX" w:eastAsia="es-MX"/>
              </w:rPr>
              <w:t>S</w:t>
            </w:r>
            <w:r w:rsidR="00D63547" w:rsidRPr="00F9313A">
              <w:rPr>
                <w:rFonts w:ascii="Calibri" w:eastAsia="Times New Roman" w:hAnsi="Calibri" w:cs="Calibri"/>
                <w:sz w:val="20"/>
                <w:szCs w:val="22"/>
                <w:lang w:val="es-MX" w:eastAsia="es-MX"/>
              </w:rPr>
              <w:t>istema de agua pota</w:t>
            </w:r>
            <w:r w:rsidR="00D63547">
              <w:rPr>
                <w:rFonts w:ascii="Calibri" w:eastAsia="Times New Roman" w:hAnsi="Calibri" w:cs="Calibri"/>
                <w:sz w:val="20"/>
                <w:szCs w:val="22"/>
                <w:lang w:val="es-MX" w:eastAsia="es-MX"/>
              </w:rPr>
              <w:t>ble, localidad de Aquiles Serdán (T</w:t>
            </w:r>
            <w:r w:rsidR="00D63547" w:rsidRPr="00F9313A">
              <w:rPr>
                <w:rFonts w:ascii="Calibri" w:eastAsia="Times New Roman" w:hAnsi="Calibri" w:cs="Calibri"/>
                <w:sz w:val="20"/>
                <w:szCs w:val="22"/>
                <w:lang w:val="es-MX" w:eastAsia="es-MX"/>
              </w:rPr>
              <w:t>amala).</w:t>
            </w:r>
          </w:p>
        </w:tc>
      </w:tr>
      <w:tr w:rsidR="00D63547" w:rsidRPr="00F9313A" w14:paraId="649F552D" w14:textId="77777777" w:rsidTr="00D63547">
        <w:trPr>
          <w:trHeight w:val="707"/>
        </w:trPr>
        <w:tc>
          <w:tcPr>
            <w:tcW w:w="727"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238FB9" w14:textId="77777777" w:rsidR="00F9313A" w:rsidRPr="00F9313A" w:rsidRDefault="004F0B49" w:rsidP="00F9313A">
            <w:pPr>
              <w:jc w:val="cente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Ixtlahuacán</w:t>
            </w:r>
          </w:p>
        </w:tc>
        <w:tc>
          <w:tcPr>
            <w:tcW w:w="830" w:type="pct"/>
            <w:tcBorders>
              <w:top w:val="nil"/>
              <w:left w:val="nil"/>
              <w:bottom w:val="single" w:sz="4" w:space="0" w:color="auto"/>
              <w:right w:val="single" w:sz="4" w:space="0" w:color="auto"/>
            </w:tcBorders>
            <w:shd w:val="clear" w:color="auto" w:fill="D9D9D9" w:themeFill="background1" w:themeFillShade="D9"/>
            <w:vAlign w:val="center"/>
            <w:hideMark/>
          </w:tcPr>
          <w:p w14:paraId="454D7F14"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Agua y Saneamiento</w:t>
            </w:r>
          </w:p>
        </w:tc>
        <w:tc>
          <w:tcPr>
            <w:tcW w:w="716" w:type="pct"/>
            <w:tcBorders>
              <w:top w:val="nil"/>
              <w:left w:val="nil"/>
              <w:bottom w:val="single" w:sz="4" w:space="0" w:color="auto"/>
              <w:right w:val="single" w:sz="4" w:space="0" w:color="auto"/>
            </w:tcBorders>
            <w:shd w:val="clear" w:color="auto" w:fill="D9D9D9" w:themeFill="background1" w:themeFillShade="D9"/>
            <w:vAlign w:val="center"/>
            <w:hideMark/>
          </w:tcPr>
          <w:p w14:paraId="4910F80F"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Alcantarillado</w:t>
            </w:r>
          </w:p>
        </w:tc>
        <w:tc>
          <w:tcPr>
            <w:tcW w:w="842" w:type="pct"/>
            <w:tcBorders>
              <w:top w:val="nil"/>
              <w:left w:val="nil"/>
              <w:bottom w:val="single" w:sz="4" w:space="0" w:color="auto"/>
              <w:right w:val="single" w:sz="4" w:space="0" w:color="auto"/>
            </w:tcBorders>
            <w:shd w:val="clear" w:color="auto" w:fill="D9D9D9" w:themeFill="background1" w:themeFillShade="D9"/>
            <w:vAlign w:val="center"/>
            <w:hideMark/>
          </w:tcPr>
          <w:p w14:paraId="2B093077"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Ampliación</w:t>
            </w:r>
          </w:p>
        </w:tc>
        <w:tc>
          <w:tcPr>
            <w:tcW w:w="1884" w:type="pct"/>
            <w:tcBorders>
              <w:top w:val="nil"/>
              <w:left w:val="nil"/>
              <w:bottom w:val="single" w:sz="4" w:space="0" w:color="auto"/>
              <w:right w:val="single" w:sz="4" w:space="0" w:color="auto"/>
            </w:tcBorders>
            <w:shd w:val="clear" w:color="auto" w:fill="D9D9D9" w:themeFill="background1" w:themeFillShade="D9"/>
            <w:vAlign w:val="center"/>
            <w:hideMark/>
          </w:tcPr>
          <w:p w14:paraId="1A9516FB" w14:textId="77777777" w:rsidR="00F9313A" w:rsidRPr="00F9313A" w:rsidRDefault="00D63547" w:rsidP="00D63547">
            <w:pPr>
              <w:jc w:val="both"/>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Sistema de alcantarillado sanit</w:t>
            </w:r>
            <w:r>
              <w:rPr>
                <w:rFonts w:ascii="Calibri" w:eastAsia="Times New Roman" w:hAnsi="Calibri" w:cs="Calibri"/>
                <w:sz w:val="20"/>
                <w:szCs w:val="22"/>
                <w:lang w:val="es-MX" w:eastAsia="es-MX"/>
              </w:rPr>
              <w:t>ario (1er etapa), localidad de Zinacamitlán (los C</w:t>
            </w:r>
            <w:r w:rsidRPr="00F9313A">
              <w:rPr>
                <w:rFonts w:ascii="Calibri" w:eastAsia="Times New Roman" w:hAnsi="Calibri" w:cs="Calibri"/>
                <w:sz w:val="20"/>
                <w:szCs w:val="22"/>
                <w:lang w:val="es-MX" w:eastAsia="es-MX"/>
              </w:rPr>
              <w:t>hicos).</w:t>
            </w:r>
          </w:p>
        </w:tc>
      </w:tr>
      <w:tr w:rsidR="00D63547" w:rsidRPr="00F9313A" w14:paraId="3B6BBE14" w14:textId="77777777" w:rsidTr="00D63547">
        <w:trPr>
          <w:trHeight w:val="52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4F938FD0" w14:textId="77777777" w:rsidR="00F9313A" w:rsidRPr="00F9313A" w:rsidRDefault="004F0B49" w:rsidP="00F9313A">
            <w:pPr>
              <w:jc w:val="cente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Minatitlán</w:t>
            </w:r>
          </w:p>
        </w:tc>
        <w:tc>
          <w:tcPr>
            <w:tcW w:w="830" w:type="pct"/>
            <w:tcBorders>
              <w:top w:val="nil"/>
              <w:left w:val="nil"/>
              <w:bottom w:val="single" w:sz="4" w:space="0" w:color="auto"/>
              <w:right w:val="single" w:sz="4" w:space="0" w:color="auto"/>
            </w:tcBorders>
            <w:shd w:val="clear" w:color="auto" w:fill="auto"/>
            <w:vAlign w:val="center"/>
            <w:hideMark/>
          </w:tcPr>
          <w:p w14:paraId="6B01110D"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Agua y Saneamiento</w:t>
            </w:r>
          </w:p>
        </w:tc>
        <w:tc>
          <w:tcPr>
            <w:tcW w:w="716" w:type="pct"/>
            <w:tcBorders>
              <w:top w:val="nil"/>
              <w:left w:val="nil"/>
              <w:bottom w:val="single" w:sz="4" w:space="0" w:color="auto"/>
              <w:right w:val="single" w:sz="4" w:space="0" w:color="auto"/>
            </w:tcBorders>
            <w:shd w:val="clear" w:color="auto" w:fill="auto"/>
            <w:vAlign w:val="center"/>
            <w:hideMark/>
          </w:tcPr>
          <w:p w14:paraId="22F80E8B"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Agua potable</w:t>
            </w:r>
          </w:p>
        </w:tc>
        <w:tc>
          <w:tcPr>
            <w:tcW w:w="842" w:type="pct"/>
            <w:tcBorders>
              <w:top w:val="nil"/>
              <w:left w:val="nil"/>
              <w:bottom w:val="single" w:sz="4" w:space="0" w:color="auto"/>
              <w:right w:val="single" w:sz="4" w:space="0" w:color="auto"/>
            </w:tcBorders>
            <w:shd w:val="clear" w:color="auto" w:fill="auto"/>
            <w:vAlign w:val="center"/>
            <w:hideMark/>
          </w:tcPr>
          <w:p w14:paraId="2152B6DA"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Ampliación</w:t>
            </w:r>
          </w:p>
        </w:tc>
        <w:tc>
          <w:tcPr>
            <w:tcW w:w="1884" w:type="pct"/>
            <w:tcBorders>
              <w:top w:val="nil"/>
              <w:left w:val="nil"/>
              <w:bottom w:val="single" w:sz="4" w:space="0" w:color="auto"/>
              <w:right w:val="single" w:sz="4" w:space="0" w:color="auto"/>
            </w:tcBorders>
            <w:shd w:val="clear" w:color="auto" w:fill="auto"/>
            <w:vAlign w:val="center"/>
            <w:hideMark/>
          </w:tcPr>
          <w:p w14:paraId="7D3D8030" w14:textId="77777777" w:rsidR="00F9313A" w:rsidRPr="00F9313A" w:rsidRDefault="00D63547" w:rsidP="00D63547">
            <w:pPr>
              <w:jc w:val="both"/>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Sistema de agua pot</w:t>
            </w:r>
            <w:r>
              <w:rPr>
                <w:rFonts w:ascii="Calibri" w:eastAsia="Times New Roman" w:hAnsi="Calibri" w:cs="Calibri"/>
                <w:sz w:val="20"/>
                <w:szCs w:val="22"/>
                <w:lang w:val="es-MX" w:eastAsia="es-MX"/>
              </w:rPr>
              <w:t>able (1er etapa), localidad de S</w:t>
            </w:r>
            <w:r w:rsidRPr="00F9313A">
              <w:rPr>
                <w:rFonts w:ascii="Calibri" w:eastAsia="Times New Roman" w:hAnsi="Calibri" w:cs="Calibri"/>
                <w:sz w:val="20"/>
                <w:szCs w:val="22"/>
                <w:lang w:val="es-MX" w:eastAsia="es-MX"/>
              </w:rPr>
              <w:t>an Antonio.</w:t>
            </w:r>
          </w:p>
        </w:tc>
      </w:tr>
      <w:tr w:rsidR="00D63547" w:rsidRPr="00F9313A" w14:paraId="0BBB7DD0" w14:textId="77777777" w:rsidTr="00D63547">
        <w:trPr>
          <w:trHeight w:val="6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2F67DCDC" w14:textId="77777777" w:rsidR="00F9313A" w:rsidRPr="00F9313A" w:rsidRDefault="004F0B49" w:rsidP="00F9313A">
            <w:pPr>
              <w:jc w:val="cente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Minatitlán</w:t>
            </w:r>
          </w:p>
        </w:tc>
        <w:tc>
          <w:tcPr>
            <w:tcW w:w="830" w:type="pct"/>
            <w:tcBorders>
              <w:top w:val="nil"/>
              <w:left w:val="nil"/>
              <w:bottom w:val="single" w:sz="4" w:space="0" w:color="auto"/>
              <w:right w:val="single" w:sz="4" w:space="0" w:color="auto"/>
            </w:tcBorders>
            <w:shd w:val="clear" w:color="auto" w:fill="auto"/>
            <w:vAlign w:val="center"/>
            <w:hideMark/>
          </w:tcPr>
          <w:p w14:paraId="3E90A45C"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Agua y Saneamiento</w:t>
            </w:r>
          </w:p>
        </w:tc>
        <w:tc>
          <w:tcPr>
            <w:tcW w:w="716" w:type="pct"/>
            <w:tcBorders>
              <w:top w:val="nil"/>
              <w:left w:val="nil"/>
              <w:bottom w:val="single" w:sz="4" w:space="0" w:color="auto"/>
              <w:right w:val="single" w:sz="4" w:space="0" w:color="auto"/>
            </w:tcBorders>
            <w:shd w:val="clear" w:color="auto" w:fill="auto"/>
            <w:vAlign w:val="center"/>
            <w:hideMark/>
          </w:tcPr>
          <w:p w14:paraId="4DFE3F5A"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Agua potable</w:t>
            </w:r>
          </w:p>
        </w:tc>
        <w:tc>
          <w:tcPr>
            <w:tcW w:w="842" w:type="pct"/>
            <w:tcBorders>
              <w:top w:val="nil"/>
              <w:left w:val="nil"/>
              <w:bottom w:val="single" w:sz="4" w:space="0" w:color="auto"/>
              <w:right w:val="single" w:sz="4" w:space="0" w:color="auto"/>
            </w:tcBorders>
            <w:shd w:val="clear" w:color="auto" w:fill="auto"/>
            <w:vAlign w:val="center"/>
            <w:hideMark/>
          </w:tcPr>
          <w:p w14:paraId="2DD1490C"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Ampliación</w:t>
            </w:r>
          </w:p>
        </w:tc>
        <w:tc>
          <w:tcPr>
            <w:tcW w:w="1884" w:type="pct"/>
            <w:tcBorders>
              <w:top w:val="nil"/>
              <w:left w:val="nil"/>
              <w:bottom w:val="single" w:sz="4" w:space="0" w:color="auto"/>
              <w:right w:val="single" w:sz="4" w:space="0" w:color="auto"/>
            </w:tcBorders>
            <w:shd w:val="clear" w:color="auto" w:fill="auto"/>
            <w:vAlign w:val="center"/>
            <w:hideMark/>
          </w:tcPr>
          <w:p w14:paraId="50EC13AC" w14:textId="77777777" w:rsidR="00F9313A" w:rsidRPr="00F9313A" w:rsidRDefault="00D63547" w:rsidP="00D63547">
            <w:pPr>
              <w:jc w:val="both"/>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Sistema de agua pota</w:t>
            </w:r>
            <w:r>
              <w:rPr>
                <w:rFonts w:ascii="Calibri" w:eastAsia="Times New Roman" w:hAnsi="Calibri" w:cs="Calibri"/>
                <w:sz w:val="20"/>
                <w:szCs w:val="22"/>
                <w:lang w:val="es-MX" w:eastAsia="es-MX"/>
              </w:rPr>
              <w:t>ble (1er etapa),  localidad de Agua S</w:t>
            </w:r>
            <w:r w:rsidRPr="00F9313A">
              <w:rPr>
                <w:rFonts w:ascii="Calibri" w:eastAsia="Times New Roman" w:hAnsi="Calibri" w:cs="Calibri"/>
                <w:sz w:val="20"/>
                <w:szCs w:val="22"/>
                <w:lang w:val="es-MX" w:eastAsia="es-MX"/>
              </w:rPr>
              <w:t>alada.</w:t>
            </w:r>
          </w:p>
        </w:tc>
      </w:tr>
      <w:tr w:rsidR="00D63547" w:rsidRPr="00F9313A" w14:paraId="11EA5BBD" w14:textId="77777777" w:rsidTr="00D63547">
        <w:trPr>
          <w:trHeight w:val="38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2D63D40" w14:textId="77777777" w:rsidR="00F9313A" w:rsidRPr="00F9313A" w:rsidRDefault="004F0B49" w:rsidP="00F9313A">
            <w:pPr>
              <w:jc w:val="center"/>
              <w:rPr>
                <w:rFonts w:ascii="Calibri" w:eastAsia="Times New Roman" w:hAnsi="Calibri" w:cs="Calibri"/>
                <w:color w:val="000000"/>
                <w:sz w:val="20"/>
                <w:szCs w:val="22"/>
                <w:lang w:val="es-MX" w:eastAsia="es-MX"/>
              </w:rPr>
            </w:pPr>
            <w:r w:rsidRPr="00F9313A">
              <w:rPr>
                <w:rFonts w:ascii="Calibri" w:eastAsia="Times New Roman" w:hAnsi="Calibri" w:cs="Calibri"/>
                <w:color w:val="000000"/>
                <w:sz w:val="20"/>
                <w:szCs w:val="22"/>
                <w:lang w:val="es-MX" w:eastAsia="es-MX"/>
              </w:rPr>
              <w:t>Tecomán</w:t>
            </w:r>
          </w:p>
        </w:tc>
        <w:tc>
          <w:tcPr>
            <w:tcW w:w="830" w:type="pct"/>
            <w:tcBorders>
              <w:top w:val="nil"/>
              <w:left w:val="nil"/>
              <w:bottom w:val="single" w:sz="4" w:space="0" w:color="auto"/>
              <w:right w:val="single" w:sz="4" w:space="0" w:color="auto"/>
            </w:tcBorders>
            <w:shd w:val="clear" w:color="auto" w:fill="auto"/>
            <w:vAlign w:val="center"/>
            <w:hideMark/>
          </w:tcPr>
          <w:p w14:paraId="5FF88BED"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Agua y Saneamiento</w:t>
            </w:r>
          </w:p>
        </w:tc>
        <w:tc>
          <w:tcPr>
            <w:tcW w:w="716" w:type="pct"/>
            <w:tcBorders>
              <w:top w:val="nil"/>
              <w:left w:val="nil"/>
              <w:bottom w:val="single" w:sz="4" w:space="0" w:color="auto"/>
              <w:right w:val="single" w:sz="4" w:space="0" w:color="auto"/>
            </w:tcBorders>
            <w:shd w:val="clear" w:color="auto" w:fill="auto"/>
            <w:vAlign w:val="center"/>
            <w:hideMark/>
          </w:tcPr>
          <w:p w14:paraId="5D1CEE78"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Alcantarillado</w:t>
            </w:r>
          </w:p>
        </w:tc>
        <w:tc>
          <w:tcPr>
            <w:tcW w:w="842" w:type="pct"/>
            <w:tcBorders>
              <w:top w:val="nil"/>
              <w:left w:val="nil"/>
              <w:bottom w:val="single" w:sz="4" w:space="0" w:color="auto"/>
              <w:right w:val="single" w:sz="4" w:space="0" w:color="auto"/>
            </w:tcBorders>
            <w:shd w:val="clear" w:color="auto" w:fill="auto"/>
            <w:vAlign w:val="center"/>
            <w:hideMark/>
          </w:tcPr>
          <w:p w14:paraId="39F55699" w14:textId="77777777" w:rsidR="00F9313A" w:rsidRPr="00F9313A" w:rsidRDefault="00F9313A" w:rsidP="00F9313A">
            <w:pPr>
              <w:rPr>
                <w:rFonts w:ascii="Calibri" w:eastAsia="Times New Roman" w:hAnsi="Calibri" w:cs="Calibri"/>
                <w:sz w:val="20"/>
                <w:szCs w:val="22"/>
                <w:lang w:val="es-MX" w:eastAsia="es-MX"/>
              </w:rPr>
            </w:pPr>
            <w:r w:rsidRPr="00F9313A">
              <w:rPr>
                <w:rFonts w:ascii="Calibri" w:eastAsia="Times New Roman" w:hAnsi="Calibri" w:cs="Calibri"/>
                <w:sz w:val="20"/>
                <w:szCs w:val="22"/>
                <w:lang w:val="es-MX" w:eastAsia="es-MX"/>
              </w:rPr>
              <w:t>Ampliación</w:t>
            </w:r>
          </w:p>
        </w:tc>
        <w:tc>
          <w:tcPr>
            <w:tcW w:w="1884" w:type="pct"/>
            <w:tcBorders>
              <w:top w:val="nil"/>
              <w:left w:val="nil"/>
              <w:bottom w:val="single" w:sz="4" w:space="0" w:color="auto"/>
              <w:right w:val="single" w:sz="4" w:space="0" w:color="auto"/>
            </w:tcBorders>
            <w:shd w:val="clear" w:color="auto" w:fill="auto"/>
            <w:vAlign w:val="center"/>
            <w:hideMark/>
          </w:tcPr>
          <w:p w14:paraId="1407FFBB" w14:textId="77777777" w:rsidR="00F9313A" w:rsidRPr="00F9313A" w:rsidRDefault="00D63547" w:rsidP="00D63547">
            <w:pPr>
              <w:jc w:val="both"/>
              <w:rPr>
                <w:rFonts w:ascii="Calibri" w:eastAsia="Times New Roman" w:hAnsi="Calibri" w:cs="Calibri"/>
                <w:color w:val="000000"/>
                <w:sz w:val="20"/>
                <w:szCs w:val="22"/>
                <w:lang w:val="es-MX" w:eastAsia="es-MX"/>
              </w:rPr>
            </w:pPr>
            <w:r w:rsidRPr="00F9313A">
              <w:rPr>
                <w:rFonts w:ascii="Calibri" w:eastAsia="Times New Roman" w:hAnsi="Calibri" w:cs="Calibri"/>
                <w:color w:val="000000"/>
                <w:sz w:val="20"/>
                <w:szCs w:val="22"/>
                <w:lang w:val="es-MX" w:eastAsia="es-MX"/>
              </w:rPr>
              <w:t xml:space="preserve">Sistema de </w:t>
            </w:r>
            <w:r>
              <w:rPr>
                <w:rFonts w:ascii="Calibri" w:eastAsia="Times New Roman" w:hAnsi="Calibri" w:cs="Calibri"/>
                <w:color w:val="000000"/>
                <w:sz w:val="20"/>
                <w:szCs w:val="22"/>
                <w:lang w:val="es-MX" w:eastAsia="es-MX"/>
              </w:rPr>
              <w:t>alcantarillado zona oriente en Cerro de O</w:t>
            </w:r>
            <w:r w:rsidRPr="00F9313A">
              <w:rPr>
                <w:rFonts w:ascii="Calibri" w:eastAsia="Times New Roman" w:hAnsi="Calibri" w:cs="Calibri"/>
                <w:color w:val="000000"/>
                <w:sz w:val="20"/>
                <w:szCs w:val="22"/>
                <w:lang w:val="es-MX" w:eastAsia="es-MX"/>
              </w:rPr>
              <w:t>rtega.</w:t>
            </w:r>
          </w:p>
        </w:tc>
      </w:tr>
      <w:tr w:rsidR="00F9313A" w:rsidRPr="00F9313A" w14:paraId="0BEDE74E" w14:textId="77777777" w:rsidTr="00F9313A">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E1AFA" w14:textId="77777777" w:rsidR="00F9313A" w:rsidRPr="00F9313A" w:rsidRDefault="00F9313A" w:rsidP="00D63547">
            <w:pPr>
              <w:jc w:val="both"/>
              <w:rPr>
                <w:rFonts w:ascii="Calibri" w:eastAsia="Times New Roman" w:hAnsi="Calibri" w:cs="Calibri"/>
                <w:color w:val="000000"/>
                <w:sz w:val="20"/>
                <w:szCs w:val="22"/>
                <w:lang w:val="es-MX" w:eastAsia="es-MX"/>
              </w:rPr>
            </w:pPr>
            <w:r w:rsidRPr="00F9313A">
              <w:rPr>
                <w:rFonts w:ascii="Calibri" w:eastAsia="Times New Roman" w:hAnsi="Calibri" w:cs="Calibri"/>
                <w:color w:val="000000"/>
                <w:sz w:val="20"/>
                <w:szCs w:val="22"/>
                <w:lang w:val="es-MX" w:eastAsia="es-MX"/>
              </w:rPr>
              <w:t>Fuente: Elaboración propia con base a información proporcionada por la SEIDUR "Resumen de obras contratadas 2016".</w:t>
            </w:r>
          </w:p>
        </w:tc>
      </w:tr>
    </w:tbl>
    <w:p w14:paraId="40CF3FD4" w14:textId="77777777" w:rsidR="00F9313A" w:rsidRPr="00794215" w:rsidRDefault="00F9313A" w:rsidP="00F9313A">
      <w:pPr>
        <w:spacing w:after="240" w:line="276" w:lineRule="auto"/>
        <w:jc w:val="both"/>
        <w:rPr>
          <w:rFonts w:ascii="Century Gothic" w:hAnsi="Century Gothic"/>
          <w:sz w:val="4"/>
          <w:lang w:val="es-MX"/>
        </w:rPr>
      </w:pPr>
    </w:p>
    <w:p w14:paraId="69D06D19" w14:textId="77777777" w:rsidR="004F0B49" w:rsidRDefault="004833F1" w:rsidP="00C3166C">
      <w:pPr>
        <w:spacing w:after="240" w:line="276" w:lineRule="auto"/>
        <w:jc w:val="both"/>
        <w:rPr>
          <w:rFonts w:ascii="Century Gothic" w:hAnsi="Century Gothic"/>
        </w:rPr>
      </w:pPr>
      <w:r>
        <w:rPr>
          <w:rFonts w:ascii="Century Gothic" w:hAnsi="Century Gothic"/>
        </w:rPr>
        <w:t>De di</w:t>
      </w:r>
      <w:r w:rsidR="00794215">
        <w:rPr>
          <w:rFonts w:ascii="Century Gothic" w:hAnsi="Century Gothic"/>
        </w:rPr>
        <w:t>c</w:t>
      </w:r>
      <w:r>
        <w:rPr>
          <w:rFonts w:ascii="Century Gothic" w:hAnsi="Century Gothic"/>
        </w:rPr>
        <w:t>has obras se seleccionaron tres</w:t>
      </w:r>
      <w:r w:rsidR="00794215">
        <w:rPr>
          <w:rFonts w:ascii="Century Gothic" w:hAnsi="Century Gothic"/>
        </w:rPr>
        <w:t xml:space="preserve"> para realizar la validación in situ y </w:t>
      </w:r>
      <w:r w:rsidR="004F0B49">
        <w:rPr>
          <w:rFonts w:ascii="Century Gothic" w:hAnsi="Century Gothic"/>
        </w:rPr>
        <w:t>revisión del expediente de obra; una en el municipio de Cómala</w:t>
      </w:r>
      <w:r>
        <w:rPr>
          <w:rFonts w:ascii="Century Gothic" w:hAnsi="Century Gothic"/>
        </w:rPr>
        <w:t>,</w:t>
      </w:r>
      <w:r w:rsidR="004F0B49">
        <w:rPr>
          <w:rFonts w:ascii="Century Gothic" w:hAnsi="Century Gothic"/>
        </w:rPr>
        <w:t xml:space="preserve"> obra de ampliación del </w:t>
      </w:r>
      <w:r>
        <w:rPr>
          <w:rFonts w:ascii="Century Gothic" w:hAnsi="Century Gothic"/>
        </w:rPr>
        <w:t>s</w:t>
      </w:r>
      <w:r w:rsidR="004F0B49" w:rsidRPr="004F0B49">
        <w:rPr>
          <w:rFonts w:ascii="Century Gothic" w:hAnsi="Century Gothic"/>
        </w:rPr>
        <w:t>istema de alcantarillado sanitario y saneamiento (1er etapa),  localidad de la Nogalera</w:t>
      </w:r>
      <w:r w:rsidR="004F0B49">
        <w:rPr>
          <w:rFonts w:ascii="Century Gothic" w:hAnsi="Century Gothic"/>
        </w:rPr>
        <w:t xml:space="preserve">; y dos en el municipio de </w:t>
      </w:r>
      <w:r w:rsidR="004F0B49" w:rsidRPr="004F0B49">
        <w:rPr>
          <w:rFonts w:ascii="Century Gothic" w:hAnsi="Century Gothic"/>
        </w:rPr>
        <w:t xml:space="preserve">Ixtlahuacán, ampliación del sistema de agua potable, localidad de Aquiles Serdán (Tamala) y ampliación del </w:t>
      </w:r>
      <w:r>
        <w:rPr>
          <w:rFonts w:ascii="Century Gothic" w:hAnsi="Century Gothic"/>
        </w:rPr>
        <w:t>s</w:t>
      </w:r>
      <w:r w:rsidR="004F0B49" w:rsidRPr="004F0B49">
        <w:rPr>
          <w:rFonts w:ascii="Century Gothic" w:hAnsi="Century Gothic"/>
        </w:rPr>
        <w:t>istema de alcantarillado sanitario (1er etapa), localidad de Zinacamitlán (los Chicos).</w:t>
      </w:r>
    </w:p>
    <w:p w14:paraId="7BF6440D" w14:textId="77777777" w:rsidR="00290A1D" w:rsidRDefault="00290A1D" w:rsidP="00C3166C">
      <w:pPr>
        <w:spacing w:after="240" w:line="276" w:lineRule="auto"/>
        <w:jc w:val="both"/>
        <w:rPr>
          <w:rFonts w:ascii="Century Gothic" w:hAnsi="Century Gothic"/>
        </w:rPr>
      </w:pPr>
      <w:r>
        <w:rPr>
          <w:rFonts w:ascii="Century Gothic" w:hAnsi="Century Gothic"/>
        </w:rPr>
        <w:lastRenderedPageBreak/>
        <w:t>A continuación se presentan algunas fotografías de dichas obras, que fueron tomadas por el equipo de TECSO durante la visita in situ.</w:t>
      </w:r>
    </w:p>
    <w:p w14:paraId="319D9D1C" w14:textId="77777777" w:rsidR="00290A1D" w:rsidRPr="001176E0" w:rsidRDefault="00290A1D" w:rsidP="00375FE0">
      <w:pPr>
        <w:spacing w:after="120" w:line="276" w:lineRule="auto"/>
        <w:jc w:val="center"/>
        <w:rPr>
          <w:rFonts w:ascii="Century Gothic" w:hAnsi="Century Gothic"/>
          <w:b/>
        </w:rPr>
      </w:pPr>
      <w:r w:rsidRPr="001176E0">
        <w:rPr>
          <w:rFonts w:ascii="Century Gothic" w:hAnsi="Century Gothic"/>
          <w:b/>
        </w:rPr>
        <w:t>Fotografía</w:t>
      </w:r>
      <w:r w:rsidR="00DE2912" w:rsidRPr="001176E0">
        <w:rPr>
          <w:rFonts w:ascii="Century Gothic" w:hAnsi="Century Gothic"/>
          <w:b/>
        </w:rPr>
        <w:t>s</w:t>
      </w:r>
      <w:r w:rsidR="001176E0" w:rsidRPr="001176E0">
        <w:rPr>
          <w:rFonts w:ascii="Century Gothic" w:hAnsi="Century Gothic"/>
          <w:b/>
        </w:rPr>
        <w:t xml:space="preserve"> 5.1. O</w:t>
      </w:r>
      <w:r w:rsidRPr="001176E0">
        <w:rPr>
          <w:rFonts w:ascii="Century Gothic" w:hAnsi="Century Gothic"/>
          <w:b/>
        </w:rPr>
        <w:t>bra</w:t>
      </w:r>
      <w:r w:rsidR="00DE2912" w:rsidRPr="001176E0">
        <w:rPr>
          <w:rFonts w:ascii="Century Gothic" w:hAnsi="Century Gothic"/>
          <w:b/>
        </w:rPr>
        <w:t>s visitadas</w:t>
      </w:r>
      <w:r w:rsidRPr="001176E0">
        <w:rPr>
          <w:rFonts w:ascii="Century Gothic" w:hAnsi="Century Gothic"/>
          <w:b/>
        </w:rPr>
        <w:t xml:space="preserve"> </w:t>
      </w:r>
    </w:p>
    <w:p w14:paraId="06A114B7" w14:textId="77777777" w:rsidR="00DE2912" w:rsidRDefault="00375FE0" w:rsidP="00375FE0">
      <w:pPr>
        <w:spacing w:after="120" w:line="276" w:lineRule="auto"/>
        <w:jc w:val="both"/>
        <w:rPr>
          <w:rFonts w:ascii="Century Gothic" w:hAnsi="Century Gothic"/>
        </w:rPr>
      </w:pPr>
      <w:r>
        <w:rPr>
          <w:rFonts w:ascii="Century Gothic" w:hAnsi="Century Gothic"/>
          <w:noProof/>
          <w:lang w:val="es-MX" w:eastAsia="es-MX"/>
        </w:rPr>
        <mc:AlternateContent>
          <mc:Choice Requires="wps">
            <w:drawing>
              <wp:anchor distT="0" distB="0" distL="114300" distR="114300" simplePos="0" relativeHeight="251664384" behindDoc="0" locked="0" layoutInCell="1" allowOverlap="1" wp14:anchorId="7392CD45" wp14:editId="61D9CE78">
                <wp:simplePos x="0" y="0"/>
                <wp:positionH relativeFrom="column">
                  <wp:posOffset>3459967</wp:posOffset>
                </wp:positionH>
                <wp:positionV relativeFrom="paragraph">
                  <wp:posOffset>170431</wp:posOffset>
                </wp:positionV>
                <wp:extent cx="2264735" cy="2509003"/>
                <wp:effectExtent l="0" t="0" r="2540" b="5715"/>
                <wp:wrapNone/>
                <wp:docPr id="14" name="14 Cuadro de texto"/>
                <wp:cNvGraphicFramePr/>
                <a:graphic xmlns:a="http://schemas.openxmlformats.org/drawingml/2006/main">
                  <a:graphicData uri="http://schemas.microsoft.com/office/word/2010/wordprocessingShape">
                    <wps:wsp>
                      <wps:cNvSpPr txBox="1"/>
                      <wps:spPr>
                        <a:xfrm>
                          <a:off x="0" y="0"/>
                          <a:ext cx="2264735" cy="25090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DCA50" w14:textId="77777777" w:rsidR="004F75FB" w:rsidRDefault="004F75FB">
                            <w:r>
                              <w:rPr>
                                <w:rFonts w:ascii="Century Gothic" w:hAnsi="Century Gothic"/>
                                <w:noProof/>
                                <w:lang w:val="es-MX" w:eastAsia="es-MX"/>
                              </w:rPr>
                              <w:drawing>
                                <wp:inline distT="0" distB="0" distL="0" distR="0" wp14:anchorId="2500AE6F" wp14:editId="2630953E">
                                  <wp:extent cx="2030819" cy="2396481"/>
                                  <wp:effectExtent l="0" t="0" r="7620" b="444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14.jpg"/>
                                          <pic:cNvPicPr/>
                                        </pic:nvPicPr>
                                        <pic:blipFill>
                                          <a:blip r:embed="rId41">
                                            <a:extLst>
                                              <a:ext uri="{28A0092B-C50C-407E-A947-70E740481C1C}">
                                                <a14:useLocalDpi xmlns:a14="http://schemas.microsoft.com/office/drawing/2010/main" val="0"/>
                                              </a:ext>
                                            </a:extLst>
                                          </a:blip>
                                          <a:stretch>
                                            <a:fillRect/>
                                          </a:stretch>
                                        </pic:blipFill>
                                        <pic:spPr>
                                          <a:xfrm>
                                            <a:off x="0" y="0"/>
                                            <a:ext cx="2037556" cy="24044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2CD45" id="14 Cuadro de texto" o:spid="_x0000_s1027" type="#_x0000_t202" style="position:absolute;left:0;text-align:left;margin-left:272.45pt;margin-top:13.4pt;width:178.35pt;height:19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" fillcolor="white [3201]" stroked="f" strokeweight=".5pt">
                <v:textbox>
                  <w:txbxContent>
                    <w:p w14:paraId="519DCA50" w14:textId="77777777" w:rsidR="004F75FB" w:rsidRDefault="004F75FB">
                      <w:r>
                        <w:rPr>
                          <w:rFonts w:ascii="Century Gothic" w:hAnsi="Century Gothic"/>
                          <w:noProof/>
                          <w:lang w:val="es-MX" w:eastAsia="es-MX"/>
                        </w:rPr>
                        <w:drawing>
                          <wp:inline distT="0" distB="0" distL="0" distR="0" wp14:anchorId="2500AE6F" wp14:editId="2630953E">
                            <wp:extent cx="2030819" cy="2396481"/>
                            <wp:effectExtent l="0" t="0" r="7620" b="444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14.jpg"/>
                                    <pic:cNvPicPr/>
                                  </pic:nvPicPr>
                                  <pic:blipFill>
                                    <a:blip r:embed="rId42">
                                      <a:extLst>
                                        <a:ext uri="{28A0092B-C50C-407E-A947-70E740481C1C}">
                                          <a14:useLocalDpi xmlns:a14="http://schemas.microsoft.com/office/drawing/2010/main" val="0"/>
                                        </a:ext>
                                      </a:extLst>
                                    </a:blip>
                                    <a:stretch>
                                      <a:fillRect/>
                                    </a:stretch>
                                  </pic:blipFill>
                                  <pic:spPr>
                                    <a:xfrm>
                                      <a:off x="0" y="0"/>
                                      <a:ext cx="2037556" cy="2404431"/>
                                    </a:xfrm>
                                    <a:prstGeom prst="rect">
                                      <a:avLst/>
                                    </a:prstGeom>
                                  </pic:spPr>
                                </pic:pic>
                              </a:graphicData>
                            </a:graphic>
                          </wp:inline>
                        </w:drawing>
                      </w:r>
                    </w:p>
                  </w:txbxContent>
                </v:textbox>
              </v:shape>
            </w:pict>
          </mc:Fallback>
        </mc:AlternateContent>
      </w:r>
      <w:r>
        <w:rPr>
          <w:rFonts w:ascii="Century Gothic" w:hAnsi="Century Gothic"/>
          <w:noProof/>
          <w:lang w:val="es-MX" w:eastAsia="es-MX"/>
        </w:rPr>
        <w:drawing>
          <wp:inline distT="0" distB="0" distL="0" distR="0" wp14:anchorId="7BD2BBEA" wp14:editId="5E7FF68B">
            <wp:extent cx="3838353" cy="2878976"/>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36091" cy="2877279"/>
                    </a:xfrm>
                    <a:prstGeom prst="rect">
                      <a:avLst/>
                    </a:prstGeom>
                  </pic:spPr>
                </pic:pic>
              </a:graphicData>
            </a:graphic>
          </wp:inline>
        </w:drawing>
      </w:r>
    </w:p>
    <w:p w14:paraId="6CA46647" w14:textId="77777777" w:rsidR="00DE2912" w:rsidRDefault="00DE2912" w:rsidP="00375FE0">
      <w:pPr>
        <w:spacing w:after="120" w:line="276" w:lineRule="auto"/>
        <w:jc w:val="center"/>
        <w:rPr>
          <w:rFonts w:ascii="Century Gothic" w:hAnsi="Century Gothic"/>
        </w:rPr>
      </w:pPr>
      <w:r>
        <w:rPr>
          <w:rFonts w:ascii="Century Gothic" w:hAnsi="Century Gothic"/>
        </w:rPr>
        <w:t>“Ampliación del sistema de agua potable, Loc. Aquiles Serdán, Ixtlahuacán”</w:t>
      </w:r>
    </w:p>
    <w:p w14:paraId="79F49BAA" w14:textId="77777777" w:rsidR="00290A1D" w:rsidRDefault="00375FE0" w:rsidP="00375FE0">
      <w:pPr>
        <w:spacing w:after="120" w:line="276" w:lineRule="auto"/>
        <w:jc w:val="both"/>
        <w:rPr>
          <w:rFonts w:ascii="Century Gothic" w:hAnsi="Century Gothic"/>
        </w:rPr>
      </w:pPr>
      <w:r>
        <w:rPr>
          <w:rFonts w:ascii="Century Gothic" w:hAnsi="Century Gothic"/>
          <w:noProof/>
          <w:lang w:val="es-MX" w:eastAsia="es-MX"/>
        </w:rPr>
        <mc:AlternateContent>
          <mc:Choice Requires="wps">
            <w:drawing>
              <wp:anchor distT="0" distB="0" distL="114300" distR="114300" simplePos="0" relativeHeight="251667456" behindDoc="0" locked="0" layoutInCell="1" allowOverlap="1" wp14:anchorId="6E221A1F" wp14:editId="2D50F91F">
                <wp:simplePos x="0" y="0"/>
                <wp:positionH relativeFrom="column">
                  <wp:posOffset>121344</wp:posOffset>
                </wp:positionH>
                <wp:positionV relativeFrom="paragraph">
                  <wp:posOffset>2645041</wp:posOffset>
                </wp:positionV>
                <wp:extent cx="2509284" cy="850265"/>
                <wp:effectExtent l="0" t="0" r="5715" b="6985"/>
                <wp:wrapNone/>
                <wp:docPr id="26" name="26 Cuadro de texto"/>
                <wp:cNvGraphicFramePr/>
                <a:graphic xmlns:a="http://schemas.openxmlformats.org/drawingml/2006/main">
                  <a:graphicData uri="http://schemas.microsoft.com/office/word/2010/wordprocessingShape">
                    <wps:wsp>
                      <wps:cNvSpPr txBox="1"/>
                      <wps:spPr>
                        <a:xfrm>
                          <a:off x="0" y="0"/>
                          <a:ext cx="2509284" cy="850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B5062" w14:textId="77777777" w:rsidR="004F75FB" w:rsidRPr="00375FE0" w:rsidRDefault="004F75FB" w:rsidP="00375FE0">
                            <w:pPr>
                              <w:jc w:val="both"/>
                              <w:rPr>
                                <w:rFonts w:ascii="Century Gothic" w:hAnsi="Century Gothic"/>
                                <w:lang w:val="es-MX"/>
                              </w:rPr>
                            </w:pPr>
                            <w:r w:rsidRPr="00375FE0">
                              <w:rPr>
                                <w:rFonts w:ascii="Century Gothic" w:hAnsi="Century Gothic"/>
                                <w:lang w:val="es-MX"/>
                              </w:rPr>
                              <w:t>“Ampliación del Sistema de Alcantarillado Sanitario, Loc. Zinacamitlán, Ixtlahuacán”.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1A1F" id="26 Cuadro de texto" o:spid="_x0000_s1028" type="#_x0000_t202" style="position:absolute;left:0;text-align:left;margin-left:9.55pt;margin-top:208.25pt;width:197.6pt;height:6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" fillcolor="white [3201]" stroked="f" strokeweight=".5pt">
                <v:textbox>
                  <w:txbxContent>
                    <w:p w14:paraId="6B3B5062" w14:textId="77777777" w:rsidR="004F75FB" w:rsidRPr="00375FE0" w:rsidRDefault="004F75FB" w:rsidP="00375FE0">
                      <w:pPr>
                        <w:jc w:val="both"/>
                        <w:rPr>
                          <w:rFonts w:ascii="Century Gothic" w:hAnsi="Century Gothic"/>
                          <w:lang w:val="es-MX"/>
                        </w:rPr>
                      </w:pPr>
                      <w:r w:rsidRPr="00375FE0">
                        <w:rPr>
                          <w:rFonts w:ascii="Century Gothic" w:hAnsi="Century Gothic"/>
                          <w:lang w:val="es-MX"/>
                        </w:rPr>
                        <w:t>“Ampliación del Sistema de Alcantarillado Sanitario, Loc. Zinacamitlán, Ixtlahuacán”.</w:t>
                      </w:r>
                    </w:p>
                  </w:txbxContent>
                </v:textbox>
              </v:shape>
            </w:pict>
          </mc:Fallback>
        </mc:AlternateContent>
      </w:r>
      <w:r>
        <w:rPr>
          <w:rFonts w:ascii="Century Gothic" w:hAnsi="Century Gothic"/>
          <w:noProof/>
          <w:lang w:val="es-MX" w:eastAsia="es-MX"/>
        </w:rPr>
        <mc:AlternateContent>
          <mc:Choice Requires="wps">
            <w:drawing>
              <wp:anchor distT="0" distB="0" distL="114300" distR="114300" simplePos="0" relativeHeight="251665408" behindDoc="0" locked="0" layoutInCell="1" allowOverlap="1" wp14:anchorId="1671D66F" wp14:editId="283C0E55">
                <wp:simplePos x="0" y="0"/>
                <wp:positionH relativeFrom="column">
                  <wp:posOffset>2704465</wp:posOffset>
                </wp:positionH>
                <wp:positionV relativeFrom="paragraph">
                  <wp:posOffset>1718472</wp:posOffset>
                </wp:positionV>
                <wp:extent cx="2881423" cy="2041451"/>
                <wp:effectExtent l="0" t="0" r="0" b="0"/>
                <wp:wrapNone/>
                <wp:docPr id="21" name="21 Cuadro de texto"/>
                <wp:cNvGraphicFramePr/>
                <a:graphic xmlns:a="http://schemas.openxmlformats.org/drawingml/2006/main">
                  <a:graphicData uri="http://schemas.microsoft.com/office/word/2010/wordprocessingShape">
                    <wps:wsp>
                      <wps:cNvSpPr txBox="1"/>
                      <wps:spPr>
                        <a:xfrm>
                          <a:off x="0" y="0"/>
                          <a:ext cx="2881423" cy="20414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58266" w14:textId="77777777" w:rsidR="004F75FB" w:rsidRDefault="004F75FB">
                            <w:r>
                              <w:rPr>
                                <w:noProof/>
                                <w:lang w:val="es-MX" w:eastAsia="es-MX"/>
                              </w:rPr>
                              <w:drawing>
                                <wp:inline distT="0" distB="0" distL="0" distR="0" wp14:anchorId="30DA38DA" wp14:editId="3EC3C80E">
                                  <wp:extent cx="2711302" cy="1945568"/>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06.jpg"/>
                                          <pic:cNvPicPr/>
                                        </pic:nvPicPr>
                                        <pic:blipFill>
                                          <a:blip r:embed="rId44">
                                            <a:extLst>
                                              <a:ext uri="{28A0092B-C50C-407E-A947-70E740481C1C}">
                                                <a14:useLocalDpi xmlns:a14="http://schemas.microsoft.com/office/drawing/2010/main" val="0"/>
                                              </a:ext>
                                            </a:extLst>
                                          </a:blip>
                                          <a:stretch>
                                            <a:fillRect/>
                                          </a:stretch>
                                        </pic:blipFill>
                                        <pic:spPr>
                                          <a:xfrm>
                                            <a:off x="0" y="0"/>
                                            <a:ext cx="2720819" cy="19523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1D66F" id="21 Cuadro de texto" o:spid="_x0000_s1029" type="#_x0000_t202" style="position:absolute;left:0;text-align:left;margin-left:212.95pt;margin-top:135.3pt;width:226.9pt;height:1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" fillcolor="white [3201]" stroked="f" strokeweight=".5pt">
                <v:textbox>
                  <w:txbxContent>
                    <w:p w14:paraId="37C58266" w14:textId="77777777" w:rsidR="004F75FB" w:rsidRDefault="004F75FB">
                      <w:r>
                        <w:rPr>
                          <w:noProof/>
                          <w:lang w:val="es-MX" w:eastAsia="es-MX"/>
                        </w:rPr>
                        <w:drawing>
                          <wp:inline distT="0" distB="0" distL="0" distR="0" wp14:anchorId="30DA38DA" wp14:editId="3EC3C80E">
                            <wp:extent cx="2711302" cy="1945568"/>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06.jpg"/>
                                    <pic:cNvPicPr/>
                                  </pic:nvPicPr>
                                  <pic:blipFill>
                                    <a:blip r:embed="rId45">
                                      <a:extLst>
                                        <a:ext uri="{28A0092B-C50C-407E-A947-70E740481C1C}">
                                          <a14:useLocalDpi xmlns:a14="http://schemas.microsoft.com/office/drawing/2010/main" val="0"/>
                                        </a:ext>
                                      </a:extLst>
                                    </a:blip>
                                    <a:stretch>
                                      <a:fillRect/>
                                    </a:stretch>
                                  </pic:blipFill>
                                  <pic:spPr>
                                    <a:xfrm>
                                      <a:off x="0" y="0"/>
                                      <a:ext cx="2720819" cy="1952397"/>
                                    </a:xfrm>
                                    <a:prstGeom prst="rect">
                                      <a:avLst/>
                                    </a:prstGeom>
                                  </pic:spPr>
                                </pic:pic>
                              </a:graphicData>
                            </a:graphic>
                          </wp:inline>
                        </w:drawing>
                      </w:r>
                    </w:p>
                  </w:txbxContent>
                </v:textbox>
              </v:shape>
            </w:pict>
          </mc:Fallback>
        </mc:AlternateContent>
      </w:r>
      <w:r>
        <w:rPr>
          <w:rFonts w:ascii="Century Gothic" w:hAnsi="Century Gothic"/>
          <w:noProof/>
          <w:lang w:val="es-MX" w:eastAsia="es-MX"/>
        </w:rPr>
        <w:drawing>
          <wp:inline distT="0" distB="0" distL="0" distR="0" wp14:anchorId="22FE9A96" wp14:editId="1C7D3FD1">
            <wp:extent cx="4238628" cy="2519916"/>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11_edi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1305" cy="2533398"/>
                    </a:xfrm>
                    <a:prstGeom prst="rect">
                      <a:avLst/>
                    </a:prstGeom>
                  </pic:spPr>
                </pic:pic>
              </a:graphicData>
            </a:graphic>
          </wp:inline>
        </w:drawing>
      </w:r>
    </w:p>
    <w:p w14:paraId="3804BBEC" w14:textId="77777777" w:rsidR="00375FE0" w:rsidRDefault="00375FE0" w:rsidP="00375FE0">
      <w:pPr>
        <w:spacing w:after="120" w:line="276" w:lineRule="auto"/>
        <w:jc w:val="both"/>
        <w:rPr>
          <w:rFonts w:ascii="Century Gothic" w:hAnsi="Century Gothic"/>
        </w:rPr>
      </w:pPr>
    </w:p>
    <w:p w14:paraId="28AA2D9E" w14:textId="77777777" w:rsidR="00375FE0" w:rsidRDefault="00375FE0" w:rsidP="00C3166C">
      <w:pPr>
        <w:spacing w:after="240" w:line="276" w:lineRule="auto"/>
        <w:jc w:val="both"/>
        <w:rPr>
          <w:rFonts w:ascii="Century Gothic" w:hAnsi="Century Gothic"/>
        </w:rPr>
      </w:pPr>
    </w:p>
    <w:p w14:paraId="23A4DAEB" w14:textId="77777777" w:rsidR="00375FE0" w:rsidRDefault="00375FE0" w:rsidP="00C3166C">
      <w:pPr>
        <w:spacing w:after="240" w:line="276" w:lineRule="auto"/>
        <w:jc w:val="both"/>
        <w:rPr>
          <w:rFonts w:ascii="Century Gothic" w:hAnsi="Century Gothic"/>
        </w:rPr>
      </w:pPr>
    </w:p>
    <w:p w14:paraId="066F3F05" w14:textId="77777777" w:rsidR="00375FE0" w:rsidRDefault="00375FE0" w:rsidP="00C3166C">
      <w:pPr>
        <w:spacing w:after="240" w:line="276" w:lineRule="auto"/>
        <w:jc w:val="both"/>
        <w:rPr>
          <w:rFonts w:ascii="Century Gothic" w:hAnsi="Century Gothic"/>
        </w:rPr>
      </w:pPr>
      <w:r>
        <w:rPr>
          <w:rFonts w:ascii="Century Gothic" w:hAnsi="Century Gothic"/>
        </w:rPr>
        <w:t>Fuente: Tomadas por TECSO</w:t>
      </w:r>
    </w:p>
    <w:p w14:paraId="74D14787" w14:textId="77777777" w:rsidR="003C38A6" w:rsidRPr="004F0B49" w:rsidRDefault="00F13C69" w:rsidP="00C3166C">
      <w:pPr>
        <w:spacing w:after="240" w:line="276" w:lineRule="auto"/>
        <w:jc w:val="both"/>
        <w:rPr>
          <w:rFonts w:ascii="Century Gothic" w:hAnsi="Century Gothic"/>
          <w:lang w:val="es-MX"/>
        </w:rPr>
      </w:pPr>
      <w:r>
        <w:rPr>
          <w:rFonts w:ascii="Century Gothic" w:hAnsi="Century Gothic"/>
          <w:lang w:val="es-MX"/>
        </w:rPr>
        <w:lastRenderedPageBreak/>
        <w:t>Así, al revisar el expediente de dichas obras se pudo detallar el proceso que se llevó a cabo para su ejecución, tal como se detalla a continuación.</w:t>
      </w:r>
    </w:p>
    <w:p w14:paraId="1BB20666" w14:textId="77777777" w:rsidR="00DE1DDE" w:rsidRDefault="00F13C69" w:rsidP="00C3166C">
      <w:pPr>
        <w:spacing w:after="240" w:line="276" w:lineRule="auto"/>
        <w:rPr>
          <w:rFonts w:ascii="Century Gothic" w:hAnsi="Century Gothic"/>
        </w:rPr>
      </w:pPr>
      <w:r>
        <w:rPr>
          <w:rFonts w:ascii="Century Gothic" w:hAnsi="Century Gothic"/>
        </w:rPr>
        <w:t>En el caso del proceso de la asignación de recurso se tiene que de las nueve obras, sólo 7 fueron en su totalidad con recursos del FISE, las demás tuvieron algún convenio en particular con la CDI:</w:t>
      </w:r>
    </w:p>
    <w:p w14:paraId="17AC3061" w14:textId="77777777" w:rsidR="00F13C69" w:rsidRPr="0058467B" w:rsidRDefault="001176E0" w:rsidP="0058467B">
      <w:pPr>
        <w:spacing w:after="240" w:line="276" w:lineRule="auto"/>
        <w:jc w:val="center"/>
        <w:rPr>
          <w:rFonts w:ascii="Century Gothic" w:hAnsi="Century Gothic"/>
          <w:b/>
        </w:rPr>
      </w:pPr>
      <w:r>
        <w:rPr>
          <w:rFonts w:ascii="Century Gothic" w:hAnsi="Century Gothic"/>
          <w:b/>
        </w:rPr>
        <w:t>Figura 5.1</w:t>
      </w:r>
      <w:r w:rsidR="0058467B" w:rsidRPr="0058467B">
        <w:rPr>
          <w:rFonts w:ascii="Century Gothic" w:hAnsi="Century Gothic"/>
          <w:b/>
        </w:rPr>
        <w:t>. Proceso Asignación del Recurso Obras – FISE SEIDUR 2016.</w:t>
      </w:r>
    </w:p>
    <w:p w14:paraId="43C8AAFE" w14:textId="77777777" w:rsidR="0058467B" w:rsidRDefault="009B4F10" w:rsidP="00F728F0">
      <w:pPr>
        <w:spacing w:after="120" w:line="276" w:lineRule="auto"/>
        <w:jc w:val="center"/>
        <w:rPr>
          <w:rFonts w:ascii="Century Gothic" w:hAnsi="Century Gothic"/>
        </w:rPr>
      </w:pPr>
      <w:r>
        <w:rPr>
          <w:rFonts w:ascii="Century Gothic" w:hAnsi="Century Gothic"/>
          <w:noProof/>
          <w:lang w:val="es-MX" w:eastAsia="es-MX"/>
        </w:rPr>
        <w:drawing>
          <wp:inline distT="0" distB="0" distL="0" distR="0" wp14:anchorId="0C05E7CE" wp14:editId="599A8A20">
            <wp:extent cx="3919855" cy="117030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19855" cy="1170305"/>
                    </a:xfrm>
                    <a:prstGeom prst="rect">
                      <a:avLst/>
                    </a:prstGeom>
                    <a:noFill/>
                  </pic:spPr>
                </pic:pic>
              </a:graphicData>
            </a:graphic>
          </wp:inline>
        </w:drawing>
      </w:r>
    </w:p>
    <w:p w14:paraId="04549D21" w14:textId="77777777" w:rsidR="0058467B" w:rsidRPr="0058467B" w:rsidRDefault="0058467B" w:rsidP="0058467B">
      <w:pPr>
        <w:spacing w:after="240" w:line="276" w:lineRule="auto"/>
        <w:jc w:val="center"/>
        <w:rPr>
          <w:rFonts w:cstheme="minorHAnsi"/>
          <w:sz w:val="20"/>
        </w:rPr>
      </w:pPr>
      <w:r w:rsidRPr="0058467B">
        <w:rPr>
          <w:rFonts w:cstheme="minorHAnsi"/>
          <w:sz w:val="20"/>
        </w:rPr>
        <w:t>Fuente: Elaborado por TECSO con base al expediente de las obras suministrado por la SEIDUR</w:t>
      </w:r>
    </w:p>
    <w:p w14:paraId="3D1CC013" w14:textId="77777777" w:rsidR="00F13C69" w:rsidRDefault="00C308AE" w:rsidP="00FB5D51">
      <w:pPr>
        <w:spacing w:after="240" w:line="276" w:lineRule="auto"/>
        <w:jc w:val="both"/>
        <w:rPr>
          <w:rFonts w:ascii="Century Gothic" w:hAnsi="Century Gothic"/>
        </w:rPr>
      </w:pPr>
      <w:r>
        <w:rPr>
          <w:rFonts w:ascii="Century Gothic" w:hAnsi="Century Gothic"/>
        </w:rPr>
        <w:t>Un tema que se observó en cuanto a los recursos fue la demora en los pagos o anticipos a los contratistas</w:t>
      </w:r>
      <w:r w:rsidR="00FB5D51">
        <w:rPr>
          <w:rFonts w:ascii="Century Gothic" w:hAnsi="Century Gothic"/>
        </w:rPr>
        <w:t>, en el caso específico de la obra “ampliación del sistema de alcantarillado sanitario en el municipio de Ixtlahuacan”</w:t>
      </w:r>
      <w:r w:rsidR="00FD3AD8">
        <w:rPr>
          <w:rFonts w:ascii="Century Gothic" w:hAnsi="Century Gothic"/>
        </w:rPr>
        <w:t>, en el expediente se vio</w:t>
      </w:r>
      <w:r w:rsidR="00FB5D51">
        <w:rPr>
          <w:rFonts w:ascii="Century Gothic" w:hAnsi="Century Gothic"/>
        </w:rPr>
        <w:t xml:space="preserve"> que fue necesario una prorroga ya que la obra inicialmente tenia las fechas del 30 de abril al 28 de julio de 2016, sin embargo el primer anticipo se llevó a cabo el 08 de julio, por lo que fue necesario modificar las fechas iniciando el 09 de julio al 05 de octubre de 2016.</w:t>
      </w:r>
    </w:p>
    <w:p w14:paraId="13015E84" w14:textId="77777777" w:rsidR="00FB5D51" w:rsidRDefault="00FB5D51" w:rsidP="00FB5D51">
      <w:pPr>
        <w:spacing w:after="240" w:line="276" w:lineRule="auto"/>
        <w:jc w:val="both"/>
        <w:rPr>
          <w:rFonts w:ascii="Century Gothic" w:hAnsi="Century Gothic"/>
        </w:rPr>
      </w:pPr>
      <w:r>
        <w:rPr>
          <w:rFonts w:ascii="Century Gothic" w:hAnsi="Century Gothic"/>
        </w:rPr>
        <w:t>Este tema deja entrever un cuello de botella, generando demoras en el finiquito de las obras, por lo que se debe revisar a detalle de donde proviene la problemática, si es desde las ministraciones por parte de la federación o es un tema interno bien sea de la SEIDUR o de Finanzas del estado.</w:t>
      </w:r>
    </w:p>
    <w:p w14:paraId="3693979D" w14:textId="77777777" w:rsidR="00FB5D51" w:rsidRDefault="009B4F10" w:rsidP="00FB5D51">
      <w:pPr>
        <w:spacing w:after="240" w:line="276" w:lineRule="auto"/>
        <w:jc w:val="both"/>
        <w:rPr>
          <w:rFonts w:ascii="Century Gothic" w:hAnsi="Century Gothic"/>
        </w:rPr>
      </w:pPr>
      <w:r>
        <w:rPr>
          <w:rFonts w:ascii="Century Gothic" w:hAnsi="Century Gothic"/>
        </w:rPr>
        <w:t>Otro de los procesos que se pudo identificar con el expediente de obra es en relación a la planeación de las obras, con la realización de los anteproyectos, proyectos ejecutivos y presupuesto final.</w:t>
      </w:r>
    </w:p>
    <w:p w14:paraId="572C3B93" w14:textId="77777777" w:rsidR="009B4F10" w:rsidRDefault="009B4F10" w:rsidP="00FB5D51">
      <w:pPr>
        <w:spacing w:after="240" w:line="276" w:lineRule="auto"/>
        <w:jc w:val="both"/>
        <w:rPr>
          <w:rFonts w:ascii="Century Gothic" w:hAnsi="Century Gothic"/>
        </w:rPr>
      </w:pPr>
    </w:p>
    <w:p w14:paraId="56F65290" w14:textId="77777777" w:rsidR="00F13C69" w:rsidRDefault="00F13C69" w:rsidP="00C3166C">
      <w:pPr>
        <w:spacing w:after="240" w:line="276" w:lineRule="auto"/>
        <w:rPr>
          <w:rFonts w:ascii="Century Gothic" w:hAnsi="Century Gothic"/>
        </w:rPr>
      </w:pPr>
    </w:p>
    <w:p w14:paraId="42CA4830" w14:textId="77777777" w:rsidR="00F728F0" w:rsidRDefault="00F728F0" w:rsidP="00C3166C">
      <w:pPr>
        <w:spacing w:after="240" w:line="276" w:lineRule="auto"/>
        <w:rPr>
          <w:rFonts w:ascii="Century Gothic" w:hAnsi="Century Gothic"/>
        </w:rPr>
      </w:pPr>
    </w:p>
    <w:p w14:paraId="6540262A" w14:textId="77777777" w:rsidR="00F728F0" w:rsidRPr="00F728F0" w:rsidRDefault="001176E0" w:rsidP="00F728F0">
      <w:pPr>
        <w:spacing w:after="240" w:line="276" w:lineRule="auto"/>
        <w:jc w:val="center"/>
        <w:rPr>
          <w:rFonts w:ascii="Century Gothic" w:hAnsi="Century Gothic"/>
          <w:b/>
          <w:sz w:val="22"/>
        </w:rPr>
      </w:pPr>
      <w:r>
        <w:rPr>
          <w:rFonts w:ascii="Century Gothic" w:hAnsi="Century Gothic"/>
          <w:b/>
          <w:sz w:val="22"/>
        </w:rPr>
        <w:lastRenderedPageBreak/>
        <w:t>Figura 5.2</w:t>
      </w:r>
      <w:r w:rsidR="00F728F0" w:rsidRPr="00F728F0">
        <w:rPr>
          <w:rFonts w:ascii="Century Gothic" w:hAnsi="Century Gothic"/>
          <w:b/>
          <w:sz w:val="22"/>
        </w:rPr>
        <w:t xml:space="preserve">. Proceso Planeación: </w:t>
      </w:r>
      <w:r w:rsidR="00924D1E">
        <w:rPr>
          <w:rFonts w:ascii="Century Gothic" w:hAnsi="Century Gothic"/>
          <w:b/>
          <w:sz w:val="22"/>
        </w:rPr>
        <w:t xml:space="preserve">Plan de </w:t>
      </w:r>
      <w:r w:rsidR="00F728F0" w:rsidRPr="00F728F0">
        <w:rPr>
          <w:rFonts w:ascii="Century Gothic" w:hAnsi="Century Gothic"/>
          <w:b/>
          <w:sz w:val="22"/>
        </w:rPr>
        <w:t>Calidad para proyectos ejecutivos– FISE SEIDUR 2016.</w:t>
      </w:r>
    </w:p>
    <w:p w14:paraId="6904F318" w14:textId="77777777" w:rsidR="00F728F0" w:rsidRDefault="00BD1545" w:rsidP="00F728F0">
      <w:pPr>
        <w:spacing w:after="120" w:line="276" w:lineRule="auto"/>
        <w:jc w:val="center"/>
        <w:rPr>
          <w:rFonts w:ascii="Century Gothic" w:hAnsi="Century Gothic"/>
        </w:rPr>
      </w:pPr>
      <w:r>
        <w:rPr>
          <w:rFonts w:ascii="Century Gothic" w:hAnsi="Century Gothic"/>
          <w:noProof/>
          <w:lang w:val="es-MX" w:eastAsia="es-MX"/>
        </w:rPr>
        <w:drawing>
          <wp:inline distT="0" distB="0" distL="0" distR="0" wp14:anchorId="18B1C19F" wp14:editId="765DBBFD">
            <wp:extent cx="5449676" cy="235267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6429" cy="2355590"/>
                    </a:xfrm>
                    <a:prstGeom prst="rect">
                      <a:avLst/>
                    </a:prstGeom>
                    <a:noFill/>
                  </pic:spPr>
                </pic:pic>
              </a:graphicData>
            </a:graphic>
          </wp:inline>
        </w:drawing>
      </w:r>
    </w:p>
    <w:p w14:paraId="7DEED7C0" w14:textId="77777777" w:rsidR="00F728F0" w:rsidRPr="0058467B" w:rsidRDefault="00F728F0" w:rsidP="00F728F0">
      <w:pPr>
        <w:spacing w:after="240" w:line="276" w:lineRule="auto"/>
        <w:jc w:val="center"/>
        <w:rPr>
          <w:rFonts w:cstheme="minorHAnsi"/>
          <w:sz w:val="20"/>
        </w:rPr>
      </w:pPr>
      <w:r w:rsidRPr="0058467B">
        <w:rPr>
          <w:rFonts w:cstheme="minorHAnsi"/>
          <w:sz w:val="20"/>
        </w:rPr>
        <w:t>Fuente: Elaborado por TECSO con base al expediente de las obras suministrado por la SEIDUR</w:t>
      </w:r>
    </w:p>
    <w:p w14:paraId="4ED7E081" w14:textId="77777777" w:rsidR="00F728F0" w:rsidRDefault="00FB6723" w:rsidP="00FB6723">
      <w:pPr>
        <w:spacing w:after="240" w:line="276" w:lineRule="auto"/>
        <w:jc w:val="both"/>
        <w:rPr>
          <w:rFonts w:ascii="Century Gothic" w:hAnsi="Century Gothic"/>
        </w:rPr>
      </w:pPr>
      <w:r>
        <w:rPr>
          <w:rFonts w:ascii="Century Gothic" w:hAnsi="Century Gothic"/>
        </w:rPr>
        <w:t xml:space="preserve">En este proceso no se evidencio información de la etapa o actividades para determinar cuáles son las obras que se pueden llevar a cabo, sino que se contó </w:t>
      </w:r>
      <w:r w:rsidR="0047102A">
        <w:rPr>
          <w:rFonts w:ascii="Century Gothic" w:hAnsi="Century Gothic"/>
        </w:rPr>
        <w:t xml:space="preserve">sólo </w:t>
      </w:r>
      <w:r>
        <w:rPr>
          <w:rFonts w:ascii="Century Gothic" w:hAnsi="Century Gothic"/>
        </w:rPr>
        <w:t>con datos desde el anteproyecto y autorizaciones de la obra.</w:t>
      </w:r>
    </w:p>
    <w:p w14:paraId="4ACC832A" w14:textId="77777777" w:rsidR="00F728F0" w:rsidRDefault="0047102A" w:rsidP="0047102A">
      <w:pPr>
        <w:spacing w:after="240" w:line="276" w:lineRule="auto"/>
        <w:jc w:val="both"/>
        <w:rPr>
          <w:rFonts w:ascii="Century Gothic" w:hAnsi="Century Gothic"/>
        </w:rPr>
      </w:pPr>
      <w:r>
        <w:rPr>
          <w:rFonts w:ascii="Century Gothic" w:hAnsi="Century Gothic"/>
        </w:rPr>
        <w:t>En cuanto al proyecto de la obra, se evidenció en el caso de la obra de “ampliación del sistema de alcantarillado sanitario en el municipio de Ixtlahuacán”, que ya en el desarrollo de la obra se tuvieron que realizar cambios dado que las condiciones topográficas del terreno no permitieron el desarrollo del proyecto como se tenía previsto:</w:t>
      </w:r>
    </w:p>
    <w:p w14:paraId="22D0B4FB" w14:textId="77777777" w:rsidR="0047102A" w:rsidRDefault="0047102A" w:rsidP="0047102A">
      <w:pPr>
        <w:spacing w:after="240" w:line="276" w:lineRule="auto"/>
        <w:ind w:left="284" w:right="567"/>
        <w:jc w:val="both"/>
        <w:rPr>
          <w:rFonts w:ascii="Century Gothic" w:hAnsi="Century Gothic"/>
        </w:rPr>
      </w:pPr>
      <w:r w:rsidRPr="0047102A">
        <w:rPr>
          <w:rFonts w:ascii="Century Gothic" w:hAnsi="Century Gothic"/>
        </w:rPr>
        <w:t xml:space="preserve">Se detecta que en una de las calles </w:t>
      </w:r>
      <w:r w:rsidRPr="0047102A">
        <w:rPr>
          <w:rFonts w:ascii="Century Gothic" w:hAnsi="Century Gothic"/>
          <w:b/>
        </w:rPr>
        <w:t>por las condiciones topográficas del terreno no es factible la obra</w:t>
      </w:r>
      <w:r w:rsidRPr="0047102A">
        <w:rPr>
          <w:rFonts w:ascii="Century Gothic" w:hAnsi="Century Gothic"/>
        </w:rPr>
        <w:t xml:space="preserve">, y en base a las necesidades de la población fue </w:t>
      </w:r>
      <w:r w:rsidRPr="0047102A">
        <w:rPr>
          <w:rFonts w:ascii="Century Gothic" w:hAnsi="Century Gothic"/>
          <w:b/>
        </w:rPr>
        <w:t>necesario modificar el proyecto, colocando biodigestores</w:t>
      </w:r>
      <w:r w:rsidRPr="0047102A">
        <w:rPr>
          <w:rFonts w:ascii="Century Gothic" w:hAnsi="Century Gothic"/>
        </w:rPr>
        <w:t>.</w:t>
      </w:r>
    </w:p>
    <w:p w14:paraId="3BBBC90A" w14:textId="77777777" w:rsidR="00F728F0" w:rsidRDefault="0047102A" w:rsidP="0047102A">
      <w:pPr>
        <w:spacing w:after="240" w:line="276" w:lineRule="auto"/>
        <w:jc w:val="both"/>
        <w:rPr>
          <w:rFonts w:ascii="Century Gothic" w:hAnsi="Century Gothic"/>
        </w:rPr>
      </w:pPr>
      <w:r>
        <w:rPr>
          <w:rFonts w:ascii="Century Gothic" w:hAnsi="Century Gothic"/>
        </w:rPr>
        <w:t>Tema que repercutió en los tiempos de entrega y costos del proyecto, sin embargo lo que es importante resaltar es que en la información suministrada del anteproyecto que debería incluir los estudios topográficos del suelo y viabilidad del proyecto, no se evidencia dicha problemática, sino que esta se presenta hasta la ejecución de la obra y fue ahí cuando se tomó la decisión de como proseguir que en este caso fue con el suministro de biodigestores.</w:t>
      </w:r>
    </w:p>
    <w:p w14:paraId="2E1C65E4" w14:textId="77777777" w:rsidR="0047102A" w:rsidRDefault="0047102A" w:rsidP="0047102A">
      <w:pPr>
        <w:spacing w:after="240" w:line="276" w:lineRule="auto"/>
        <w:jc w:val="both"/>
        <w:rPr>
          <w:rFonts w:ascii="Century Gothic" w:hAnsi="Century Gothic"/>
        </w:rPr>
      </w:pPr>
      <w:r>
        <w:rPr>
          <w:rFonts w:ascii="Century Gothic" w:hAnsi="Century Gothic"/>
        </w:rPr>
        <w:lastRenderedPageBreak/>
        <w:t>Por lo que es importante como se mencionó en el capítulo anterior contar con el proceso documentado sobre el estudio topográficos y de viabilidad del proyectos y como se debe actuar en caso de que no sean factibles.</w:t>
      </w:r>
    </w:p>
    <w:p w14:paraId="127DACD4" w14:textId="77777777" w:rsidR="007F44F9" w:rsidRDefault="007F44F9" w:rsidP="0047102A">
      <w:pPr>
        <w:spacing w:after="240" w:line="276" w:lineRule="auto"/>
        <w:jc w:val="both"/>
        <w:rPr>
          <w:rFonts w:ascii="Century Gothic" w:hAnsi="Century Gothic"/>
        </w:rPr>
      </w:pPr>
      <w:r>
        <w:rPr>
          <w:rFonts w:ascii="Century Gothic" w:hAnsi="Century Gothic"/>
        </w:rPr>
        <w:t>Finalmente se analizó la evidencia para determinar el proceso de ejecución de la obra, encontrándose lo siguiente:</w:t>
      </w:r>
    </w:p>
    <w:p w14:paraId="7A5C020D" w14:textId="77777777" w:rsidR="007F44F9" w:rsidRPr="00F835FA" w:rsidRDefault="001176E0" w:rsidP="00F835FA">
      <w:pPr>
        <w:spacing w:after="240" w:line="276" w:lineRule="auto"/>
        <w:jc w:val="center"/>
        <w:rPr>
          <w:rFonts w:ascii="Century Gothic" w:hAnsi="Century Gothic"/>
          <w:b/>
          <w:sz w:val="22"/>
          <w:szCs w:val="22"/>
        </w:rPr>
      </w:pPr>
      <w:r>
        <w:rPr>
          <w:rFonts w:ascii="Century Gothic" w:hAnsi="Century Gothic"/>
          <w:b/>
          <w:sz w:val="22"/>
          <w:szCs w:val="22"/>
        </w:rPr>
        <w:t>Figura 5.3</w:t>
      </w:r>
      <w:r w:rsidR="00F835FA" w:rsidRPr="00F835FA">
        <w:rPr>
          <w:rFonts w:ascii="Century Gothic" w:hAnsi="Century Gothic"/>
          <w:b/>
          <w:sz w:val="22"/>
          <w:szCs w:val="22"/>
        </w:rPr>
        <w:t>. Proceso ejercicio: Plan de calidad de la contratación - FISE SEIDUR 2016.</w:t>
      </w:r>
    </w:p>
    <w:p w14:paraId="36C7A00A" w14:textId="77777777" w:rsidR="00F835FA" w:rsidRDefault="00F835FA" w:rsidP="00F835FA">
      <w:pPr>
        <w:spacing w:after="120" w:line="276" w:lineRule="auto"/>
        <w:jc w:val="both"/>
        <w:rPr>
          <w:rFonts w:ascii="Century Gothic" w:hAnsi="Century Gothic"/>
        </w:rPr>
      </w:pPr>
      <w:r>
        <w:rPr>
          <w:rFonts w:ascii="Century Gothic" w:hAnsi="Century Gothic"/>
          <w:noProof/>
          <w:lang w:val="es-MX" w:eastAsia="es-MX"/>
        </w:rPr>
        <w:drawing>
          <wp:inline distT="0" distB="0" distL="0" distR="0" wp14:anchorId="0501C0D7" wp14:editId="2F4FA92F">
            <wp:extent cx="6058368" cy="2456121"/>
            <wp:effectExtent l="0" t="0" r="0" b="1905"/>
            <wp:docPr id="3090" name="Imagen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6248" cy="2459316"/>
                    </a:xfrm>
                    <a:prstGeom prst="rect">
                      <a:avLst/>
                    </a:prstGeom>
                    <a:noFill/>
                  </pic:spPr>
                </pic:pic>
              </a:graphicData>
            </a:graphic>
          </wp:inline>
        </w:drawing>
      </w:r>
    </w:p>
    <w:p w14:paraId="23536817" w14:textId="77777777" w:rsidR="00F835FA" w:rsidRPr="0058467B" w:rsidRDefault="00F835FA" w:rsidP="00F835FA">
      <w:pPr>
        <w:spacing w:after="240" w:line="276" w:lineRule="auto"/>
        <w:jc w:val="center"/>
        <w:rPr>
          <w:rFonts w:cstheme="minorHAnsi"/>
          <w:sz w:val="20"/>
        </w:rPr>
      </w:pPr>
      <w:r w:rsidRPr="0058467B">
        <w:rPr>
          <w:rFonts w:cstheme="minorHAnsi"/>
          <w:sz w:val="20"/>
        </w:rPr>
        <w:t>Fuente: Elaborado por TECSO con base al expediente de las obras suministrado por la SEIDUR</w:t>
      </w:r>
    </w:p>
    <w:p w14:paraId="51CD06A2" w14:textId="77777777" w:rsidR="00F835FA" w:rsidRDefault="00F40C41" w:rsidP="0047102A">
      <w:pPr>
        <w:spacing w:after="240" w:line="276" w:lineRule="auto"/>
        <w:jc w:val="both"/>
        <w:rPr>
          <w:rFonts w:ascii="Century Gothic" w:hAnsi="Century Gothic"/>
        </w:rPr>
      </w:pPr>
      <w:r>
        <w:rPr>
          <w:rFonts w:ascii="Century Gothic" w:hAnsi="Century Gothic"/>
        </w:rPr>
        <w:t>En primer lugar se revisó la información sobre el proceso de contratación, donde se evidenció el procedimiento para la licitación que en este caso fueron por convocatoria pública; de igual forma se observó información del comparativo de las distintas propuestas con lo cual se estableció la empresa ganadora y así la emisión del fallo.</w:t>
      </w:r>
    </w:p>
    <w:p w14:paraId="41844B3E" w14:textId="77777777" w:rsidR="00E43A3E" w:rsidRDefault="00F40C41" w:rsidP="0047102A">
      <w:pPr>
        <w:spacing w:after="240" w:line="276" w:lineRule="auto"/>
        <w:jc w:val="both"/>
        <w:rPr>
          <w:rFonts w:ascii="Century Gothic" w:hAnsi="Century Gothic"/>
        </w:rPr>
      </w:pPr>
      <w:r>
        <w:rPr>
          <w:rFonts w:ascii="Century Gothic" w:hAnsi="Century Gothic"/>
        </w:rPr>
        <w:t>En cuanto a la ejecución de la obra se suministró evidencia de las distintas actas llevadas a cabo desde el inicio de la obra hasta su finiquito, así como de la bitácora electrónica de obra donde se observó que se registraba cada una de las actividades llevadas en cabo para el desarrollo de la obra.</w:t>
      </w:r>
    </w:p>
    <w:p w14:paraId="0B4773ED" w14:textId="77777777" w:rsidR="00CD0C8F" w:rsidRDefault="00CD0C8F" w:rsidP="0047102A">
      <w:pPr>
        <w:spacing w:after="240" w:line="276" w:lineRule="auto"/>
        <w:jc w:val="both"/>
        <w:rPr>
          <w:rFonts w:ascii="Century Gothic" w:hAnsi="Century Gothic"/>
        </w:rPr>
      </w:pPr>
    </w:p>
    <w:p w14:paraId="4F36FBE0" w14:textId="77777777" w:rsidR="00CD0C8F" w:rsidRDefault="00CD0C8F" w:rsidP="0047102A">
      <w:pPr>
        <w:spacing w:after="240" w:line="276" w:lineRule="auto"/>
        <w:jc w:val="both"/>
        <w:rPr>
          <w:rFonts w:ascii="Century Gothic" w:hAnsi="Century Gothic"/>
        </w:rPr>
      </w:pPr>
    </w:p>
    <w:p w14:paraId="0B69A3BC" w14:textId="77777777" w:rsidR="00CD0C8F" w:rsidRDefault="00CD0C8F" w:rsidP="0047102A">
      <w:pPr>
        <w:spacing w:after="240" w:line="276" w:lineRule="auto"/>
        <w:jc w:val="both"/>
        <w:rPr>
          <w:rFonts w:ascii="Century Gothic" w:hAnsi="Century Gothic"/>
        </w:rPr>
      </w:pPr>
    </w:p>
    <w:p w14:paraId="6EBB113A" w14:textId="77777777" w:rsidR="00CD0C8F" w:rsidRDefault="00CD0C8F" w:rsidP="0047102A">
      <w:pPr>
        <w:spacing w:after="240" w:line="276" w:lineRule="auto"/>
        <w:jc w:val="both"/>
        <w:rPr>
          <w:rFonts w:ascii="Century Gothic" w:hAnsi="Century Gothic"/>
        </w:rPr>
      </w:pPr>
    </w:p>
    <w:p w14:paraId="1990C52D" w14:textId="77777777" w:rsidR="00E43A3E" w:rsidRPr="00F835FA" w:rsidRDefault="001176E0" w:rsidP="00E43A3E">
      <w:pPr>
        <w:spacing w:after="240" w:line="276" w:lineRule="auto"/>
        <w:jc w:val="center"/>
        <w:rPr>
          <w:rFonts w:ascii="Century Gothic" w:hAnsi="Century Gothic"/>
          <w:b/>
          <w:sz w:val="22"/>
          <w:szCs w:val="22"/>
        </w:rPr>
      </w:pPr>
      <w:r>
        <w:rPr>
          <w:rFonts w:ascii="Century Gothic" w:hAnsi="Century Gothic"/>
          <w:b/>
          <w:sz w:val="22"/>
          <w:szCs w:val="22"/>
        </w:rPr>
        <w:lastRenderedPageBreak/>
        <w:t>Figura 5.4</w:t>
      </w:r>
      <w:r w:rsidR="00E43A3E" w:rsidRPr="00F835FA">
        <w:rPr>
          <w:rFonts w:ascii="Century Gothic" w:hAnsi="Century Gothic"/>
          <w:b/>
          <w:sz w:val="22"/>
          <w:szCs w:val="22"/>
        </w:rPr>
        <w:t xml:space="preserve">. Proceso ejercicio: </w:t>
      </w:r>
      <w:r w:rsidR="00E43A3E" w:rsidRPr="00E43A3E">
        <w:rPr>
          <w:rFonts w:ascii="Century Gothic" w:hAnsi="Century Gothic"/>
          <w:b/>
          <w:sz w:val="22"/>
          <w:szCs w:val="22"/>
        </w:rPr>
        <w:t>Procedimiento de Ejecución de obra contratada</w:t>
      </w:r>
      <w:r w:rsidR="00E43A3E">
        <w:rPr>
          <w:rFonts w:ascii="Century Gothic" w:hAnsi="Century Gothic"/>
          <w:b/>
          <w:sz w:val="22"/>
          <w:szCs w:val="22"/>
        </w:rPr>
        <w:t xml:space="preserve"> </w:t>
      </w:r>
      <w:r w:rsidR="00E43A3E" w:rsidRPr="00F835FA">
        <w:rPr>
          <w:rFonts w:ascii="Century Gothic" w:hAnsi="Century Gothic"/>
          <w:b/>
          <w:sz w:val="22"/>
          <w:szCs w:val="22"/>
        </w:rPr>
        <w:t>- FISE SEIDUR 2016.</w:t>
      </w:r>
    </w:p>
    <w:p w14:paraId="61E9006D" w14:textId="77777777" w:rsidR="00E43A3E" w:rsidRDefault="007F23DE" w:rsidP="00E43A3E">
      <w:pPr>
        <w:spacing w:after="120" w:line="276" w:lineRule="auto"/>
        <w:jc w:val="both"/>
        <w:rPr>
          <w:rFonts w:ascii="Century Gothic" w:hAnsi="Century Gothic"/>
        </w:rPr>
      </w:pPr>
      <w:r>
        <w:rPr>
          <w:rFonts w:ascii="Century Gothic" w:hAnsi="Century Gothic"/>
          <w:noProof/>
          <w:lang w:val="es-MX" w:eastAsia="es-MX"/>
        </w:rPr>
        <w:drawing>
          <wp:inline distT="0" distB="0" distL="0" distR="0" wp14:anchorId="1E1A48F1" wp14:editId="716D095C">
            <wp:extent cx="6065097" cy="3551274"/>
            <wp:effectExtent l="0" t="0" r="0" b="0"/>
            <wp:docPr id="3117" name="Imagen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9725" cy="3553984"/>
                    </a:xfrm>
                    <a:prstGeom prst="rect">
                      <a:avLst/>
                    </a:prstGeom>
                    <a:noFill/>
                  </pic:spPr>
                </pic:pic>
              </a:graphicData>
            </a:graphic>
          </wp:inline>
        </w:drawing>
      </w:r>
    </w:p>
    <w:p w14:paraId="42C22E76" w14:textId="77777777" w:rsidR="00E43A3E" w:rsidRPr="0058467B" w:rsidRDefault="00E43A3E" w:rsidP="00E43A3E">
      <w:pPr>
        <w:spacing w:after="240" w:line="276" w:lineRule="auto"/>
        <w:jc w:val="center"/>
        <w:rPr>
          <w:rFonts w:cstheme="minorHAnsi"/>
          <w:sz w:val="20"/>
        </w:rPr>
      </w:pPr>
      <w:r w:rsidRPr="0058467B">
        <w:rPr>
          <w:rFonts w:cstheme="minorHAnsi"/>
          <w:sz w:val="20"/>
        </w:rPr>
        <w:t>Fuente: Elaborado por TECSO con base al expediente de las obras suministrado por la SEIDUR</w:t>
      </w:r>
    </w:p>
    <w:p w14:paraId="2E7D4F0B" w14:textId="77777777" w:rsidR="00DE1DDE" w:rsidRDefault="00F40C41" w:rsidP="0064226F">
      <w:pPr>
        <w:spacing w:after="240" w:line="276" w:lineRule="auto"/>
        <w:jc w:val="both"/>
        <w:rPr>
          <w:rFonts w:ascii="Century Gothic" w:hAnsi="Century Gothic"/>
        </w:rPr>
      </w:pPr>
      <w:r>
        <w:rPr>
          <w:rFonts w:ascii="Century Gothic" w:hAnsi="Century Gothic"/>
        </w:rPr>
        <w:t xml:space="preserve">En general </w:t>
      </w:r>
      <w:r w:rsidR="0064226F">
        <w:rPr>
          <w:rFonts w:ascii="Century Gothic" w:hAnsi="Century Gothic"/>
        </w:rPr>
        <w:t xml:space="preserve">al revisar el expediente técnico de las obras seleccionadas </w:t>
      </w:r>
      <w:r>
        <w:rPr>
          <w:rFonts w:ascii="Century Gothic" w:hAnsi="Century Gothic"/>
        </w:rPr>
        <w:t xml:space="preserve">se observó </w:t>
      </w:r>
      <w:r w:rsidR="0064226F">
        <w:rPr>
          <w:rFonts w:ascii="Century Gothic" w:hAnsi="Century Gothic"/>
        </w:rPr>
        <w:t>que cuentan con información documental para algunos de los procesos, principalmente el de ejecución de la obra, tal como se detalla en el siguiente cuadro:</w:t>
      </w:r>
    </w:p>
    <w:p w14:paraId="184E1B3C" w14:textId="77777777" w:rsidR="0064226F" w:rsidRDefault="0064226F" w:rsidP="0064226F">
      <w:pPr>
        <w:spacing w:after="240" w:line="276" w:lineRule="auto"/>
        <w:jc w:val="both"/>
        <w:sectPr w:rsidR="0064226F" w:rsidSect="00551863">
          <w:pgSz w:w="12240" w:h="15840"/>
          <w:pgMar w:top="1418" w:right="1469" w:bottom="1418" w:left="1701" w:header="709" w:footer="709" w:gutter="0"/>
          <w:cols w:space="708"/>
          <w:titlePg/>
          <w:docGrid w:linePitch="360"/>
        </w:sectPr>
      </w:pPr>
    </w:p>
    <w:tbl>
      <w:tblPr>
        <w:tblW w:w="5000" w:type="pct"/>
        <w:tblCellMar>
          <w:left w:w="70" w:type="dxa"/>
          <w:right w:w="70" w:type="dxa"/>
        </w:tblCellMar>
        <w:tblLook w:val="04A0" w:firstRow="1" w:lastRow="0" w:firstColumn="1" w:lastColumn="0" w:noHBand="0" w:noVBand="1"/>
      </w:tblPr>
      <w:tblGrid>
        <w:gridCol w:w="1329"/>
        <w:gridCol w:w="1378"/>
        <w:gridCol w:w="1412"/>
        <w:gridCol w:w="1379"/>
        <w:gridCol w:w="1616"/>
        <w:gridCol w:w="1985"/>
        <w:gridCol w:w="1647"/>
        <w:gridCol w:w="1124"/>
        <w:gridCol w:w="1124"/>
      </w:tblGrid>
      <w:tr w:rsidR="005D3E41" w:rsidRPr="005D3E41" w14:paraId="11C82957" w14:textId="77777777" w:rsidTr="005D3E41">
        <w:trPr>
          <w:trHeight w:val="407"/>
        </w:trPr>
        <w:tc>
          <w:tcPr>
            <w:tcW w:w="5000" w:type="pct"/>
            <w:gridSpan w:val="9"/>
            <w:tcBorders>
              <w:top w:val="single" w:sz="4" w:space="0" w:color="auto"/>
              <w:left w:val="single" w:sz="4" w:space="0" w:color="auto"/>
              <w:bottom w:val="single" w:sz="4" w:space="0" w:color="auto"/>
              <w:right w:val="single" w:sz="4" w:space="0" w:color="000000"/>
            </w:tcBorders>
            <w:shd w:val="clear" w:color="000000" w:fill="0E4E7A"/>
            <w:noWrap/>
            <w:vAlign w:val="center"/>
            <w:hideMark/>
          </w:tcPr>
          <w:p w14:paraId="07779628" w14:textId="77777777" w:rsidR="005D3E41" w:rsidRPr="005D3E41" w:rsidRDefault="001176E0" w:rsidP="005D3E41">
            <w:pPr>
              <w:jc w:val="center"/>
              <w:rPr>
                <w:rFonts w:ascii="Calibri" w:eastAsia="Times New Roman" w:hAnsi="Calibri" w:cs="Calibri"/>
                <w:b/>
                <w:bCs/>
                <w:color w:val="FFFFFF"/>
                <w:sz w:val="22"/>
                <w:lang w:val="es-MX" w:eastAsia="es-MX"/>
              </w:rPr>
            </w:pPr>
            <w:r>
              <w:rPr>
                <w:rFonts w:ascii="Calibri" w:eastAsia="Times New Roman" w:hAnsi="Calibri" w:cs="Calibri"/>
                <w:b/>
                <w:bCs/>
                <w:color w:val="FFFFFF"/>
                <w:lang w:val="es-MX" w:eastAsia="es-MX"/>
              </w:rPr>
              <w:lastRenderedPageBreak/>
              <w:t>Cuadro 5.2</w:t>
            </w:r>
            <w:r w:rsidR="005D3E41" w:rsidRPr="005D3E41">
              <w:rPr>
                <w:rFonts w:ascii="Calibri" w:eastAsia="Times New Roman" w:hAnsi="Calibri" w:cs="Calibri"/>
                <w:b/>
                <w:bCs/>
                <w:color w:val="FFFFFF"/>
                <w:lang w:val="es-MX" w:eastAsia="es-MX"/>
              </w:rPr>
              <w:t>. Verificación proceso obras seleccionadas</w:t>
            </w:r>
          </w:p>
        </w:tc>
      </w:tr>
      <w:tr w:rsidR="005D3E41" w:rsidRPr="005D3E41" w14:paraId="50B99D6A" w14:textId="77777777" w:rsidTr="005D3E41">
        <w:trPr>
          <w:trHeight w:val="630"/>
        </w:trPr>
        <w:tc>
          <w:tcPr>
            <w:tcW w:w="526" w:type="pct"/>
            <w:tcBorders>
              <w:top w:val="nil"/>
              <w:left w:val="single" w:sz="4" w:space="0" w:color="auto"/>
              <w:bottom w:val="single" w:sz="4" w:space="0" w:color="auto"/>
              <w:right w:val="single" w:sz="4" w:space="0" w:color="auto"/>
            </w:tcBorders>
            <w:shd w:val="clear" w:color="000000" w:fill="D9D9D9"/>
            <w:noWrap/>
            <w:vAlign w:val="center"/>
            <w:hideMark/>
          </w:tcPr>
          <w:p w14:paraId="46E6B9E9" w14:textId="77777777" w:rsidR="005D3E41" w:rsidRPr="005D3E41" w:rsidRDefault="005D3E41" w:rsidP="005D3E41">
            <w:pPr>
              <w:jc w:val="center"/>
              <w:rPr>
                <w:rFonts w:ascii="Calibri" w:eastAsia="Times New Roman" w:hAnsi="Calibri" w:cs="Calibri"/>
                <w:b/>
                <w:bCs/>
                <w:sz w:val="22"/>
                <w:lang w:val="es-MX" w:eastAsia="es-MX"/>
              </w:rPr>
            </w:pPr>
            <w:r w:rsidRPr="005D3E41">
              <w:rPr>
                <w:rFonts w:ascii="Calibri" w:eastAsia="Times New Roman" w:hAnsi="Calibri" w:cs="Calibri"/>
                <w:b/>
                <w:bCs/>
                <w:sz w:val="22"/>
                <w:lang w:val="es-MX" w:eastAsia="es-MX"/>
              </w:rPr>
              <w:t>Proceso</w:t>
            </w:r>
          </w:p>
        </w:tc>
        <w:tc>
          <w:tcPr>
            <w:tcW w:w="545" w:type="pct"/>
            <w:tcBorders>
              <w:top w:val="nil"/>
              <w:left w:val="nil"/>
              <w:bottom w:val="single" w:sz="4" w:space="0" w:color="auto"/>
              <w:right w:val="single" w:sz="4" w:space="0" w:color="auto"/>
            </w:tcBorders>
            <w:shd w:val="clear" w:color="000000" w:fill="D9D9D9"/>
            <w:vAlign w:val="center"/>
            <w:hideMark/>
          </w:tcPr>
          <w:p w14:paraId="1C76E82D" w14:textId="77777777" w:rsidR="005D3E41" w:rsidRPr="005D3E41" w:rsidRDefault="005D3E41" w:rsidP="005D3E41">
            <w:pPr>
              <w:jc w:val="center"/>
              <w:rPr>
                <w:rFonts w:ascii="Calibri" w:eastAsia="Times New Roman" w:hAnsi="Calibri" w:cs="Calibri"/>
                <w:b/>
                <w:bCs/>
                <w:sz w:val="22"/>
                <w:lang w:val="es-MX" w:eastAsia="es-MX"/>
              </w:rPr>
            </w:pPr>
            <w:r w:rsidRPr="005D3E41">
              <w:rPr>
                <w:rFonts w:ascii="Calibri" w:eastAsia="Times New Roman" w:hAnsi="Calibri" w:cs="Calibri"/>
                <w:b/>
                <w:bCs/>
                <w:sz w:val="22"/>
                <w:lang w:val="es-MX" w:eastAsia="es-MX"/>
              </w:rPr>
              <w:t>Asignación del Presupuesto</w:t>
            </w:r>
          </w:p>
        </w:tc>
        <w:tc>
          <w:tcPr>
            <w:tcW w:w="1059"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18B5D999" w14:textId="77777777" w:rsidR="005D3E41" w:rsidRPr="005D3E41" w:rsidRDefault="005D3E41" w:rsidP="005D3E41">
            <w:pPr>
              <w:jc w:val="center"/>
              <w:rPr>
                <w:rFonts w:ascii="Calibri" w:eastAsia="Times New Roman" w:hAnsi="Calibri" w:cs="Calibri"/>
                <w:b/>
                <w:bCs/>
                <w:sz w:val="22"/>
                <w:lang w:val="es-MX" w:eastAsia="es-MX"/>
              </w:rPr>
            </w:pPr>
            <w:r w:rsidRPr="005D3E41">
              <w:rPr>
                <w:rFonts w:ascii="Calibri" w:eastAsia="Times New Roman" w:hAnsi="Calibri" w:cs="Calibri"/>
                <w:b/>
                <w:bCs/>
                <w:sz w:val="22"/>
                <w:lang w:val="es-MX" w:eastAsia="es-MX"/>
              </w:rPr>
              <w:t>Planeación</w:t>
            </w:r>
          </w:p>
        </w:tc>
        <w:tc>
          <w:tcPr>
            <w:tcW w:w="1414"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13696E7E" w14:textId="77777777" w:rsidR="005D3E41" w:rsidRPr="005D3E41" w:rsidRDefault="005D3E41" w:rsidP="005D3E41">
            <w:pPr>
              <w:jc w:val="center"/>
              <w:rPr>
                <w:rFonts w:ascii="Calibri" w:eastAsia="Times New Roman" w:hAnsi="Calibri" w:cs="Calibri"/>
                <w:b/>
                <w:bCs/>
                <w:sz w:val="22"/>
                <w:lang w:val="es-MX" w:eastAsia="es-MX"/>
              </w:rPr>
            </w:pPr>
            <w:r w:rsidRPr="005D3E41">
              <w:rPr>
                <w:rFonts w:ascii="Calibri" w:eastAsia="Times New Roman" w:hAnsi="Calibri" w:cs="Calibri"/>
                <w:b/>
                <w:bCs/>
                <w:sz w:val="22"/>
                <w:lang w:val="es-MX" w:eastAsia="es-MX"/>
              </w:rPr>
              <w:t>Ejercicio</w:t>
            </w:r>
          </w:p>
        </w:tc>
        <w:tc>
          <w:tcPr>
            <w:tcW w:w="648" w:type="pct"/>
            <w:tcBorders>
              <w:top w:val="nil"/>
              <w:left w:val="nil"/>
              <w:bottom w:val="single" w:sz="4" w:space="0" w:color="auto"/>
              <w:right w:val="single" w:sz="4" w:space="0" w:color="auto"/>
            </w:tcBorders>
            <w:shd w:val="clear" w:color="000000" w:fill="D9D9D9"/>
            <w:vAlign w:val="center"/>
            <w:hideMark/>
          </w:tcPr>
          <w:p w14:paraId="4EC09C2F" w14:textId="77777777" w:rsidR="005D3E41" w:rsidRPr="005D3E41" w:rsidRDefault="005D3E41" w:rsidP="005D3E41">
            <w:pPr>
              <w:jc w:val="center"/>
              <w:rPr>
                <w:rFonts w:ascii="Calibri" w:eastAsia="Times New Roman" w:hAnsi="Calibri" w:cs="Calibri"/>
                <w:b/>
                <w:bCs/>
                <w:sz w:val="22"/>
                <w:lang w:val="es-MX" w:eastAsia="es-MX"/>
              </w:rPr>
            </w:pPr>
            <w:r w:rsidRPr="005D3E41">
              <w:rPr>
                <w:rFonts w:ascii="Calibri" w:eastAsia="Times New Roman" w:hAnsi="Calibri" w:cs="Calibri"/>
                <w:b/>
                <w:bCs/>
                <w:sz w:val="22"/>
                <w:lang w:val="es-MX" w:eastAsia="es-MX"/>
              </w:rPr>
              <w:t>Seguimiento y Control</w:t>
            </w:r>
          </w:p>
        </w:tc>
        <w:tc>
          <w:tcPr>
            <w:tcW w:w="808" w:type="pct"/>
            <w:gridSpan w:val="2"/>
            <w:tcBorders>
              <w:top w:val="single" w:sz="4" w:space="0" w:color="auto"/>
              <w:left w:val="nil"/>
              <w:bottom w:val="single" w:sz="4" w:space="0" w:color="auto"/>
              <w:right w:val="single" w:sz="4" w:space="0" w:color="auto"/>
            </w:tcBorders>
            <w:shd w:val="clear" w:color="000000" w:fill="D9D9D9"/>
            <w:vAlign w:val="center"/>
            <w:hideMark/>
          </w:tcPr>
          <w:p w14:paraId="4E348AB2" w14:textId="77777777" w:rsidR="005D3E41" w:rsidRPr="005D3E41" w:rsidRDefault="005D3E41" w:rsidP="005D3E41">
            <w:pPr>
              <w:jc w:val="center"/>
              <w:rPr>
                <w:rFonts w:ascii="Calibri" w:eastAsia="Times New Roman" w:hAnsi="Calibri" w:cs="Calibri"/>
                <w:b/>
                <w:bCs/>
                <w:sz w:val="22"/>
                <w:lang w:val="es-MX" w:eastAsia="es-MX"/>
              </w:rPr>
            </w:pPr>
            <w:r w:rsidRPr="005D3E41">
              <w:rPr>
                <w:rFonts w:ascii="Calibri" w:eastAsia="Times New Roman" w:hAnsi="Calibri" w:cs="Calibri"/>
                <w:b/>
                <w:bCs/>
                <w:sz w:val="22"/>
                <w:lang w:val="es-MX" w:eastAsia="es-MX"/>
              </w:rPr>
              <w:t>Rendición de Cuentas y Evaluación</w:t>
            </w:r>
          </w:p>
        </w:tc>
      </w:tr>
      <w:tr w:rsidR="005D3E41" w:rsidRPr="005D3E41" w14:paraId="18B412C3" w14:textId="77777777" w:rsidTr="005D3E41">
        <w:trPr>
          <w:trHeight w:val="1005"/>
        </w:trPr>
        <w:tc>
          <w:tcPr>
            <w:tcW w:w="526" w:type="pct"/>
            <w:tcBorders>
              <w:top w:val="nil"/>
              <w:left w:val="single" w:sz="4" w:space="0" w:color="auto"/>
              <w:bottom w:val="single" w:sz="4" w:space="0" w:color="auto"/>
              <w:right w:val="single" w:sz="4" w:space="0" w:color="auto"/>
            </w:tcBorders>
            <w:shd w:val="clear" w:color="000000" w:fill="B1A0C7"/>
            <w:noWrap/>
            <w:vAlign w:val="center"/>
            <w:hideMark/>
          </w:tcPr>
          <w:p w14:paraId="7BD8C1AC" w14:textId="77777777" w:rsidR="005D3E41" w:rsidRPr="005D3E41" w:rsidRDefault="005D3E41" w:rsidP="005D3E41">
            <w:pPr>
              <w:jc w:val="center"/>
              <w:rPr>
                <w:rFonts w:ascii="Calibri" w:eastAsia="Times New Roman" w:hAnsi="Calibri" w:cs="Calibri"/>
                <w:b/>
                <w:bCs/>
                <w:color w:val="FFFFFF"/>
                <w:sz w:val="22"/>
                <w:lang w:val="es-MX" w:eastAsia="es-MX"/>
              </w:rPr>
            </w:pPr>
            <w:r w:rsidRPr="005D3E41">
              <w:rPr>
                <w:rFonts w:ascii="Calibri" w:eastAsia="Times New Roman" w:hAnsi="Calibri" w:cs="Calibri"/>
                <w:b/>
                <w:bCs/>
                <w:color w:val="FFFFFF"/>
                <w:sz w:val="22"/>
                <w:lang w:val="es-MX" w:eastAsia="es-MX"/>
              </w:rPr>
              <w:t>Subproceso</w:t>
            </w:r>
          </w:p>
        </w:tc>
        <w:tc>
          <w:tcPr>
            <w:tcW w:w="545" w:type="pct"/>
            <w:tcBorders>
              <w:top w:val="nil"/>
              <w:left w:val="nil"/>
              <w:bottom w:val="single" w:sz="4" w:space="0" w:color="auto"/>
              <w:right w:val="single" w:sz="4" w:space="0" w:color="auto"/>
            </w:tcBorders>
            <w:shd w:val="clear" w:color="000000" w:fill="B1A0C7"/>
            <w:vAlign w:val="center"/>
            <w:hideMark/>
          </w:tcPr>
          <w:p w14:paraId="458ADF57" w14:textId="77777777" w:rsidR="005D3E41" w:rsidRPr="005D3E41" w:rsidRDefault="005D3E41" w:rsidP="005D3E41">
            <w:pPr>
              <w:jc w:val="center"/>
              <w:rPr>
                <w:rFonts w:ascii="Calibri" w:eastAsia="Times New Roman" w:hAnsi="Calibri" w:cs="Calibri"/>
                <w:b/>
                <w:bCs/>
                <w:color w:val="FFFFFF"/>
                <w:sz w:val="22"/>
                <w:lang w:val="es-MX" w:eastAsia="es-MX"/>
              </w:rPr>
            </w:pPr>
            <w:r w:rsidRPr="005D3E41">
              <w:rPr>
                <w:rFonts w:ascii="Calibri" w:eastAsia="Times New Roman" w:hAnsi="Calibri" w:cs="Calibri"/>
                <w:b/>
                <w:bCs/>
                <w:color w:val="FFFFFF"/>
                <w:sz w:val="22"/>
                <w:lang w:val="es-MX" w:eastAsia="es-MX"/>
              </w:rPr>
              <w:t>Asignación</w:t>
            </w:r>
          </w:p>
        </w:tc>
        <w:tc>
          <w:tcPr>
            <w:tcW w:w="514" w:type="pct"/>
            <w:tcBorders>
              <w:top w:val="nil"/>
              <w:left w:val="nil"/>
              <w:bottom w:val="single" w:sz="4" w:space="0" w:color="auto"/>
              <w:right w:val="single" w:sz="4" w:space="0" w:color="auto"/>
            </w:tcBorders>
            <w:shd w:val="clear" w:color="000000" w:fill="B1A0C7"/>
            <w:vAlign w:val="center"/>
            <w:hideMark/>
          </w:tcPr>
          <w:p w14:paraId="7BA6F02F" w14:textId="77777777" w:rsidR="005D3E41" w:rsidRPr="005D3E41" w:rsidRDefault="005D3E41" w:rsidP="005D3E41">
            <w:pPr>
              <w:jc w:val="center"/>
              <w:rPr>
                <w:rFonts w:ascii="Calibri" w:eastAsia="Times New Roman" w:hAnsi="Calibri" w:cs="Calibri"/>
                <w:b/>
                <w:bCs/>
                <w:color w:val="FFFFFF"/>
                <w:sz w:val="22"/>
                <w:lang w:val="es-MX" w:eastAsia="es-MX"/>
              </w:rPr>
            </w:pPr>
            <w:r w:rsidRPr="005D3E41">
              <w:rPr>
                <w:rFonts w:ascii="Calibri" w:eastAsia="Times New Roman" w:hAnsi="Calibri" w:cs="Calibri"/>
                <w:b/>
                <w:bCs/>
                <w:color w:val="FFFFFF"/>
                <w:sz w:val="22"/>
                <w:lang w:val="es-MX" w:eastAsia="es-MX"/>
              </w:rPr>
              <w:t>Decisión de las obras</w:t>
            </w:r>
          </w:p>
        </w:tc>
        <w:tc>
          <w:tcPr>
            <w:tcW w:w="545" w:type="pct"/>
            <w:tcBorders>
              <w:top w:val="nil"/>
              <w:left w:val="nil"/>
              <w:bottom w:val="single" w:sz="4" w:space="0" w:color="auto"/>
              <w:right w:val="single" w:sz="4" w:space="0" w:color="auto"/>
            </w:tcBorders>
            <w:shd w:val="clear" w:color="000000" w:fill="B1A0C7"/>
            <w:vAlign w:val="center"/>
            <w:hideMark/>
          </w:tcPr>
          <w:p w14:paraId="4E592446" w14:textId="77777777" w:rsidR="005D3E41" w:rsidRPr="005D3E41" w:rsidRDefault="005D3E41" w:rsidP="005D3E41">
            <w:pPr>
              <w:jc w:val="center"/>
              <w:rPr>
                <w:rFonts w:ascii="Calibri" w:eastAsia="Times New Roman" w:hAnsi="Calibri" w:cs="Calibri"/>
                <w:b/>
                <w:bCs/>
                <w:color w:val="FFFFFF"/>
                <w:sz w:val="22"/>
                <w:lang w:val="es-MX" w:eastAsia="es-MX"/>
              </w:rPr>
            </w:pPr>
            <w:r w:rsidRPr="005D3E41">
              <w:rPr>
                <w:rFonts w:ascii="Calibri" w:eastAsia="Times New Roman" w:hAnsi="Calibri" w:cs="Calibri"/>
                <w:b/>
                <w:bCs/>
                <w:color w:val="FFFFFF"/>
                <w:sz w:val="22"/>
                <w:lang w:val="es-MX" w:eastAsia="es-MX"/>
              </w:rPr>
              <w:t>Calidad para proyectos ejecutivos</w:t>
            </w:r>
          </w:p>
        </w:tc>
        <w:tc>
          <w:tcPr>
            <w:tcW w:w="636" w:type="pct"/>
            <w:tcBorders>
              <w:top w:val="nil"/>
              <w:left w:val="nil"/>
              <w:bottom w:val="single" w:sz="4" w:space="0" w:color="auto"/>
              <w:right w:val="single" w:sz="4" w:space="0" w:color="auto"/>
            </w:tcBorders>
            <w:shd w:val="clear" w:color="000000" w:fill="B1A0C7"/>
            <w:vAlign w:val="center"/>
            <w:hideMark/>
          </w:tcPr>
          <w:p w14:paraId="4CD16C2B" w14:textId="77777777" w:rsidR="005D3E41" w:rsidRPr="005D3E41" w:rsidRDefault="005D3E41" w:rsidP="005D3E41">
            <w:pPr>
              <w:jc w:val="center"/>
              <w:rPr>
                <w:rFonts w:ascii="Calibri" w:eastAsia="Times New Roman" w:hAnsi="Calibri" w:cs="Calibri"/>
                <w:b/>
                <w:bCs/>
                <w:color w:val="FFFFFF"/>
                <w:sz w:val="22"/>
                <w:lang w:val="es-MX" w:eastAsia="es-MX"/>
              </w:rPr>
            </w:pPr>
            <w:r w:rsidRPr="005D3E41">
              <w:rPr>
                <w:rFonts w:ascii="Calibri" w:eastAsia="Times New Roman" w:hAnsi="Calibri" w:cs="Calibri"/>
                <w:b/>
                <w:bCs/>
                <w:color w:val="FFFFFF"/>
                <w:sz w:val="22"/>
                <w:lang w:val="es-MX" w:eastAsia="es-MX"/>
              </w:rPr>
              <w:t>Plan de la Calidad para la Contratación</w:t>
            </w:r>
          </w:p>
        </w:tc>
        <w:tc>
          <w:tcPr>
            <w:tcW w:w="777" w:type="pct"/>
            <w:tcBorders>
              <w:top w:val="nil"/>
              <w:left w:val="nil"/>
              <w:bottom w:val="single" w:sz="4" w:space="0" w:color="auto"/>
              <w:right w:val="single" w:sz="4" w:space="0" w:color="auto"/>
            </w:tcBorders>
            <w:shd w:val="clear" w:color="000000" w:fill="B1A0C7"/>
            <w:vAlign w:val="center"/>
            <w:hideMark/>
          </w:tcPr>
          <w:p w14:paraId="192F8630" w14:textId="77777777" w:rsidR="005D3E41" w:rsidRPr="005D3E41" w:rsidRDefault="005D3E41" w:rsidP="005D3E41">
            <w:pPr>
              <w:jc w:val="center"/>
              <w:rPr>
                <w:rFonts w:ascii="Calibri" w:eastAsia="Times New Roman" w:hAnsi="Calibri" w:cs="Calibri"/>
                <w:b/>
                <w:bCs/>
                <w:color w:val="FFFFFF"/>
                <w:sz w:val="22"/>
                <w:lang w:val="es-MX" w:eastAsia="es-MX"/>
              </w:rPr>
            </w:pPr>
            <w:r w:rsidRPr="005D3E41">
              <w:rPr>
                <w:rFonts w:ascii="Calibri" w:eastAsia="Times New Roman" w:hAnsi="Calibri" w:cs="Calibri"/>
                <w:b/>
                <w:bCs/>
                <w:color w:val="FFFFFF"/>
                <w:sz w:val="22"/>
                <w:lang w:val="es-MX" w:eastAsia="es-MX"/>
              </w:rPr>
              <w:t>Procedimiento de Ejecución de obra contratada</w:t>
            </w:r>
          </w:p>
        </w:tc>
        <w:tc>
          <w:tcPr>
            <w:tcW w:w="648" w:type="pct"/>
            <w:tcBorders>
              <w:top w:val="nil"/>
              <w:left w:val="nil"/>
              <w:bottom w:val="single" w:sz="4" w:space="0" w:color="auto"/>
              <w:right w:val="single" w:sz="4" w:space="0" w:color="auto"/>
            </w:tcBorders>
            <w:shd w:val="clear" w:color="000000" w:fill="B1A0C7"/>
            <w:vAlign w:val="center"/>
            <w:hideMark/>
          </w:tcPr>
          <w:p w14:paraId="4F3BADBD" w14:textId="77777777" w:rsidR="005D3E41" w:rsidRPr="005D3E41" w:rsidRDefault="005D3E41" w:rsidP="005D3E41">
            <w:pPr>
              <w:jc w:val="center"/>
              <w:rPr>
                <w:rFonts w:ascii="Calibri" w:eastAsia="Times New Roman" w:hAnsi="Calibri" w:cs="Calibri"/>
                <w:b/>
                <w:bCs/>
                <w:color w:val="FFFFFF"/>
                <w:sz w:val="22"/>
                <w:lang w:val="es-MX" w:eastAsia="es-MX"/>
              </w:rPr>
            </w:pPr>
            <w:r w:rsidRPr="005D3E41">
              <w:rPr>
                <w:rFonts w:ascii="Calibri" w:eastAsia="Times New Roman" w:hAnsi="Calibri" w:cs="Calibri"/>
                <w:b/>
                <w:bCs/>
                <w:color w:val="FFFFFF"/>
                <w:sz w:val="22"/>
                <w:lang w:val="es-MX" w:eastAsia="es-MX"/>
              </w:rPr>
              <w:t>Plan de Calidad Para la Ejecución de Obra</w:t>
            </w:r>
          </w:p>
        </w:tc>
        <w:tc>
          <w:tcPr>
            <w:tcW w:w="404" w:type="pct"/>
            <w:tcBorders>
              <w:top w:val="nil"/>
              <w:left w:val="nil"/>
              <w:bottom w:val="single" w:sz="4" w:space="0" w:color="auto"/>
              <w:right w:val="single" w:sz="4" w:space="0" w:color="auto"/>
            </w:tcBorders>
            <w:shd w:val="clear" w:color="000000" w:fill="B1A0C7"/>
            <w:vAlign w:val="center"/>
            <w:hideMark/>
          </w:tcPr>
          <w:p w14:paraId="3F84FE62" w14:textId="77777777" w:rsidR="005D3E41" w:rsidRPr="005D3E41" w:rsidRDefault="005D3E41" w:rsidP="005D3E41">
            <w:pPr>
              <w:jc w:val="center"/>
              <w:rPr>
                <w:rFonts w:ascii="Calibri" w:eastAsia="Times New Roman" w:hAnsi="Calibri" w:cs="Calibri"/>
                <w:b/>
                <w:bCs/>
                <w:color w:val="FFFFFF"/>
                <w:sz w:val="22"/>
                <w:lang w:val="es-MX" w:eastAsia="es-MX"/>
              </w:rPr>
            </w:pPr>
            <w:r w:rsidRPr="005D3E41">
              <w:rPr>
                <w:rFonts w:ascii="Calibri" w:eastAsia="Times New Roman" w:hAnsi="Calibri" w:cs="Calibri"/>
                <w:b/>
                <w:bCs/>
                <w:color w:val="FFFFFF"/>
                <w:sz w:val="22"/>
                <w:lang w:val="es-MX" w:eastAsia="es-MX"/>
              </w:rPr>
              <w:t xml:space="preserve">Rendición de Cuentas </w:t>
            </w:r>
          </w:p>
        </w:tc>
        <w:tc>
          <w:tcPr>
            <w:tcW w:w="404" w:type="pct"/>
            <w:tcBorders>
              <w:top w:val="nil"/>
              <w:left w:val="nil"/>
              <w:bottom w:val="single" w:sz="4" w:space="0" w:color="auto"/>
              <w:right w:val="single" w:sz="4" w:space="0" w:color="auto"/>
            </w:tcBorders>
            <w:shd w:val="clear" w:color="000000" w:fill="B1A0C7"/>
            <w:vAlign w:val="center"/>
            <w:hideMark/>
          </w:tcPr>
          <w:p w14:paraId="6C1FBD75" w14:textId="77777777" w:rsidR="005D3E41" w:rsidRPr="005D3E41" w:rsidRDefault="005D3E41" w:rsidP="005D3E41">
            <w:pPr>
              <w:jc w:val="center"/>
              <w:rPr>
                <w:rFonts w:ascii="Calibri" w:eastAsia="Times New Roman" w:hAnsi="Calibri" w:cs="Calibri"/>
                <w:b/>
                <w:bCs/>
                <w:color w:val="FFFFFF"/>
                <w:sz w:val="22"/>
                <w:lang w:val="es-MX" w:eastAsia="es-MX"/>
              </w:rPr>
            </w:pPr>
            <w:r w:rsidRPr="005D3E41">
              <w:rPr>
                <w:rFonts w:ascii="Calibri" w:eastAsia="Times New Roman" w:hAnsi="Calibri" w:cs="Calibri"/>
                <w:b/>
                <w:bCs/>
                <w:color w:val="FFFFFF"/>
                <w:sz w:val="22"/>
                <w:lang w:val="es-MX" w:eastAsia="es-MX"/>
              </w:rPr>
              <w:t>Evaluación</w:t>
            </w:r>
          </w:p>
        </w:tc>
      </w:tr>
      <w:tr w:rsidR="005D3E41" w:rsidRPr="005D3E41" w14:paraId="51B5126D" w14:textId="77777777" w:rsidTr="005D3E41">
        <w:trPr>
          <w:trHeight w:val="4410"/>
        </w:trPr>
        <w:tc>
          <w:tcPr>
            <w:tcW w:w="526" w:type="pct"/>
            <w:tcBorders>
              <w:top w:val="nil"/>
              <w:left w:val="single" w:sz="4" w:space="0" w:color="auto"/>
              <w:bottom w:val="single" w:sz="4" w:space="0" w:color="auto"/>
              <w:right w:val="single" w:sz="4" w:space="0" w:color="auto"/>
            </w:tcBorders>
            <w:shd w:val="clear" w:color="000000" w:fill="B1A0C7"/>
            <w:vAlign w:val="center"/>
            <w:hideMark/>
          </w:tcPr>
          <w:p w14:paraId="4F4093FD" w14:textId="77777777" w:rsidR="005D3E41" w:rsidRPr="005D3E41" w:rsidRDefault="005D3E41" w:rsidP="005D3E41">
            <w:pPr>
              <w:jc w:val="center"/>
              <w:rPr>
                <w:rFonts w:ascii="Calibri" w:eastAsia="Times New Roman" w:hAnsi="Calibri" w:cs="Calibri"/>
                <w:b/>
                <w:bCs/>
                <w:color w:val="FFFFFF"/>
                <w:sz w:val="22"/>
                <w:lang w:val="es-MX" w:eastAsia="es-MX"/>
              </w:rPr>
            </w:pPr>
            <w:r w:rsidRPr="005D3E41">
              <w:rPr>
                <w:rFonts w:ascii="Calibri" w:eastAsia="Times New Roman" w:hAnsi="Calibri" w:cs="Calibri"/>
                <w:b/>
                <w:bCs/>
                <w:color w:val="FFFFFF"/>
                <w:sz w:val="22"/>
                <w:lang w:val="es-MX" w:eastAsia="es-MX"/>
              </w:rPr>
              <w:t>Documentos Presentados</w:t>
            </w:r>
          </w:p>
        </w:tc>
        <w:tc>
          <w:tcPr>
            <w:tcW w:w="545" w:type="pct"/>
            <w:tcBorders>
              <w:top w:val="nil"/>
              <w:left w:val="nil"/>
              <w:bottom w:val="single" w:sz="4" w:space="0" w:color="auto"/>
              <w:right w:val="single" w:sz="4" w:space="0" w:color="auto"/>
            </w:tcBorders>
            <w:shd w:val="clear" w:color="auto" w:fill="auto"/>
            <w:noWrap/>
            <w:vAlign w:val="center"/>
            <w:hideMark/>
          </w:tcPr>
          <w:p w14:paraId="7B7A1FE2" w14:textId="77777777" w:rsidR="005D3E41" w:rsidRPr="005D3E41" w:rsidRDefault="005D3E41" w:rsidP="005D3E41">
            <w:pPr>
              <w:jc w:val="center"/>
              <w:rPr>
                <w:rFonts w:ascii="Calibri" w:eastAsia="Times New Roman" w:hAnsi="Calibri" w:cs="Calibri"/>
                <w:color w:val="000000"/>
                <w:sz w:val="20"/>
                <w:lang w:val="es-MX" w:eastAsia="es-MX"/>
              </w:rPr>
            </w:pPr>
            <w:r w:rsidRPr="005D3E41">
              <w:rPr>
                <w:rFonts w:ascii="Calibri" w:eastAsia="Times New Roman" w:hAnsi="Calibri" w:cs="Calibri"/>
                <w:color w:val="000000"/>
                <w:sz w:val="20"/>
                <w:lang w:val="es-MX" w:eastAsia="es-MX"/>
              </w:rPr>
              <w:t>Convenio CDI</w:t>
            </w:r>
          </w:p>
        </w:tc>
        <w:tc>
          <w:tcPr>
            <w:tcW w:w="514" w:type="pct"/>
            <w:tcBorders>
              <w:top w:val="nil"/>
              <w:left w:val="nil"/>
              <w:bottom w:val="single" w:sz="4" w:space="0" w:color="auto"/>
              <w:right w:val="single" w:sz="4" w:space="0" w:color="auto"/>
            </w:tcBorders>
            <w:shd w:val="clear" w:color="auto" w:fill="auto"/>
            <w:noWrap/>
            <w:vAlign w:val="center"/>
            <w:hideMark/>
          </w:tcPr>
          <w:p w14:paraId="17260C2D" w14:textId="77777777" w:rsidR="005D3E41" w:rsidRPr="005D3E41" w:rsidRDefault="005D3E41" w:rsidP="005D3E41">
            <w:pPr>
              <w:jc w:val="center"/>
              <w:rPr>
                <w:rFonts w:ascii="Calibri" w:eastAsia="Times New Roman" w:hAnsi="Calibri" w:cs="Calibri"/>
                <w:color w:val="000000"/>
                <w:sz w:val="20"/>
                <w:lang w:val="es-MX" w:eastAsia="es-MX"/>
              </w:rPr>
            </w:pPr>
            <w:r w:rsidRPr="005D3E41">
              <w:rPr>
                <w:rFonts w:ascii="Calibri" w:eastAsia="Times New Roman" w:hAnsi="Calibri" w:cs="Calibri"/>
                <w:color w:val="000000"/>
                <w:sz w:val="20"/>
                <w:lang w:val="es-MX" w:eastAsia="es-MX"/>
              </w:rPr>
              <w:t>Sin información</w:t>
            </w:r>
          </w:p>
        </w:tc>
        <w:tc>
          <w:tcPr>
            <w:tcW w:w="545" w:type="pct"/>
            <w:tcBorders>
              <w:top w:val="nil"/>
              <w:left w:val="nil"/>
              <w:bottom w:val="single" w:sz="4" w:space="0" w:color="auto"/>
              <w:right w:val="single" w:sz="4" w:space="0" w:color="auto"/>
            </w:tcBorders>
            <w:shd w:val="clear" w:color="auto" w:fill="auto"/>
            <w:vAlign w:val="center"/>
            <w:hideMark/>
          </w:tcPr>
          <w:p w14:paraId="29ADE38E" w14:textId="77777777" w:rsidR="005D3E41" w:rsidRPr="005D3E41" w:rsidRDefault="005D3E41" w:rsidP="005D3E41">
            <w:pPr>
              <w:jc w:val="center"/>
              <w:rPr>
                <w:rFonts w:ascii="Calibri" w:eastAsia="Times New Roman" w:hAnsi="Calibri" w:cs="Calibri"/>
                <w:color w:val="000000"/>
                <w:sz w:val="20"/>
                <w:lang w:val="es-MX" w:eastAsia="es-MX"/>
              </w:rPr>
            </w:pPr>
            <w:r w:rsidRPr="005D3E41">
              <w:rPr>
                <w:rFonts w:ascii="Calibri" w:eastAsia="Times New Roman" w:hAnsi="Calibri" w:cs="Calibri"/>
                <w:color w:val="000000"/>
                <w:sz w:val="20"/>
                <w:lang w:val="es-MX" w:eastAsia="es-MX"/>
              </w:rPr>
              <w:t>Proyecto ejecutivo, Oficio autorización obra, Informe del presupuesto definitivo</w:t>
            </w:r>
          </w:p>
        </w:tc>
        <w:tc>
          <w:tcPr>
            <w:tcW w:w="636" w:type="pct"/>
            <w:tcBorders>
              <w:top w:val="nil"/>
              <w:left w:val="nil"/>
              <w:bottom w:val="single" w:sz="4" w:space="0" w:color="auto"/>
              <w:right w:val="single" w:sz="4" w:space="0" w:color="auto"/>
            </w:tcBorders>
            <w:shd w:val="clear" w:color="auto" w:fill="auto"/>
            <w:vAlign w:val="center"/>
            <w:hideMark/>
          </w:tcPr>
          <w:p w14:paraId="0EFF83D3" w14:textId="77777777" w:rsidR="005D3E41" w:rsidRPr="005D3E41" w:rsidRDefault="005D3E41" w:rsidP="005D3E41">
            <w:pPr>
              <w:jc w:val="center"/>
              <w:rPr>
                <w:rFonts w:ascii="Calibri" w:eastAsia="Times New Roman" w:hAnsi="Calibri" w:cs="Calibri"/>
                <w:color w:val="000000"/>
                <w:sz w:val="20"/>
                <w:lang w:val="es-MX" w:eastAsia="es-MX"/>
              </w:rPr>
            </w:pPr>
            <w:r w:rsidRPr="005D3E41">
              <w:rPr>
                <w:rFonts w:ascii="Calibri" w:eastAsia="Times New Roman" w:hAnsi="Calibri" w:cs="Calibri"/>
                <w:color w:val="000000"/>
                <w:sz w:val="20"/>
                <w:lang w:val="es-MX" w:eastAsia="es-MX"/>
              </w:rPr>
              <w:t>Proceso Licitación, Documentos Licitación, Contrato</w:t>
            </w:r>
          </w:p>
        </w:tc>
        <w:tc>
          <w:tcPr>
            <w:tcW w:w="777" w:type="pct"/>
            <w:tcBorders>
              <w:top w:val="nil"/>
              <w:left w:val="nil"/>
              <w:bottom w:val="single" w:sz="4" w:space="0" w:color="auto"/>
              <w:right w:val="single" w:sz="4" w:space="0" w:color="auto"/>
            </w:tcBorders>
            <w:shd w:val="clear" w:color="auto" w:fill="auto"/>
            <w:vAlign w:val="center"/>
            <w:hideMark/>
          </w:tcPr>
          <w:p w14:paraId="7B70E2D5" w14:textId="77777777" w:rsidR="005D3E41" w:rsidRPr="005D3E41" w:rsidRDefault="005D3E41" w:rsidP="005D3E41">
            <w:pPr>
              <w:jc w:val="center"/>
              <w:rPr>
                <w:rFonts w:ascii="Calibri" w:eastAsia="Times New Roman" w:hAnsi="Calibri" w:cs="Calibri"/>
                <w:color w:val="000000"/>
                <w:sz w:val="20"/>
                <w:lang w:val="es-MX" w:eastAsia="es-MX"/>
              </w:rPr>
            </w:pPr>
            <w:r w:rsidRPr="005D3E41">
              <w:rPr>
                <w:rFonts w:ascii="Calibri" w:eastAsia="Times New Roman" w:hAnsi="Calibri" w:cs="Calibri"/>
                <w:color w:val="000000"/>
                <w:sz w:val="20"/>
                <w:lang w:val="es-MX" w:eastAsia="es-MX"/>
              </w:rPr>
              <w:t>Asignación residente de obra, Estimaciones, Asignación superintendente obra, Oficio de inicio, Bitácora Electrónica de obra pública, Presupuesto fuera de catálogo, Acta en sitio, Convenio modificatorio, Oficio de termino, Fianza vicios ocultos, Acta de entrega - recepción, Acta de Finiquito de Obra</w:t>
            </w:r>
          </w:p>
        </w:tc>
        <w:tc>
          <w:tcPr>
            <w:tcW w:w="648" w:type="pct"/>
            <w:tcBorders>
              <w:top w:val="nil"/>
              <w:left w:val="nil"/>
              <w:bottom w:val="single" w:sz="4" w:space="0" w:color="auto"/>
              <w:right w:val="single" w:sz="4" w:space="0" w:color="auto"/>
            </w:tcBorders>
            <w:shd w:val="clear" w:color="auto" w:fill="auto"/>
            <w:vAlign w:val="center"/>
            <w:hideMark/>
          </w:tcPr>
          <w:p w14:paraId="34BAF386" w14:textId="77777777" w:rsidR="005D3E41" w:rsidRPr="005D3E41" w:rsidRDefault="005D3E41" w:rsidP="005D3E41">
            <w:pPr>
              <w:jc w:val="center"/>
              <w:rPr>
                <w:rFonts w:ascii="Calibri" w:eastAsia="Times New Roman" w:hAnsi="Calibri" w:cs="Calibri"/>
                <w:color w:val="000000"/>
                <w:sz w:val="20"/>
                <w:lang w:val="es-MX" w:eastAsia="es-MX"/>
              </w:rPr>
            </w:pPr>
            <w:r w:rsidRPr="005D3E41">
              <w:rPr>
                <w:rFonts w:ascii="Calibri" w:eastAsia="Times New Roman" w:hAnsi="Calibri" w:cs="Calibri"/>
                <w:color w:val="000000"/>
                <w:sz w:val="20"/>
                <w:lang w:val="es-MX" w:eastAsia="es-MX"/>
              </w:rPr>
              <w:t>Bitácora Electrónica de obra pública</w:t>
            </w:r>
          </w:p>
        </w:tc>
        <w:tc>
          <w:tcPr>
            <w:tcW w:w="404" w:type="pct"/>
            <w:tcBorders>
              <w:top w:val="nil"/>
              <w:left w:val="nil"/>
              <w:bottom w:val="single" w:sz="4" w:space="0" w:color="auto"/>
              <w:right w:val="single" w:sz="4" w:space="0" w:color="auto"/>
            </w:tcBorders>
            <w:shd w:val="clear" w:color="auto" w:fill="auto"/>
            <w:vAlign w:val="center"/>
            <w:hideMark/>
          </w:tcPr>
          <w:p w14:paraId="031D361F" w14:textId="77777777" w:rsidR="005D3E41" w:rsidRPr="005D3E41" w:rsidRDefault="005D3E41" w:rsidP="005D3E41">
            <w:pPr>
              <w:jc w:val="center"/>
              <w:rPr>
                <w:rFonts w:ascii="Calibri" w:eastAsia="Times New Roman" w:hAnsi="Calibri" w:cs="Calibri"/>
                <w:color w:val="000000"/>
                <w:sz w:val="20"/>
                <w:lang w:val="es-MX" w:eastAsia="es-MX"/>
              </w:rPr>
            </w:pPr>
            <w:r w:rsidRPr="005D3E41">
              <w:rPr>
                <w:rFonts w:ascii="Calibri" w:eastAsia="Times New Roman" w:hAnsi="Calibri" w:cs="Calibri"/>
                <w:color w:val="000000"/>
                <w:sz w:val="20"/>
                <w:lang w:val="es-MX" w:eastAsia="es-MX"/>
              </w:rPr>
              <w:t>Sin información</w:t>
            </w:r>
          </w:p>
        </w:tc>
        <w:tc>
          <w:tcPr>
            <w:tcW w:w="404" w:type="pct"/>
            <w:tcBorders>
              <w:top w:val="nil"/>
              <w:left w:val="nil"/>
              <w:bottom w:val="single" w:sz="4" w:space="0" w:color="auto"/>
              <w:right w:val="single" w:sz="4" w:space="0" w:color="auto"/>
            </w:tcBorders>
            <w:shd w:val="clear" w:color="auto" w:fill="auto"/>
            <w:vAlign w:val="center"/>
            <w:hideMark/>
          </w:tcPr>
          <w:p w14:paraId="12B1FFF5" w14:textId="77777777" w:rsidR="005D3E41" w:rsidRPr="005D3E41" w:rsidRDefault="005D3E41" w:rsidP="005D3E41">
            <w:pPr>
              <w:jc w:val="center"/>
              <w:rPr>
                <w:rFonts w:ascii="Calibri" w:eastAsia="Times New Roman" w:hAnsi="Calibri" w:cs="Calibri"/>
                <w:color w:val="000000"/>
                <w:sz w:val="20"/>
                <w:lang w:val="es-MX" w:eastAsia="es-MX"/>
              </w:rPr>
            </w:pPr>
            <w:r w:rsidRPr="005D3E41">
              <w:rPr>
                <w:rFonts w:ascii="Calibri" w:eastAsia="Times New Roman" w:hAnsi="Calibri" w:cs="Calibri"/>
                <w:color w:val="000000"/>
                <w:sz w:val="20"/>
                <w:lang w:val="es-MX" w:eastAsia="es-MX"/>
              </w:rPr>
              <w:t>Sin información</w:t>
            </w:r>
          </w:p>
        </w:tc>
      </w:tr>
      <w:tr w:rsidR="005D3E41" w:rsidRPr="005D3E41" w14:paraId="0F4EB688" w14:textId="77777777" w:rsidTr="005D3E41">
        <w:trPr>
          <w:trHeight w:val="315"/>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90C7D3" w14:textId="77777777" w:rsidR="005D3E41" w:rsidRPr="005D3E41" w:rsidRDefault="005D3E41" w:rsidP="005D3E41">
            <w:pPr>
              <w:jc w:val="center"/>
              <w:rPr>
                <w:rFonts w:ascii="Calibri" w:eastAsia="Times New Roman" w:hAnsi="Calibri" w:cs="Calibri"/>
                <w:color w:val="000000"/>
                <w:sz w:val="22"/>
                <w:lang w:val="es-MX" w:eastAsia="es-MX"/>
              </w:rPr>
            </w:pPr>
            <w:r w:rsidRPr="005D3E41">
              <w:rPr>
                <w:rFonts w:ascii="Calibri" w:eastAsia="Times New Roman" w:hAnsi="Calibri" w:cs="Calibri"/>
                <w:color w:val="000000"/>
                <w:sz w:val="22"/>
                <w:lang w:val="es-MX" w:eastAsia="es-MX"/>
              </w:rPr>
              <w:t>Fuente: Elaborado por TECSO con base a los expedientes de las obras suministradas por la SEIDUR</w:t>
            </w:r>
          </w:p>
        </w:tc>
      </w:tr>
    </w:tbl>
    <w:p w14:paraId="59BD40D1" w14:textId="77777777" w:rsidR="0064226F" w:rsidRPr="0064226F" w:rsidRDefault="0064226F" w:rsidP="0064226F">
      <w:pPr>
        <w:spacing w:after="240" w:line="276" w:lineRule="auto"/>
        <w:jc w:val="both"/>
        <w:rPr>
          <w:lang w:val="es-MX"/>
        </w:rPr>
      </w:pPr>
    </w:p>
    <w:p w14:paraId="4C6C81B8" w14:textId="77777777" w:rsidR="0064226F" w:rsidRDefault="0064226F" w:rsidP="0064226F">
      <w:pPr>
        <w:spacing w:after="240" w:line="276" w:lineRule="auto"/>
        <w:jc w:val="both"/>
      </w:pPr>
    </w:p>
    <w:p w14:paraId="79B949FB" w14:textId="77777777" w:rsidR="0064226F" w:rsidRDefault="0064226F" w:rsidP="0064226F">
      <w:pPr>
        <w:spacing w:after="240" w:line="276" w:lineRule="auto"/>
        <w:jc w:val="both"/>
        <w:sectPr w:rsidR="0064226F" w:rsidSect="0064226F">
          <w:pgSz w:w="15840" w:h="12240" w:orient="landscape"/>
          <w:pgMar w:top="1701" w:right="1418" w:bottom="1469" w:left="1418" w:header="709" w:footer="709" w:gutter="0"/>
          <w:cols w:space="708"/>
          <w:titlePg/>
          <w:docGrid w:linePitch="360"/>
        </w:sectPr>
      </w:pPr>
    </w:p>
    <w:p w14:paraId="54580FBA" w14:textId="77777777" w:rsidR="00DE1DDE" w:rsidRPr="00A774BA" w:rsidRDefault="00DE1DDE" w:rsidP="00DE1DDE">
      <w:pPr>
        <w:pStyle w:val="Ttulo1"/>
        <w:numPr>
          <w:ilvl w:val="0"/>
          <w:numId w:val="6"/>
        </w:numPr>
        <w:spacing w:before="0" w:after="240" w:line="276" w:lineRule="auto"/>
        <w:rPr>
          <w:rFonts w:ascii="Century Gothic" w:hAnsi="Century Gothic"/>
          <w:color w:val="0E4E7A"/>
        </w:rPr>
      </w:pPr>
      <w:bookmarkStart w:id="49" w:name="_Toc511236537"/>
      <w:r w:rsidRPr="00A774BA">
        <w:rPr>
          <w:rFonts w:ascii="Century Gothic" w:hAnsi="Century Gothic"/>
          <w:color w:val="0E4E7A"/>
        </w:rPr>
        <w:lastRenderedPageBreak/>
        <w:t>Conclusiones</w:t>
      </w:r>
      <w:bookmarkEnd w:id="49"/>
    </w:p>
    <w:p w14:paraId="516041FD"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Un primer paso a mencionar es la importancia que el gobierno estatal le está dando a la obligación de realizar evaluaciones con el fin de obtener información que retroalimente los diseños y procesos, y con ello eficientar el uso de recursos y como tal la operación de los diversos programas o proyectos que se llevan a cabo en pro del bienestar de la población.</w:t>
      </w:r>
    </w:p>
    <w:p w14:paraId="74D06491"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 xml:space="preserve">Es por ello que en este documento muestra la utilidad fundamental de los ejercicios de evaluación que, actualmente, es una norma que regula a todos los niveles de la función pública. </w:t>
      </w:r>
    </w:p>
    <w:p w14:paraId="79AF10D3"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Ante ello, el Gobierno del Estado de Colima, que por medio de la Dirección General de la Secretaría de Planeación y Finanzas asumió la responsabilidad de evaluar el ejercicio gubernamental, se planteó el desarrollo de una evaluación de procesos</w:t>
      </w:r>
      <w:r w:rsidRPr="00D26193">
        <w:t xml:space="preserve"> </w:t>
      </w:r>
      <w:r w:rsidRPr="00D26193">
        <w:rPr>
          <w:rFonts w:ascii="Century Gothic" w:hAnsi="Century Gothic"/>
        </w:rPr>
        <w:t>para la Infraestructura Social Estatal (FISE) a través del programa presupuestario “Construcción, Modernización y Mantenimiento de la Infraestructura para el Desarrollo”, para el ejercicio fiscal 2016.</w:t>
      </w:r>
    </w:p>
    <w:p w14:paraId="4C255C1F"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Un primer análisis que se realizó fue el referente a la importancia del FISE como medio para el combate a la pobreza, pues dicho fondo está orientado a la disminución de las carencias sociales, por lo tanto es normativamente acotado</w:t>
      </w:r>
      <w:r w:rsidRPr="00D26193">
        <w:rPr>
          <w:rFonts w:ascii="Century Gothic" w:hAnsi="Century Gothic"/>
          <w:b/>
          <w:bCs/>
        </w:rPr>
        <w:t xml:space="preserve"> </w:t>
      </w:r>
      <w:r w:rsidRPr="00D26193">
        <w:rPr>
          <w:rFonts w:ascii="Century Gothic" w:hAnsi="Century Gothic"/>
        </w:rPr>
        <w:t>y exige un alto grado de pertinencia en la operación. Siendo esto una de las ventajas con que ha contado, la asertividad que ha tenido para orientar la inversión por tipo de obras y destino territorial.</w:t>
      </w:r>
    </w:p>
    <w:p w14:paraId="504BF9A3" w14:textId="77777777" w:rsidR="00A051D2" w:rsidRPr="00D26193" w:rsidRDefault="00A051D2" w:rsidP="00A051D2">
      <w:pPr>
        <w:spacing w:after="240" w:line="276" w:lineRule="auto"/>
        <w:jc w:val="both"/>
        <w:rPr>
          <w:rFonts w:ascii="Century Gothic" w:hAnsi="Century Gothic"/>
          <w:color w:val="000000"/>
        </w:rPr>
      </w:pPr>
      <w:r w:rsidRPr="00D26193">
        <w:rPr>
          <w:rFonts w:ascii="Century Gothic" w:hAnsi="Century Gothic"/>
        </w:rPr>
        <w:t>Por ello un paso importante fue la</w:t>
      </w:r>
      <w:r w:rsidRPr="00D26193">
        <w:rPr>
          <w:rFonts w:ascii="Century Gothic" w:hAnsi="Century Gothic"/>
          <w:color w:val="000000"/>
        </w:rPr>
        <w:t xml:space="preserve"> modificación de la LCF en 1997, con la que se da inicios a la creación de Ramo 33, el cual se compone, de ocho fondos. Uno de ellos es el Fondo de Aportaciones para la Infraestructura Social (FAIS), el cual se  divide en dos: </w:t>
      </w:r>
      <w:r w:rsidRPr="00D26193">
        <w:rPr>
          <w:rFonts w:ascii="Century Gothic" w:hAnsi="Century Gothic"/>
          <w:b/>
          <w:color w:val="000000"/>
        </w:rPr>
        <w:t>El Fondo de Infraestructura Social Estatal (FISE</w:t>
      </w:r>
      <w:r w:rsidRPr="00D26193">
        <w:rPr>
          <w:rFonts w:ascii="Century Gothic" w:hAnsi="Century Gothic"/>
          <w:color w:val="000000"/>
        </w:rPr>
        <w:t>), y el Fondo de Infraestructura Social Municipal y de las demarcaciones territoriales del Distrito Federal (FISMDF), siendo objeto de esta evaluación el componente estatal.</w:t>
      </w:r>
    </w:p>
    <w:p w14:paraId="0DB4BD08" w14:textId="77777777" w:rsidR="00A051D2" w:rsidRPr="00D26193" w:rsidRDefault="00A051D2" w:rsidP="00A051D2">
      <w:pPr>
        <w:spacing w:after="240" w:line="276" w:lineRule="auto"/>
        <w:jc w:val="both"/>
        <w:rPr>
          <w:rFonts w:ascii="Century Gothic" w:hAnsi="Century Gothic"/>
          <w:color w:val="000000"/>
        </w:rPr>
      </w:pPr>
      <w:r w:rsidRPr="00D26193">
        <w:rPr>
          <w:rFonts w:ascii="Century Gothic" w:hAnsi="Century Gothic"/>
        </w:rPr>
        <w:t xml:space="preserve">Posteriormente en el año 2014 se da un paso para el fortalecimiento de dicho fondo con la </w:t>
      </w:r>
      <w:r w:rsidRPr="00D26193">
        <w:rPr>
          <w:rFonts w:ascii="Century Gothic" w:hAnsi="Century Gothic"/>
          <w:color w:val="000000"/>
        </w:rPr>
        <w:t xml:space="preserve">publicación de los </w:t>
      </w:r>
      <w:r w:rsidRPr="00D26193">
        <w:rPr>
          <w:rFonts w:ascii="Century Gothic" w:hAnsi="Century Gothic"/>
          <w:b/>
          <w:bCs/>
          <w:i/>
          <w:iCs/>
          <w:color w:val="000000"/>
        </w:rPr>
        <w:t xml:space="preserve">Lineamientos Generales para la Operación del Fondo de Aportaciones para la Infraestructura Social, </w:t>
      </w:r>
      <w:r w:rsidRPr="00D26193">
        <w:rPr>
          <w:rFonts w:ascii="Century Gothic" w:hAnsi="Century Gothic"/>
          <w:bCs/>
          <w:iCs/>
          <w:color w:val="000000"/>
        </w:rPr>
        <w:t>los cuales se han venido modificando año con año</w:t>
      </w:r>
      <w:r w:rsidRPr="00D26193">
        <w:rPr>
          <w:rFonts w:ascii="Century Gothic" w:hAnsi="Century Gothic"/>
        </w:rPr>
        <w:t>. En estos se especifican</w:t>
      </w:r>
      <w:r w:rsidRPr="00D26193">
        <w:rPr>
          <w:rFonts w:ascii="Century Gothic" w:hAnsi="Century Gothic"/>
          <w:color w:val="000000"/>
        </w:rPr>
        <w:t xml:space="preserve"> principios, ámbito de aplicación, uso, población objetivo y tipos de proyectos bajo los que </w:t>
      </w:r>
      <w:r w:rsidRPr="00D26193">
        <w:rPr>
          <w:rFonts w:ascii="Century Gothic" w:hAnsi="Century Gothic"/>
          <w:color w:val="000000"/>
        </w:rPr>
        <w:lastRenderedPageBreak/>
        <w:t>deberá regirse la operación del fondo, así como las obligaciones de cada dependencia involucrada y los procedimientos de seguimiento y evaluación.</w:t>
      </w:r>
    </w:p>
    <w:p w14:paraId="69C49513"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Así, la SEIDUR para el año 2016 opero recursos de dicho fondo por más de cinco millones de pesos, lo cuales se centraron principalmente en obras de agua y saneamiento e infraestructura, obras que en su mayoría se desarrollaron mediante convenios.</w:t>
      </w:r>
    </w:p>
    <w:p w14:paraId="3597EA72"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E</w:t>
      </w:r>
      <w:r w:rsidRPr="00D26193">
        <w:rPr>
          <w:rFonts w:ascii="Century Gothic" w:hAnsi="Century Gothic"/>
          <w:lang w:val="es-MX"/>
        </w:rPr>
        <w:t xml:space="preserve">n general se concluye que la inversión fue adecuada, destacando en primer lugar </w:t>
      </w:r>
      <w:r w:rsidRPr="00D26193">
        <w:rPr>
          <w:rFonts w:ascii="Century Gothic" w:hAnsi="Century Gothic"/>
          <w:b/>
          <w:lang w:val="es-MX"/>
        </w:rPr>
        <w:t>el tipo de inversión</w:t>
      </w:r>
      <w:r w:rsidRPr="00D26193">
        <w:rPr>
          <w:rFonts w:ascii="Century Gothic" w:hAnsi="Century Gothic"/>
          <w:lang w:val="es-MX"/>
        </w:rPr>
        <w:t xml:space="preserve"> realizada, pues fueron en obras que </w:t>
      </w:r>
      <w:r w:rsidRPr="00D26193">
        <w:rPr>
          <w:rFonts w:ascii="Century Gothic" w:hAnsi="Century Gothic"/>
          <w:b/>
          <w:lang w:val="es-MX"/>
        </w:rPr>
        <w:t>contribuyen de manera directa a la reducción de la pobreza</w:t>
      </w:r>
      <w:r w:rsidRPr="00D26193">
        <w:rPr>
          <w:rFonts w:ascii="Century Gothic" w:hAnsi="Century Gothic"/>
          <w:lang w:val="es-MX"/>
        </w:rPr>
        <w:t>, tal como lo contemplan los Lineamientos generales para la operación del FAIS.</w:t>
      </w:r>
    </w:p>
    <w:p w14:paraId="2009EA83"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lang w:val="es-MX"/>
        </w:rPr>
        <w:t xml:space="preserve">En segundo lugar se resalta </w:t>
      </w:r>
      <w:r w:rsidRPr="00D26193">
        <w:rPr>
          <w:rFonts w:ascii="Century Gothic" w:hAnsi="Century Gothic"/>
          <w:b/>
          <w:lang w:val="es-MX"/>
        </w:rPr>
        <w:t>la ampliación del recurso mediante los convenios</w:t>
      </w:r>
      <w:r w:rsidRPr="00D26193">
        <w:rPr>
          <w:rFonts w:ascii="Century Gothic" w:hAnsi="Century Gothic"/>
          <w:lang w:val="es-MX"/>
        </w:rPr>
        <w:t xml:space="preserve"> para las obras en </w:t>
      </w:r>
      <w:r w:rsidRPr="00D26193">
        <w:rPr>
          <w:rFonts w:ascii="Century Gothic" w:hAnsi="Century Gothic"/>
        </w:rPr>
        <w:t>Agua y Saneamiento, lo cual representa una adecuada gestión por parte del estado y que permitió ampliar el recurso para estas obras generando un mayor beneficio a la población.</w:t>
      </w:r>
    </w:p>
    <w:p w14:paraId="377667ED"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Es importante mencionar que la SEIDUR manifestó que para el año a evaluar (2016), sólo se contaba con el programa presupuestario “</w:t>
      </w:r>
      <w:r w:rsidRPr="00D26193">
        <w:rPr>
          <w:rFonts w:ascii="Century Gothic" w:hAnsi="Century Gothic"/>
          <w:b/>
        </w:rPr>
        <w:t>Construcción, Modernización y Mantenimiento de la Infraestructura para el Desarrollo</w:t>
      </w:r>
      <w:r w:rsidRPr="00D26193">
        <w:rPr>
          <w:rFonts w:ascii="Century Gothic" w:hAnsi="Century Gothic"/>
        </w:rPr>
        <w:t>”, ya para 2017 se ampliaron a otros programas, permitiendo así una clasificación de las obras según su objeto en cada programa.</w:t>
      </w:r>
    </w:p>
    <w:p w14:paraId="547DBBC0"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En cuanto al macroproceso para el desarrollo de las obras con recursos del FISE, es importante mencionar que el contar con una documentación de procesos adquiere particular relevancia en la administración pública, pues se convierte en una herramienta que es ajena a los cambios de personas o responsables de procesos, hasta que éstos sufran modificaciones para su mejora o adaptación a las nuevas circunstancias normativas o administrativas.</w:t>
      </w:r>
    </w:p>
    <w:p w14:paraId="7698879E"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Por lo que de esta manera es importante disponer de procesos bien documentados que den cuenta de la forma en que se realiza la asignación de recursos, planeación, operación del programa y seguimiento y evaluación de los recursos.</w:t>
      </w:r>
    </w:p>
    <w:p w14:paraId="5497B48E"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En lo cual el gobierno estatal ha venido trabajando, así, desde el año 2014 se cuenta con un proceso de certificación ISO 9001 para algunos procedimientos a desarrollar, sin embargo estos no han sido actualizados y presentan algunos vacíos en los procedimientos.</w:t>
      </w:r>
    </w:p>
    <w:p w14:paraId="5AF684AD"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lastRenderedPageBreak/>
        <w:t>Al revisar en particular cada uno de los procesos se tienen las siguientes conclusiones:</w:t>
      </w:r>
    </w:p>
    <w:p w14:paraId="3E4CB990"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En cuanto al proceso de “</w:t>
      </w:r>
      <w:r w:rsidRPr="00D26193">
        <w:rPr>
          <w:rFonts w:ascii="Century Gothic" w:hAnsi="Century Gothic"/>
          <w:b/>
        </w:rPr>
        <w:t>Asignación del recurso</w:t>
      </w:r>
      <w:r w:rsidRPr="00D26193">
        <w:rPr>
          <w:rFonts w:ascii="Century Gothic" w:hAnsi="Century Gothic"/>
        </w:rPr>
        <w:t>”, la principal observación es la ausencia de un procedimiento  establecido en un manual o documento específico que refleje como es la asignación de recursos específicamente del FISE para las obras a desarrollarse por cada dependencia involucrada.</w:t>
      </w:r>
    </w:p>
    <w:p w14:paraId="2077A58D"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Aunque en el taller desarrollado con las diferentes áreas se comentó que se realizan reuniones con los subcomités para planear la distribución del recurso, sin embargo, no se cuenta con un documento o flujograma donde se plasmen.</w:t>
      </w:r>
    </w:p>
    <w:p w14:paraId="2916DCB4"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Para el proceso de “</w:t>
      </w:r>
      <w:r w:rsidRPr="00D26193">
        <w:rPr>
          <w:rFonts w:ascii="Century Gothic" w:hAnsi="Century Gothic"/>
          <w:b/>
        </w:rPr>
        <w:t>Planeación</w:t>
      </w:r>
      <w:r w:rsidRPr="00D26193">
        <w:rPr>
          <w:rFonts w:ascii="Century Gothic" w:hAnsi="Century Gothic"/>
        </w:rPr>
        <w:t>”, teniendo en cuenta que el ejercicio de los recursos del FISE debe estar orientado, según la LCF, a disminuir los problemas de infraestructura social en zonas con mayor pobreza extrema y rezago social, mediante el financiamiento de obras y acciones de infraestructura social básica de alcance intermunicipal o regional, se identificó la falta del procedimiento de cómo se toma la decisión de que obras se van a llevar a cabo.</w:t>
      </w:r>
    </w:p>
    <w:p w14:paraId="6D1DADFE"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 xml:space="preserve">Aunque se debe destacar que en el taller realizado con las áreas involucradas se identificó que en particular en este proceso se lleva a cabo una serie de actividades para determinar que obras se van a desarrollar, que implica un análisis desde </w:t>
      </w:r>
      <w:r w:rsidRPr="00D26193">
        <w:rPr>
          <w:rFonts w:ascii="Century Gothic" w:eastAsia="Times New Roman" w:hAnsi="Century Gothic" w:cs="Arial"/>
          <w:color w:val="000000"/>
          <w:lang w:eastAsia="es-MX"/>
        </w:rPr>
        <w:t>la secretaria de planeación, quién  presenta una propuesta de obras a realizar a través de los compromisos gubernamentales del plan desarrollo estatal y los compromisos notariados del gobernador, peticiones de la ciudadanía y A</w:t>
      </w:r>
      <w:r w:rsidRPr="00D26193">
        <w:rPr>
          <w:rFonts w:ascii="Century Gothic" w:hAnsi="Century Gothic"/>
        </w:rPr>
        <w:t>nálisis de las necesidades teniendo como base el Informe anual sobre la situación de pobreza y rezago social.</w:t>
      </w:r>
    </w:p>
    <w:p w14:paraId="26A8E9DA"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Sin embargo, ninguno de estos subprocesos con sus respectivas actividades está documentado, tema importante a desarrollar.</w:t>
      </w:r>
    </w:p>
    <w:p w14:paraId="39201E59"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 xml:space="preserve">De igual forma dentro del proceso de planeación, cuentan con el documento </w:t>
      </w:r>
      <w:r w:rsidRPr="00D26193">
        <w:rPr>
          <w:rFonts w:ascii="Century Gothic" w:hAnsi="Century Gothic"/>
          <w:b/>
        </w:rPr>
        <w:t xml:space="preserve">Plan de Calidad para proyectos ejecutivos, </w:t>
      </w:r>
      <w:r w:rsidRPr="00D26193">
        <w:rPr>
          <w:rFonts w:ascii="Century Gothic" w:hAnsi="Century Gothic"/>
        </w:rPr>
        <w:t>el cual tiene como objetivo establecer un plan para la elaboración del proyecto ejecutivo.</w:t>
      </w:r>
    </w:p>
    <w:p w14:paraId="2039011E"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 xml:space="preserve">Este procedimiento inicia con los estudios topográficos y de mecánica de suelos, prosiguiendo con la elaboración del anteproyecto, desarrollo del proyecto ejecutivo, presupuestación de la obra y finalmente elaboración del </w:t>
      </w:r>
      <w:r w:rsidRPr="00D26193">
        <w:rPr>
          <w:rFonts w:ascii="Century Gothic" w:hAnsi="Century Gothic"/>
        </w:rPr>
        <w:lastRenderedPageBreak/>
        <w:t>expediente unitario de obra. Sin embargo en dicho diagrama no se detalla o especifica que procede en caso de que los estudios no sean viables.</w:t>
      </w:r>
    </w:p>
    <w:p w14:paraId="45ECABFF"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Para el proceso del “</w:t>
      </w:r>
      <w:r w:rsidRPr="00D26193">
        <w:rPr>
          <w:rFonts w:ascii="Century Gothic" w:hAnsi="Century Gothic"/>
          <w:b/>
        </w:rPr>
        <w:t>Ejercicio</w:t>
      </w:r>
      <w:r w:rsidRPr="00D26193">
        <w:rPr>
          <w:rFonts w:ascii="Century Gothic" w:hAnsi="Century Gothic"/>
        </w:rPr>
        <w:t>”, se identificó que en este tema es donde se cuenta con mayor documentación del paso a paso de cómo se ejerce el recurso. El cual abarca desde la contratación hasta la entrega de la obra.</w:t>
      </w:r>
    </w:p>
    <w:p w14:paraId="238F3625"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Un primer documento es el “</w:t>
      </w:r>
      <w:r w:rsidRPr="00D26193">
        <w:rPr>
          <w:rFonts w:ascii="Century Gothic" w:hAnsi="Century Gothic"/>
          <w:b/>
        </w:rPr>
        <w:t xml:space="preserve">Plan de la Calidad para la Contratación”, </w:t>
      </w:r>
      <w:r w:rsidRPr="00D26193">
        <w:rPr>
          <w:rFonts w:ascii="Century Gothic" w:hAnsi="Century Gothic"/>
        </w:rPr>
        <w:t>donde esquematiza desde que se tiene el oficio de autorización hasta la culminación con el contrato. Sin embargo no se detalla la información de cómo es el proceso según la modalidad de contratación.</w:t>
      </w:r>
    </w:p>
    <w:p w14:paraId="481D017B"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Una vez autorizada la obra y que se cuente con su expediente unitario de obra, se entiende que es cuando esta puede iniciarse. Para esto se cuenta con el documento “</w:t>
      </w:r>
      <w:r w:rsidRPr="00D26193">
        <w:rPr>
          <w:rFonts w:ascii="Century Gothic" w:hAnsi="Century Gothic"/>
          <w:b/>
        </w:rPr>
        <w:t>Procedimiento de Ejecución de Obra Contratada</w:t>
      </w:r>
      <w:r w:rsidRPr="00D26193">
        <w:rPr>
          <w:rFonts w:ascii="Century Gothic" w:hAnsi="Century Gothic"/>
        </w:rPr>
        <w:t>”, el resultado final de este proceso culmina, con las actas de entrega-recepción donde se certifique que las obras cumplen con los criterios funcionales, de calidad, ambientales, de tiempo y legales con que fueron planeadas.</w:t>
      </w:r>
    </w:p>
    <w:p w14:paraId="1BCEB5EF"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Para el proceso de “</w:t>
      </w:r>
      <w:r w:rsidRPr="00D26193">
        <w:rPr>
          <w:rFonts w:ascii="Century Gothic" w:hAnsi="Century Gothic"/>
          <w:b/>
        </w:rPr>
        <w:t xml:space="preserve">Seguimiento y control”, </w:t>
      </w:r>
      <w:r w:rsidRPr="00D26193">
        <w:rPr>
          <w:rFonts w:ascii="Century Gothic" w:hAnsi="Century Gothic"/>
        </w:rPr>
        <w:t>se establece el documento, “</w:t>
      </w:r>
      <w:r w:rsidRPr="00D26193">
        <w:rPr>
          <w:rFonts w:ascii="Century Gothic" w:hAnsi="Century Gothic"/>
          <w:b/>
        </w:rPr>
        <w:t>Plan de calidad para la ejecución de la obra</w:t>
      </w:r>
      <w:r w:rsidRPr="00D26193">
        <w:rPr>
          <w:rFonts w:ascii="Century Gothic" w:hAnsi="Century Gothic"/>
        </w:rPr>
        <w:t>”. Dado que el tema esencial en este proceso debe ser la supervisión para verificar que los proyectos de obra se alineen a la normatividad federal y estatal de modo que se garantice que la utilización de los recursos se realice de forma eficiente, eficaz, transparente y dentro de una lógica de rendición de cuentas, se evidencia un vació en ello.</w:t>
      </w:r>
    </w:p>
    <w:p w14:paraId="64265B07"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Siendo un tema pendiente por definir el cómo es la supervisión de la obra, que pasa si no cumple con los requisitos o estándares. Procedimiento que es necesario desarrollar.</w:t>
      </w:r>
    </w:p>
    <w:p w14:paraId="2E7F0724" w14:textId="77777777" w:rsidR="00A051D2" w:rsidRPr="00D26193" w:rsidRDefault="00A051D2" w:rsidP="00A051D2">
      <w:pPr>
        <w:spacing w:after="240" w:line="276" w:lineRule="auto"/>
        <w:jc w:val="both"/>
        <w:rPr>
          <w:rFonts w:ascii="Century Gothic" w:hAnsi="Century Gothic"/>
        </w:rPr>
      </w:pPr>
      <w:r w:rsidRPr="00D26193">
        <w:rPr>
          <w:rFonts w:ascii="Century Gothic" w:hAnsi="Century Gothic"/>
        </w:rPr>
        <w:t>Finalmente para el proceso de “</w:t>
      </w:r>
      <w:r w:rsidRPr="00D26193">
        <w:rPr>
          <w:rFonts w:ascii="Century Gothic" w:hAnsi="Century Gothic"/>
          <w:b/>
        </w:rPr>
        <w:t xml:space="preserve">Rendición de cuentas y Evaluación”, </w:t>
      </w:r>
      <w:r w:rsidRPr="00D26193">
        <w:rPr>
          <w:rFonts w:ascii="Century Gothic" w:hAnsi="Century Gothic"/>
        </w:rPr>
        <w:t>se observa que en estos temas es donde menos se tiene documentando el paso a paso de cómo se debe llevar a cabo y quienes son los responsables.</w:t>
      </w:r>
    </w:p>
    <w:p w14:paraId="5A41C39F" w14:textId="77777777" w:rsidR="00A051D2" w:rsidRPr="00D26193" w:rsidRDefault="00A051D2" w:rsidP="00A051D2">
      <w:pPr>
        <w:spacing w:after="240" w:line="276" w:lineRule="auto"/>
        <w:jc w:val="both"/>
        <w:rPr>
          <w:rFonts w:ascii="Century Gothic" w:hAnsi="Century Gothic"/>
        </w:rPr>
      </w:pPr>
      <w:r>
        <w:rPr>
          <w:rFonts w:ascii="Century Gothic" w:hAnsi="Century Gothic"/>
        </w:rPr>
        <w:t>Así,</w:t>
      </w:r>
      <w:r w:rsidRPr="00D26193">
        <w:rPr>
          <w:rFonts w:ascii="Century Gothic" w:hAnsi="Century Gothic"/>
        </w:rPr>
        <w:t xml:space="preserve"> en cuanto al macroproceso para el desarrollo de las obras de infraestructura social, se pudo constatar que aunque ya cuentan con algunos procesos documentados estos aún presentan algunos vacíos o etapas pendientes por desarrollar, como también algunos procesos que no tienen ningún desarrollo o soporte que los documente.</w:t>
      </w:r>
    </w:p>
    <w:p w14:paraId="27FA98E8" w14:textId="77777777" w:rsidR="00A051D2" w:rsidRDefault="00A051D2" w:rsidP="00A051D2">
      <w:pPr>
        <w:spacing w:after="240" w:line="276" w:lineRule="auto"/>
        <w:jc w:val="both"/>
        <w:rPr>
          <w:rFonts w:ascii="Century Gothic" w:hAnsi="Century Gothic"/>
        </w:rPr>
      </w:pPr>
      <w:r w:rsidRPr="00D26193">
        <w:rPr>
          <w:rFonts w:ascii="Century Gothic" w:hAnsi="Century Gothic"/>
        </w:rPr>
        <w:lastRenderedPageBreak/>
        <w:t>En general a lo largo del documento se refleja que la evaluación se realizó tomando como referencia una serie de procesos y procedimientos específicos, a través de los cuales se explica la complejidad del macroproceso que se desarrolla para operar el Programa “</w:t>
      </w:r>
      <w:r w:rsidRPr="00D26193">
        <w:rPr>
          <w:rFonts w:ascii="Century Gothic" w:hAnsi="Century Gothic"/>
          <w:b/>
        </w:rPr>
        <w:t>Construcción, Modernización y Mantenimiento de la Infraestructura para el Desarrollo</w:t>
      </w:r>
      <w:r w:rsidRPr="00D26193">
        <w:rPr>
          <w:rFonts w:ascii="Century Gothic" w:hAnsi="Century Gothic"/>
        </w:rPr>
        <w:t>”. De igual forma, se pudo observar que existen detalles que se deben afinar para poder maximizar la obtención de resultados óptimos dentro de su desempeño como programa dirigido a la mejora de la infraestructura social.</w:t>
      </w:r>
    </w:p>
    <w:p w14:paraId="53C8D692" w14:textId="77777777" w:rsidR="00A051D2" w:rsidRPr="00D26193" w:rsidRDefault="00A051D2" w:rsidP="00A051D2">
      <w:pPr>
        <w:spacing w:after="240" w:line="276" w:lineRule="auto"/>
        <w:jc w:val="both"/>
        <w:rPr>
          <w:rFonts w:ascii="Century Gothic" w:hAnsi="Century Gothic"/>
        </w:rPr>
      </w:pPr>
    </w:p>
    <w:p w14:paraId="5ADC7428" w14:textId="77777777" w:rsidR="00556582" w:rsidRDefault="00556582">
      <w:pPr>
        <w:rPr>
          <w:rFonts w:ascii="Century Gothic" w:hAnsi="Century Gothic"/>
          <w:b/>
        </w:rPr>
      </w:pPr>
      <w:r>
        <w:rPr>
          <w:rFonts w:ascii="Century Gothic" w:hAnsi="Century Gothic"/>
          <w:b/>
        </w:rPr>
        <w:br w:type="page"/>
      </w:r>
    </w:p>
    <w:p w14:paraId="5661098E" w14:textId="77777777" w:rsidR="00B07691" w:rsidRPr="00A774BA" w:rsidRDefault="00B07691" w:rsidP="00DE1DDE">
      <w:pPr>
        <w:pStyle w:val="Ttulo1"/>
        <w:numPr>
          <w:ilvl w:val="0"/>
          <w:numId w:val="6"/>
        </w:numPr>
        <w:spacing w:before="0" w:after="240" w:line="276" w:lineRule="auto"/>
        <w:rPr>
          <w:rFonts w:ascii="Century Gothic" w:hAnsi="Century Gothic"/>
          <w:color w:val="0E4E7A"/>
        </w:rPr>
      </w:pPr>
      <w:bookmarkStart w:id="50" w:name="_Toc511236538"/>
      <w:r w:rsidRPr="00A774BA">
        <w:rPr>
          <w:rFonts w:ascii="Century Gothic" w:hAnsi="Century Gothic"/>
          <w:color w:val="0E4E7A"/>
        </w:rPr>
        <w:lastRenderedPageBreak/>
        <w:t>Análisis FODA y Recomendaciones</w:t>
      </w:r>
      <w:bookmarkEnd w:id="50"/>
    </w:p>
    <w:p w14:paraId="63B8836C" w14:textId="77777777" w:rsidR="003C38A6" w:rsidRPr="007A26AD" w:rsidRDefault="00FC3902" w:rsidP="00FC3902">
      <w:pPr>
        <w:pStyle w:val="Ttulo2"/>
        <w:spacing w:before="0" w:after="240" w:line="276" w:lineRule="auto"/>
        <w:rPr>
          <w:rFonts w:ascii="Century Gothic" w:hAnsi="Century Gothic"/>
          <w:color w:val="0E4E7A"/>
          <w:sz w:val="24"/>
          <w:szCs w:val="24"/>
        </w:rPr>
      </w:pPr>
      <w:bookmarkStart w:id="51" w:name="_Toc511236539"/>
      <w:r w:rsidRPr="00FC3902">
        <w:rPr>
          <w:rFonts w:ascii="Century Gothic" w:hAnsi="Century Gothic"/>
          <w:color w:val="0E4E7A"/>
          <w:sz w:val="24"/>
        </w:rPr>
        <w:t>Análisis Interno</w:t>
      </w:r>
      <w:bookmarkEnd w:id="51"/>
    </w:p>
    <w:tbl>
      <w:tblPr>
        <w:tblStyle w:val="Tablaconcuadrcula"/>
        <w:tblW w:w="5000" w:type="pct"/>
        <w:tblLook w:val="04A0" w:firstRow="1" w:lastRow="0" w:firstColumn="1" w:lastColumn="0" w:noHBand="0" w:noVBand="1"/>
      </w:tblPr>
      <w:tblGrid>
        <w:gridCol w:w="4530"/>
        <w:gridCol w:w="4530"/>
      </w:tblGrid>
      <w:tr w:rsidR="00FC3902" w:rsidRPr="007A26AD" w14:paraId="5D00A233" w14:textId="77777777" w:rsidTr="00E51C01">
        <w:tc>
          <w:tcPr>
            <w:tcW w:w="2500" w:type="pct"/>
            <w:shd w:val="clear" w:color="auto" w:fill="0E4E7A"/>
            <w:vAlign w:val="center"/>
          </w:tcPr>
          <w:p w14:paraId="3896A339" w14:textId="77777777" w:rsidR="00FC3902" w:rsidRPr="007A26AD" w:rsidRDefault="00FC3902" w:rsidP="00FC3902">
            <w:pPr>
              <w:spacing w:line="276" w:lineRule="auto"/>
              <w:jc w:val="center"/>
              <w:rPr>
                <w:rFonts w:ascii="Century Gothic" w:hAnsi="Century Gothic"/>
                <w:b/>
                <w:color w:val="FFFFFF" w:themeColor="background1"/>
                <w:sz w:val="24"/>
                <w:szCs w:val="24"/>
              </w:rPr>
            </w:pPr>
            <w:r w:rsidRPr="007A26AD">
              <w:rPr>
                <w:rFonts w:ascii="Century Gothic" w:hAnsi="Century Gothic"/>
                <w:b/>
                <w:color w:val="FFFFFF" w:themeColor="background1"/>
                <w:sz w:val="24"/>
                <w:szCs w:val="24"/>
              </w:rPr>
              <w:t>Fortalezas</w:t>
            </w:r>
          </w:p>
        </w:tc>
        <w:tc>
          <w:tcPr>
            <w:tcW w:w="2500" w:type="pct"/>
            <w:shd w:val="clear" w:color="auto" w:fill="0E4E7A"/>
            <w:vAlign w:val="center"/>
          </w:tcPr>
          <w:p w14:paraId="06008525" w14:textId="77777777" w:rsidR="00FC3902" w:rsidRPr="007A26AD" w:rsidRDefault="00FC3902" w:rsidP="00FC3902">
            <w:pPr>
              <w:spacing w:line="276" w:lineRule="auto"/>
              <w:jc w:val="center"/>
              <w:rPr>
                <w:rFonts w:ascii="Century Gothic" w:hAnsi="Century Gothic"/>
                <w:b/>
                <w:color w:val="FFFFFF" w:themeColor="background1"/>
                <w:sz w:val="24"/>
                <w:szCs w:val="24"/>
              </w:rPr>
            </w:pPr>
            <w:r w:rsidRPr="007A26AD">
              <w:rPr>
                <w:rFonts w:ascii="Century Gothic" w:hAnsi="Century Gothic"/>
                <w:b/>
                <w:color w:val="FFFFFF" w:themeColor="background1"/>
                <w:sz w:val="24"/>
                <w:szCs w:val="24"/>
              </w:rPr>
              <w:t>Recomendación</w:t>
            </w:r>
          </w:p>
        </w:tc>
      </w:tr>
      <w:tr w:rsidR="00FC3902" w:rsidRPr="007A26AD" w14:paraId="5F0D14BD" w14:textId="77777777" w:rsidTr="00DF1DAA">
        <w:tc>
          <w:tcPr>
            <w:tcW w:w="2500" w:type="pct"/>
            <w:vAlign w:val="center"/>
          </w:tcPr>
          <w:p w14:paraId="7C5B5C7C" w14:textId="77777777" w:rsidR="00FC3902" w:rsidRPr="007A26AD" w:rsidRDefault="007E57C4" w:rsidP="00DF1DAA">
            <w:pPr>
              <w:spacing w:after="240" w:line="276" w:lineRule="auto"/>
              <w:jc w:val="both"/>
              <w:rPr>
                <w:rFonts w:ascii="Century Gothic" w:hAnsi="Century Gothic"/>
                <w:sz w:val="24"/>
                <w:szCs w:val="24"/>
              </w:rPr>
            </w:pPr>
            <w:r>
              <w:rPr>
                <w:rFonts w:ascii="Century Gothic" w:hAnsi="Century Gothic"/>
                <w:sz w:val="24"/>
                <w:szCs w:val="24"/>
              </w:rPr>
              <w:t>Desde el año 2014 se cuenta con un proceso de certificación ISO 9001</w:t>
            </w:r>
            <w:r w:rsidR="0024137D">
              <w:rPr>
                <w:rFonts w:ascii="Century Gothic" w:hAnsi="Century Gothic"/>
                <w:sz w:val="24"/>
                <w:szCs w:val="24"/>
              </w:rPr>
              <w:t>, para los principales proce</w:t>
            </w:r>
            <w:r w:rsidR="00446656">
              <w:rPr>
                <w:rFonts w:ascii="Century Gothic" w:hAnsi="Century Gothic"/>
                <w:sz w:val="24"/>
                <w:szCs w:val="24"/>
              </w:rPr>
              <w:t>dimientos</w:t>
            </w:r>
            <w:r w:rsidR="0024137D">
              <w:rPr>
                <w:rFonts w:ascii="Century Gothic" w:hAnsi="Century Gothic"/>
                <w:sz w:val="24"/>
                <w:szCs w:val="24"/>
              </w:rPr>
              <w:t xml:space="preserve"> para el desarrollo de infraestructura.</w:t>
            </w:r>
          </w:p>
        </w:tc>
        <w:tc>
          <w:tcPr>
            <w:tcW w:w="2500" w:type="pct"/>
            <w:vAlign w:val="center"/>
          </w:tcPr>
          <w:p w14:paraId="57F7F8B5" w14:textId="77777777" w:rsidR="00FC3902" w:rsidRPr="007A26AD" w:rsidRDefault="00446656" w:rsidP="00DF1DAA">
            <w:pPr>
              <w:spacing w:after="240" w:line="276" w:lineRule="auto"/>
              <w:jc w:val="both"/>
              <w:rPr>
                <w:rFonts w:ascii="Century Gothic" w:hAnsi="Century Gothic"/>
                <w:sz w:val="24"/>
                <w:szCs w:val="24"/>
              </w:rPr>
            </w:pPr>
            <w:r>
              <w:rPr>
                <w:rFonts w:ascii="Century Gothic" w:hAnsi="Century Gothic"/>
                <w:sz w:val="24"/>
                <w:szCs w:val="24"/>
              </w:rPr>
              <w:t>Es necesario actualizar dichos procesos y que además se complementen con los que están pendientes de desarrollar o que presentan vacíos.</w:t>
            </w:r>
          </w:p>
        </w:tc>
      </w:tr>
      <w:tr w:rsidR="004504EE" w:rsidRPr="007A26AD" w14:paraId="11FA7C17" w14:textId="77777777" w:rsidTr="00DF1DAA">
        <w:tc>
          <w:tcPr>
            <w:tcW w:w="2500" w:type="pct"/>
            <w:vAlign w:val="center"/>
          </w:tcPr>
          <w:p w14:paraId="13E18076" w14:textId="77777777" w:rsidR="004504EE" w:rsidRPr="007A26AD" w:rsidRDefault="004504EE" w:rsidP="00DF1DAA">
            <w:pPr>
              <w:spacing w:after="240" w:line="276" w:lineRule="auto"/>
              <w:jc w:val="both"/>
              <w:rPr>
                <w:rFonts w:ascii="Century Gothic" w:hAnsi="Century Gothic"/>
                <w:sz w:val="24"/>
                <w:szCs w:val="24"/>
              </w:rPr>
            </w:pPr>
            <w:r w:rsidRPr="00711C4F">
              <w:rPr>
                <w:rFonts w:ascii="Century Gothic" w:hAnsi="Century Gothic"/>
                <w:sz w:val="24"/>
                <w:szCs w:val="24"/>
              </w:rPr>
              <w:t>Existe el compromiso por parte de los funcionarios implicados</w:t>
            </w:r>
            <w:r>
              <w:rPr>
                <w:rFonts w:ascii="Century Gothic" w:hAnsi="Century Gothic"/>
                <w:sz w:val="24"/>
                <w:szCs w:val="24"/>
              </w:rPr>
              <w:t xml:space="preserve"> </w:t>
            </w:r>
            <w:r w:rsidRPr="00711C4F">
              <w:rPr>
                <w:rFonts w:ascii="Century Gothic" w:hAnsi="Century Gothic"/>
                <w:sz w:val="24"/>
                <w:szCs w:val="24"/>
              </w:rPr>
              <w:t xml:space="preserve">en la planeación y en la operación </w:t>
            </w:r>
            <w:r>
              <w:rPr>
                <w:rFonts w:ascii="Century Gothic" w:hAnsi="Century Gothic"/>
                <w:sz w:val="24"/>
                <w:szCs w:val="24"/>
              </w:rPr>
              <w:t>de las obras de infraestructura</w:t>
            </w:r>
            <w:r w:rsidRPr="00711C4F">
              <w:rPr>
                <w:rFonts w:ascii="Century Gothic" w:hAnsi="Century Gothic"/>
                <w:sz w:val="24"/>
                <w:szCs w:val="24"/>
              </w:rPr>
              <w:t>.</w:t>
            </w:r>
          </w:p>
        </w:tc>
        <w:tc>
          <w:tcPr>
            <w:tcW w:w="2500" w:type="pct"/>
            <w:vMerge w:val="restart"/>
            <w:vAlign w:val="center"/>
          </w:tcPr>
          <w:p w14:paraId="4D09F4A0" w14:textId="77777777" w:rsidR="004504EE" w:rsidRPr="007A26AD" w:rsidRDefault="004504EE" w:rsidP="00DF1DAA">
            <w:pPr>
              <w:spacing w:after="240" w:line="276" w:lineRule="auto"/>
              <w:jc w:val="both"/>
              <w:rPr>
                <w:rFonts w:ascii="Century Gothic" w:hAnsi="Century Gothic"/>
                <w:sz w:val="24"/>
                <w:szCs w:val="24"/>
              </w:rPr>
            </w:pPr>
            <w:r>
              <w:rPr>
                <w:rFonts w:ascii="Century Gothic" w:hAnsi="Century Gothic"/>
                <w:sz w:val="24"/>
                <w:szCs w:val="24"/>
              </w:rPr>
              <w:t>Aprovechar estas sinergias y conocimiento de la normatividad específica del fondo entre las dependencias para actualizar los procesos existentes y desarrollar los que faltan.</w:t>
            </w:r>
          </w:p>
        </w:tc>
      </w:tr>
      <w:tr w:rsidR="004504EE" w:rsidRPr="007A26AD" w14:paraId="07C4C695" w14:textId="77777777" w:rsidTr="00DF1DAA">
        <w:tc>
          <w:tcPr>
            <w:tcW w:w="2500" w:type="pct"/>
            <w:vAlign w:val="center"/>
          </w:tcPr>
          <w:p w14:paraId="5177294A" w14:textId="77777777" w:rsidR="004504EE" w:rsidRPr="007A26AD" w:rsidRDefault="004504EE" w:rsidP="00DF1DAA">
            <w:pPr>
              <w:spacing w:after="240" w:line="276" w:lineRule="auto"/>
              <w:jc w:val="both"/>
              <w:rPr>
                <w:rFonts w:ascii="Century Gothic" w:hAnsi="Century Gothic"/>
                <w:sz w:val="24"/>
                <w:szCs w:val="24"/>
              </w:rPr>
            </w:pPr>
            <w:r>
              <w:rPr>
                <w:rFonts w:ascii="Century Gothic" w:hAnsi="Century Gothic"/>
                <w:sz w:val="24"/>
                <w:szCs w:val="24"/>
              </w:rPr>
              <w:t>Las dependencias</w:t>
            </w:r>
            <w:r w:rsidRPr="008B26D9">
              <w:rPr>
                <w:rFonts w:ascii="Century Gothic" w:hAnsi="Century Gothic"/>
                <w:sz w:val="24"/>
                <w:szCs w:val="24"/>
              </w:rPr>
              <w:t xml:space="preserve"> </w:t>
            </w:r>
            <w:r>
              <w:rPr>
                <w:rFonts w:ascii="Century Gothic" w:hAnsi="Century Gothic"/>
                <w:sz w:val="24"/>
                <w:szCs w:val="24"/>
              </w:rPr>
              <w:t xml:space="preserve">involucradas en el desarrollo de las obras </w:t>
            </w:r>
            <w:r w:rsidRPr="008B26D9">
              <w:rPr>
                <w:rFonts w:ascii="Century Gothic" w:hAnsi="Century Gothic"/>
                <w:sz w:val="24"/>
                <w:szCs w:val="24"/>
              </w:rPr>
              <w:t>identifican el F</w:t>
            </w:r>
            <w:r>
              <w:rPr>
                <w:rFonts w:ascii="Century Gothic" w:hAnsi="Century Gothic"/>
                <w:sz w:val="24"/>
                <w:szCs w:val="24"/>
              </w:rPr>
              <w:t>ISE</w:t>
            </w:r>
            <w:r w:rsidRPr="008B26D9">
              <w:rPr>
                <w:rFonts w:ascii="Century Gothic" w:hAnsi="Century Gothic"/>
                <w:sz w:val="24"/>
                <w:szCs w:val="24"/>
              </w:rPr>
              <w:t xml:space="preserve"> y también cuál es el principal destino de sus</w:t>
            </w:r>
            <w:r>
              <w:rPr>
                <w:rFonts w:ascii="Century Gothic" w:hAnsi="Century Gothic"/>
                <w:sz w:val="24"/>
                <w:szCs w:val="24"/>
              </w:rPr>
              <w:t xml:space="preserve"> </w:t>
            </w:r>
            <w:r w:rsidRPr="008B26D9">
              <w:rPr>
                <w:rFonts w:ascii="Century Gothic" w:hAnsi="Century Gothic"/>
                <w:sz w:val="24"/>
                <w:szCs w:val="24"/>
              </w:rPr>
              <w:t>recursos. Esta conciencia constituye el punto de partida para cualquier acción que</w:t>
            </w:r>
            <w:r>
              <w:rPr>
                <w:rFonts w:ascii="Century Gothic" w:hAnsi="Century Gothic"/>
                <w:sz w:val="24"/>
                <w:szCs w:val="24"/>
              </w:rPr>
              <w:t xml:space="preserve"> </w:t>
            </w:r>
            <w:r w:rsidRPr="008B26D9">
              <w:rPr>
                <w:rFonts w:ascii="Century Gothic" w:hAnsi="Century Gothic"/>
                <w:sz w:val="24"/>
                <w:szCs w:val="24"/>
              </w:rPr>
              <w:t>intente generar mejoras en la operación y resultados del F</w:t>
            </w:r>
            <w:r>
              <w:rPr>
                <w:rFonts w:ascii="Century Gothic" w:hAnsi="Century Gothic"/>
                <w:sz w:val="24"/>
                <w:szCs w:val="24"/>
              </w:rPr>
              <w:t>ondo.</w:t>
            </w:r>
          </w:p>
        </w:tc>
        <w:tc>
          <w:tcPr>
            <w:tcW w:w="2500" w:type="pct"/>
            <w:vMerge/>
            <w:vAlign w:val="center"/>
          </w:tcPr>
          <w:p w14:paraId="6377D8CB" w14:textId="77777777" w:rsidR="004504EE" w:rsidRPr="007A26AD" w:rsidRDefault="004504EE" w:rsidP="00DF1DAA">
            <w:pPr>
              <w:spacing w:after="240" w:line="276" w:lineRule="auto"/>
              <w:jc w:val="both"/>
              <w:rPr>
                <w:rFonts w:ascii="Century Gothic" w:hAnsi="Century Gothic"/>
                <w:sz w:val="24"/>
                <w:szCs w:val="24"/>
              </w:rPr>
            </w:pPr>
          </w:p>
        </w:tc>
      </w:tr>
      <w:tr w:rsidR="00FC3902" w:rsidRPr="007A26AD" w14:paraId="0789B7DE" w14:textId="77777777" w:rsidTr="00DF1DAA">
        <w:tc>
          <w:tcPr>
            <w:tcW w:w="2500" w:type="pct"/>
            <w:vAlign w:val="center"/>
          </w:tcPr>
          <w:p w14:paraId="2302E5A6" w14:textId="77777777" w:rsidR="00FC3902" w:rsidRPr="007A26AD" w:rsidRDefault="008B26D9" w:rsidP="00DF1DAA">
            <w:pPr>
              <w:spacing w:after="240" w:line="276" w:lineRule="auto"/>
              <w:jc w:val="both"/>
              <w:rPr>
                <w:rFonts w:ascii="Century Gothic" w:hAnsi="Century Gothic"/>
                <w:sz w:val="24"/>
                <w:szCs w:val="24"/>
              </w:rPr>
            </w:pPr>
            <w:r>
              <w:rPr>
                <w:rFonts w:ascii="Century Gothic" w:hAnsi="Century Gothic"/>
                <w:sz w:val="24"/>
                <w:szCs w:val="24"/>
              </w:rPr>
              <w:t>Se realizan reuniones con los subcomités para la planeación de las obras a realizar, teniendo en cuenta los objetivos del plan de desarrollo, compromisos gubernamentales y necesidades de la población, sin embargo esto no está documentado en un proceso de planeación.</w:t>
            </w:r>
          </w:p>
        </w:tc>
        <w:tc>
          <w:tcPr>
            <w:tcW w:w="2500" w:type="pct"/>
            <w:vAlign w:val="center"/>
          </w:tcPr>
          <w:p w14:paraId="4130C887" w14:textId="77777777" w:rsidR="00FC3902" w:rsidRPr="007A26AD" w:rsidRDefault="00144E9F" w:rsidP="00DF1DAA">
            <w:pPr>
              <w:spacing w:after="240" w:line="276" w:lineRule="auto"/>
              <w:jc w:val="both"/>
              <w:rPr>
                <w:rFonts w:ascii="Century Gothic" w:hAnsi="Century Gothic"/>
                <w:sz w:val="24"/>
                <w:szCs w:val="24"/>
              </w:rPr>
            </w:pPr>
            <w:r>
              <w:rPr>
                <w:rFonts w:ascii="Century Gothic" w:hAnsi="Century Gothic"/>
                <w:sz w:val="24"/>
                <w:szCs w:val="24"/>
              </w:rPr>
              <w:t xml:space="preserve">Establecer una estrategia para que se documente el paso a paso para la toma de decisiones de que obras se </w:t>
            </w:r>
            <w:r w:rsidR="00B23C60">
              <w:rPr>
                <w:rFonts w:ascii="Century Gothic" w:hAnsi="Century Gothic"/>
                <w:sz w:val="24"/>
                <w:szCs w:val="24"/>
              </w:rPr>
              <w:t>va</w:t>
            </w:r>
            <w:r>
              <w:rPr>
                <w:rFonts w:ascii="Century Gothic" w:hAnsi="Century Gothic"/>
                <w:sz w:val="24"/>
                <w:szCs w:val="24"/>
              </w:rPr>
              <w:t xml:space="preserve"> a realizar teniendo en cuenta diversos criterios (presupuesto, compromisos, carencias), esto servirá como base para el desarrollo del proceso de planeación.</w:t>
            </w:r>
          </w:p>
        </w:tc>
      </w:tr>
    </w:tbl>
    <w:p w14:paraId="495F6470" w14:textId="77777777" w:rsidR="003C38A6" w:rsidRDefault="003C38A6" w:rsidP="00FC3902">
      <w:pPr>
        <w:spacing w:after="240" w:line="276" w:lineRule="auto"/>
        <w:rPr>
          <w:rFonts w:ascii="Century Gothic" w:hAnsi="Century Gothic"/>
        </w:rPr>
      </w:pPr>
    </w:p>
    <w:p w14:paraId="6B9CFDA4" w14:textId="77777777" w:rsidR="00B23C60" w:rsidRDefault="00B23C60" w:rsidP="00FC3902">
      <w:pPr>
        <w:spacing w:after="240" w:line="276" w:lineRule="auto"/>
        <w:rPr>
          <w:rFonts w:ascii="Century Gothic" w:hAnsi="Century Gothic"/>
        </w:rPr>
      </w:pPr>
    </w:p>
    <w:p w14:paraId="00BB7E6F" w14:textId="77777777" w:rsidR="00B23C60" w:rsidRPr="007A26AD" w:rsidRDefault="00B23C60" w:rsidP="00FC3902">
      <w:pPr>
        <w:spacing w:after="240" w:line="276" w:lineRule="auto"/>
        <w:rPr>
          <w:rFonts w:ascii="Century Gothic" w:hAnsi="Century Gothic"/>
        </w:rPr>
      </w:pPr>
    </w:p>
    <w:tbl>
      <w:tblPr>
        <w:tblStyle w:val="Tablaconcuadrcula"/>
        <w:tblW w:w="5000" w:type="pct"/>
        <w:tblLook w:val="04A0" w:firstRow="1" w:lastRow="0" w:firstColumn="1" w:lastColumn="0" w:noHBand="0" w:noVBand="1"/>
      </w:tblPr>
      <w:tblGrid>
        <w:gridCol w:w="4115"/>
        <w:gridCol w:w="4945"/>
      </w:tblGrid>
      <w:tr w:rsidR="00E51C01" w:rsidRPr="007E57C4" w14:paraId="4300455C" w14:textId="77777777" w:rsidTr="00B23C60">
        <w:tc>
          <w:tcPr>
            <w:tcW w:w="2271" w:type="pct"/>
            <w:shd w:val="clear" w:color="auto" w:fill="0E4E7A"/>
            <w:vAlign w:val="center"/>
          </w:tcPr>
          <w:p w14:paraId="33EE138F" w14:textId="77777777" w:rsidR="00E51C01" w:rsidRPr="007E57C4" w:rsidRDefault="00E51C01" w:rsidP="00DE1DDE">
            <w:pPr>
              <w:spacing w:line="276" w:lineRule="auto"/>
              <w:jc w:val="center"/>
              <w:rPr>
                <w:rFonts w:ascii="Century Gothic" w:hAnsi="Century Gothic"/>
                <w:b/>
                <w:color w:val="FFFFFF" w:themeColor="background1"/>
                <w:sz w:val="24"/>
                <w:szCs w:val="24"/>
              </w:rPr>
            </w:pPr>
            <w:r w:rsidRPr="007E57C4">
              <w:rPr>
                <w:rFonts w:ascii="Century Gothic" w:hAnsi="Century Gothic"/>
                <w:b/>
                <w:color w:val="FFFFFF" w:themeColor="background1"/>
                <w:sz w:val="24"/>
                <w:szCs w:val="24"/>
              </w:rPr>
              <w:lastRenderedPageBreak/>
              <w:t>Debilidades</w:t>
            </w:r>
          </w:p>
        </w:tc>
        <w:tc>
          <w:tcPr>
            <w:tcW w:w="2729" w:type="pct"/>
            <w:shd w:val="clear" w:color="auto" w:fill="0E4E7A"/>
            <w:vAlign w:val="center"/>
          </w:tcPr>
          <w:p w14:paraId="4F71275F" w14:textId="77777777" w:rsidR="00E51C01" w:rsidRPr="007E57C4" w:rsidRDefault="00E51C01" w:rsidP="00DE1DDE">
            <w:pPr>
              <w:spacing w:line="276" w:lineRule="auto"/>
              <w:jc w:val="center"/>
              <w:rPr>
                <w:rFonts w:ascii="Century Gothic" w:hAnsi="Century Gothic"/>
                <w:b/>
                <w:color w:val="FFFFFF" w:themeColor="background1"/>
                <w:sz w:val="24"/>
                <w:szCs w:val="24"/>
              </w:rPr>
            </w:pPr>
            <w:r w:rsidRPr="007E57C4">
              <w:rPr>
                <w:rFonts w:ascii="Century Gothic" w:hAnsi="Century Gothic"/>
                <w:b/>
                <w:color w:val="FFFFFF" w:themeColor="background1"/>
                <w:sz w:val="24"/>
                <w:szCs w:val="24"/>
              </w:rPr>
              <w:t>Recomendación</w:t>
            </w:r>
          </w:p>
        </w:tc>
      </w:tr>
      <w:tr w:rsidR="00E51C01" w:rsidRPr="007E57C4" w14:paraId="1500CA3B" w14:textId="77777777" w:rsidTr="00B23C60">
        <w:trPr>
          <w:trHeight w:val="2897"/>
        </w:trPr>
        <w:tc>
          <w:tcPr>
            <w:tcW w:w="2271" w:type="pct"/>
            <w:vAlign w:val="center"/>
          </w:tcPr>
          <w:p w14:paraId="7C71B47B" w14:textId="77777777" w:rsidR="00E51C01" w:rsidRPr="00B23C60" w:rsidRDefault="007A26AD" w:rsidP="00B23C60">
            <w:pPr>
              <w:spacing w:line="276" w:lineRule="auto"/>
              <w:jc w:val="both"/>
              <w:rPr>
                <w:rFonts w:ascii="Century Gothic" w:hAnsi="Century Gothic"/>
                <w:sz w:val="24"/>
                <w:szCs w:val="24"/>
              </w:rPr>
            </w:pPr>
            <w:r w:rsidRPr="00B23C60">
              <w:rPr>
                <w:rFonts w:ascii="Century Gothic" w:hAnsi="Century Gothic"/>
                <w:sz w:val="24"/>
                <w:szCs w:val="24"/>
              </w:rPr>
              <w:t>Algunos de los procesos sustantivos para la generación de obras de infraestructura presentan vacíos, ya sea normativos o ambigüedades, esto básicamente porque no se han actualizado los procesos establecidos desde el año 2014.</w:t>
            </w:r>
          </w:p>
        </w:tc>
        <w:tc>
          <w:tcPr>
            <w:tcW w:w="2729" w:type="pct"/>
            <w:vAlign w:val="center"/>
          </w:tcPr>
          <w:p w14:paraId="3125DFA0" w14:textId="77777777" w:rsidR="00E51C01" w:rsidRPr="00B23C60" w:rsidRDefault="00575C69" w:rsidP="00B23C60">
            <w:pPr>
              <w:spacing w:line="276" w:lineRule="auto"/>
              <w:jc w:val="both"/>
              <w:rPr>
                <w:rFonts w:ascii="Century Gothic" w:hAnsi="Century Gothic"/>
                <w:sz w:val="24"/>
                <w:szCs w:val="24"/>
              </w:rPr>
            </w:pPr>
            <w:r w:rsidRPr="00B23C60">
              <w:rPr>
                <w:rFonts w:ascii="Century Gothic" w:hAnsi="Century Gothic"/>
                <w:sz w:val="24"/>
                <w:szCs w:val="24"/>
              </w:rPr>
              <w:t>Trabajar en la estandarización de los procesos para la generación de infraestructura,</w:t>
            </w:r>
            <w:r w:rsidR="000551DC" w:rsidRPr="00B23C60">
              <w:rPr>
                <w:rFonts w:ascii="Century Gothic" w:hAnsi="Century Gothic"/>
                <w:sz w:val="24"/>
                <w:szCs w:val="24"/>
              </w:rPr>
              <w:t xml:space="preserve"> actualizando la normatividad que los regula</w:t>
            </w:r>
            <w:r w:rsidRPr="00B23C60">
              <w:rPr>
                <w:rFonts w:ascii="Century Gothic" w:hAnsi="Century Gothic"/>
                <w:sz w:val="24"/>
                <w:szCs w:val="24"/>
              </w:rPr>
              <w:t xml:space="preserve"> sobre todo en </w:t>
            </w:r>
            <w:r w:rsidR="00534E37" w:rsidRPr="00B23C60">
              <w:rPr>
                <w:rFonts w:ascii="Century Gothic" w:hAnsi="Century Gothic"/>
                <w:sz w:val="24"/>
                <w:szCs w:val="24"/>
              </w:rPr>
              <w:t xml:space="preserve">los procesos de </w:t>
            </w:r>
            <w:r w:rsidRPr="00B23C60">
              <w:rPr>
                <w:rFonts w:ascii="Century Gothic" w:hAnsi="Century Gothic"/>
                <w:sz w:val="24"/>
                <w:szCs w:val="24"/>
              </w:rPr>
              <w:t xml:space="preserve">planeación y ejercicio, </w:t>
            </w:r>
            <w:r w:rsidR="00534E37" w:rsidRPr="00B23C60">
              <w:rPr>
                <w:rFonts w:ascii="Century Gothic" w:hAnsi="Century Gothic"/>
                <w:sz w:val="24"/>
                <w:szCs w:val="24"/>
              </w:rPr>
              <w:t xml:space="preserve">esto </w:t>
            </w:r>
            <w:r w:rsidRPr="00B23C60">
              <w:rPr>
                <w:rFonts w:ascii="Century Gothic" w:hAnsi="Century Gothic"/>
                <w:sz w:val="24"/>
                <w:szCs w:val="24"/>
              </w:rPr>
              <w:t>en conjunto con las áreas involucradas (Secretaría de Finanzas y Planeación, SEIDUR, SEDESOL, SEDESCOL).</w:t>
            </w:r>
          </w:p>
        </w:tc>
      </w:tr>
      <w:tr w:rsidR="00E51C01" w:rsidRPr="007E57C4" w14:paraId="780A23F3" w14:textId="77777777" w:rsidTr="00B23C60">
        <w:tc>
          <w:tcPr>
            <w:tcW w:w="2271" w:type="pct"/>
            <w:vAlign w:val="center"/>
          </w:tcPr>
          <w:p w14:paraId="5A5AE963" w14:textId="77777777" w:rsidR="00E51C01" w:rsidRPr="00B23C60" w:rsidRDefault="007A26AD" w:rsidP="00B23C60">
            <w:pPr>
              <w:spacing w:line="276" w:lineRule="auto"/>
              <w:jc w:val="both"/>
              <w:rPr>
                <w:rFonts w:ascii="Century Gothic" w:hAnsi="Century Gothic"/>
                <w:sz w:val="24"/>
                <w:szCs w:val="24"/>
              </w:rPr>
            </w:pPr>
            <w:r w:rsidRPr="00B23C60">
              <w:rPr>
                <w:rFonts w:ascii="Century Gothic" w:hAnsi="Century Gothic"/>
                <w:sz w:val="24"/>
                <w:szCs w:val="24"/>
              </w:rPr>
              <w:t>No se tiene documentado los criterios explícitos de selección (prioridades) de proyectos de obras y acciones de infraestructura en el proceso de planeación</w:t>
            </w:r>
            <w:r w:rsidR="00575C69" w:rsidRPr="00B23C60">
              <w:rPr>
                <w:rFonts w:ascii="Century Gothic" w:hAnsi="Century Gothic"/>
                <w:sz w:val="24"/>
                <w:szCs w:val="24"/>
              </w:rPr>
              <w:t>.</w:t>
            </w:r>
          </w:p>
        </w:tc>
        <w:tc>
          <w:tcPr>
            <w:tcW w:w="2729" w:type="pct"/>
            <w:vAlign w:val="center"/>
          </w:tcPr>
          <w:p w14:paraId="6CB85E64" w14:textId="77777777" w:rsidR="00E51C01" w:rsidRPr="00B23C60" w:rsidRDefault="00350250" w:rsidP="00B23C60">
            <w:pPr>
              <w:spacing w:line="276" w:lineRule="auto"/>
              <w:jc w:val="both"/>
              <w:rPr>
                <w:rFonts w:ascii="Century Gothic" w:hAnsi="Century Gothic"/>
                <w:sz w:val="24"/>
                <w:szCs w:val="24"/>
              </w:rPr>
            </w:pPr>
            <w:r w:rsidRPr="00B23C60">
              <w:rPr>
                <w:rFonts w:ascii="Century Gothic" w:hAnsi="Century Gothic"/>
                <w:sz w:val="24"/>
                <w:szCs w:val="24"/>
              </w:rPr>
              <w:t xml:space="preserve">Integrar información sobre el diagnóstico de las necesidades de obras y acciones de infraestructura social básica, siendo esto uno de los referentes para la selección de obras a realizar. </w:t>
            </w:r>
          </w:p>
        </w:tc>
      </w:tr>
      <w:tr w:rsidR="00534E37" w:rsidRPr="007E57C4" w14:paraId="0AABCFC4" w14:textId="77777777" w:rsidTr="00B23C60">
        <w:tc>
          <w:tcPr>
            <w:tcW w:w="2271" w:type="pct"/>
            <w:vAlign w:val="center"/>
          </w:tcPr>
          <w:p w14:paraId="38122AC6" w14:textId="77777777" w:rsidR="00534E37" w:rsidRPr="00B23C60" w:rsidRDefault="00534E37" w:rsidP="00B23C60">
            <w:pPr>
              <w:spacing w:line="276" w:lineRule="auto"/>
              <w:jc w:val="both"/>
              <w:rPr>
                <w:rFonts w:ascii="Century Gothic" w:hAnsi="Century Gothic"/>
                <w:sz w:val="24"/>
                <w:szCs w:val="24"/>
              </w:rPr>
            </w:pPr>
            <w:r w:rsidRPr="00B23C60">
              <w:rPr>
                <w:rFonts w:ascii="Century Gothic" w:hAnsi="Century Gothic"/>
                <w:sz w:val="24"/>
                <w:szCs w:val="24"/>
              </w:rPr>
              <w:t>No se tienen desarrollados los procesos para</w:t>
            </w:r>
            <w:r w:rsidR="0053161B" w:rsidRPr="00B23C60">
              <w:rPr>
                <w:rFonts w:ascii="Century Gothic" w:hAnsi="Century Gothic"/>
                <w:sz w:val="24"/>
                <w:szCs w:val="24"/>
              </w:rPr>
              <w:t xml:space="preserve"> la asignación del recurso,</w:t>
            </w:r>
            <w:r w:rsidRPr="00B23C60">
              <w:rPr>
                <w:rFonts w:ascii="Century Gothic" w:hAnsi="Century Gothic"/>
                <w:sz w:val="24"/>
                <w:szCs w:val="24"/>
              </w:rPr>
              <w:t xml:space="preserve"> Rendición de cuentas y evaluación.</w:t>
            </w:r>
          </w:p>
        </w:tc>
        <w:tc>
          <w:tcPr>
            <w:tcW w:w="2729" w:type="pct"/>
            <w:vAlign w:val="center"/>
          </w:tcPr>
          <w:p w14:paraId="2BFFAD65" w14:textId="77777777" w:rsidR="00534E37" w:rsidRPr="00B23C60" w:rsidRDefault="0053161B" w:rsidP="00B23C60">
            <w:pPr>
              <w:spacing w:line="276" w:lineRule="auto"/>
              <w:jc w:val="both"/>
              <w:rPr>
                <w:rFonts w:ascii="Century Gothic" w:hAnsi="Century Gothic"/>
                <w:sz w:val="24"/>
                <w:szCs w:val="24"/>
              </w:rPr>
            </w:pPr>
            <w:r w:rsidRPr="00B23C60">
              <w:rPr>
                <w:rFonts w:ascii="Century Gothic" w:hAnsi="Century Gothic"/>
                <w:sz w:val="24"/>
                <w:szCs w:val="24"/>
              </w:rPr>
              <w:t xml:space="preserve">Desarrollar los procesos para la Asignación del recurso, Rendición de cuentas y evaluación, teniendo presente que dichos procesos son más generales </w:t>
            </w:r>
          </w:p>
        </w:tc>
      </w:tr>
      <w:tr w:rsidR="00E51C01" w:rsidRPr="007E57C4" w14:paraId="2B7E87A5" w14:textId="77777777" w:rsidTr="00B23C60">
        <w:tc>
          <w:tcPr>
            <w:tcW w:w="2271" w:type="pct"/>
            <w:vAlign w:val="center"/>
          </w:tcPr>
          <w:p w14:paraId="7C4E3E08" w14:textId="77777777" w:rsidR="00E51C01" w:rsidRPr="00B23C60" w:rsidRDefault="009A7C67" w:rsidP="00B23C60">
            <w:pPr>
              <w:spacing w:line="276" w:lineRule="auto"/>
              <w:jc w:val="both"/>
              <w:rPr>
                <w:rFonts w:ascii="Century Gothic" w:hAnsi="Century Gothic"/>
                <w:sz w:val="24"/>
                <w:szCs w:val="24"/>
              </w:rPr>
            </w:pPr>
            <w:r w:rsidRPr="00B23C60">
              <w:rPr>
                <w:rFonts w:ascii="Century Gothic" w:hAnsi="Century Gothic"/>
                <w:sz w:val="24"/>
                <w:szCs w:val="24"/>
              </w:rPr>
              <w:t xml:space="preserve">En el proceso de Seguimiento y control se evidencio un vacío en cuanto a la supervisión de la obra, pues no se refleja cómo es el procedimiento, ni que acciones se deben tomar cuando no se cumple con las especificaciones establecidas.  </w:t>
            </w:r>
          </w:p>
        </w:tc>
        <w:tc>
          <w:tcPr>
            <w:tcW w:w="2729" w:type="pct"/>
            <w:vAlign w:val="center"/>
          </w:tcPr>
          <w:p w14:paraId="60AEC313" w14:textId="77777777" w:rsidR="00E51C01" w:rsidRPr="00B23C60" w:rsidRDefault="009A7C67" w:rsidP="00B23C60">
            <w:pPr>
              <w:spacing w:line="276" w:lineRule="auto"/>
              <w:jc w:val="both"/>
              <w:rPr>
                <w:rFonts w:ascii="Century Gothic" w:hAnsi="Century Gothic"/>
                <w:sz w:val="24"/>
                <w:szCs w:val="24"/>
              </w:rPr>
            </w:pPr>
            <w:r w:rsidRPr="00B23C60">
              <w:rPr>
                <w:rFonts w:ascii="Century Gothic" w:hAnsi="Century Gothic"/>
                <w:sz w:val="24"/>
                <w:szCs w:val="24"/>
              </w:rPr>
              <w:t>Es necesario primero actualizar a la normatividad vigente el Plan de calidad para la ejecución de la obra, y además detallar o hacer énfasis en como es el procedimiento para la supervisión de la obra.</w:t>
            </w:r>
          </w:p>
        </w:tc>
      </w:tr>
      <w:tr w:rsidR="009A7C67" w:rsidRPr="007E57C4" w14:paraId="1E8396A3" w14:textId="77777777" w:rsidTr="00B23C60">
        <w:tc>
          <w:tcPr>
            <w:tcW w:w="2271" w:type="pct"/>
            <w:vAlign w:val="center"/>
          </w:tcPr>
          <w:p w14:paraId="30269351" w14:textId="77777777" w:rsidR="009A7C67" w:rsidRPr="00B23C60" w:rsidRDefault="009A7C67" w:rsidP="00B23C60">
            <w:pPr>
              <w:spacing w:line="276" w:lineRule="auto"/>
              <w:jc w:val="both"/>
              <w:rPr>
                <w:rFonts w:ascii="Century Gothic" w:hAnsi="Century Gothic"/>
                <w:sz w:val="24"/>
                <w:szCs w:val="24"/>
              </w:rPr>
            </w:pPr>
            <w:r w:rsidRPr="00B23C60">
              <w:rPr>
                <w:rFonts w:ascii="Century Gothic" w:hAnsi="Century Gothic"/>
                <w:sz w:val="24"/>
                <w:szCs w:val="24"/>
              </w:rPr>
              <w:t>Débiles mecanismos de coordinación</w:t>
            </w:r>
            <w:r w:rsidR="0042065F">
              <w:rPr>
                <w:rFonts w:ascii="Century Gothic" w:hAnsi="Century Gothic"/>
                <w:sz w:val="24"/>
                <w:szCs w:val="24"/>
              </w:rPr>
              <w:t xml:space="preserve"> y comunicación</w:t>
            </w:r>
            <w:r w:rsidRPr="00B23C60">
              <w:rPr>
                <w:rFonts w:ascii="Century Gothic" w:hAnsi="Century Gothic"/>
                <w:sz w:val="24"/>
                <w:szCs w:val="24"/>
              </w:rPr>
              <w:t xml:space="preserve"> entre las dependencias relacionadas con el desarrollo </w:t>
            </w:r>
            <w:r w:rsidR="0042065F">
              <w:rPr>
                <w:rFonts w:ascii="Century Gothic" w:hAnsi="Century Gothic"/>
                <w:sz w:val="24"/>
                <w:szCs w:val="24"/>
              </w:rPr>
              <w:t xml:space="preserve">de infraestructura </w:t>
            </w:r>
            <w:r w:rsidRPr="00B23C60">
              <w:rPr>
                <w:rFonts w:ascii="Century Gothic" w:hAnsi="Century Gothic"/>
                <w:sz w:val="24"/>
                <w:szCs w:val="24"/>
              </w:rPr>
              <w:t>social del estado.</w:t>
            </w:r>
          </w:p>
        </w:tc>
        <w:tc>
          <w:tcPr>
            <w:tcW w:w="2729" w:type="pct"/>
            <w:vAlign w:val="center"/>
          </w:tcPr>
          <w:p w14:paraId="52EE641D" w14:textId="77777777" w:rsidR="009A7C67" w:rsidRPr="00B23C60" w:rsidRDefault="009A7C67" w:rsidP="00B23C60">
            <w:pPr>
              <w:spacing w:line="276" w:lineRule="auto"/>
              <w:jc w:val="both"/>
              <w:rPr>
                <w:rFonts w:ascii="Century Gothic" w:hAnsi="Century Gothic"/>
                <w:sz w:val="24"/>
                <w:szCs w:val="24"/>
              </w:rPr>
            </w:pPr>
            <w:r w:rsidRPr="00B23C60">
              <w:rPr>
                <w:rFonts w:ascii="Century Gothic" w:hAnsi="Century Gothic"/>
                <w:sz w:val="24"/>
                <w:szCs w:val="24"/>
              </w:rPr>
              <w:t>Establecer mayores elementos de coordinación y comunicación con las áreas involucradas en el desarrollo de infraestructura social. Los esfuerzos deben estar dirigidos no sólo a incrementar la participación de actores relevantes sino también para agilizar procedimientos relacionados con el desarrollo y entrega de las obras.</w:t>
            </w:r>
          </w:p>
        </w:tc>
      </w:tr>
    </w:tbl>
    <w:p w14:paraId="3936A67C" w14:textId="77777777" w:rsidR="00E51C01" w:rsidRPr="007A26AD" w:rsidRDefault="00E51C01" w:rsidP="00FC3902">
      <w:pPr>
        <w:spacing w:after="240" w:line="276" w:lineRule="auto"/>
        <w:rPr>
          <w:rFonts w:ascii="Century Gothic" w:hAnsi="Century Gothic"/>
        </w:rPr>
      </w:pPr>
    </w:p>
    <w:p w14:paraId="009DB087" w14:textId="77777777" w:rsidR="00E51C01" w:rsidRPr="007A26AD" w:rsidRDefault="00E51C01" w:rsidP="00A051D2">
      <w:pPr>
        <w:pStyle w:val="Ttulo2"/>
        <w:spacing w:before="0" w:after="120" w:line="276" w:lineRule="auto"/>
        <w:rPr>
          <w:rFonts w:ascii="Century Gothic" w:hAnsi="Century Gothic"/>
          <w:color w:val="0E4E7A"/>
          <w:sz w:val="24"/>
          <w:szCs w:val="24"/>
        </w:rPr>
      </w:pPr>
      <w:bookmarkStart w:id="52" w:name="_Toc511236540"/>
      <w:r w:rsidRPr="007A26AD">
        <w:rPr>
          <w:rFonts w:ascii="Century Gothic" w:hAnsi="Century Gothic"/>
          <w:color w:val="0E4E7A"/>
          <w:sz w:val="24"/>
          <w:szCs w:val="24"/>
        </w:rPr>
        <w:t>Análisis Externo</w:t>
      </w:r>
      <w:bookmarkEnd w:id="52"/>
    </w:p>
    <w:tbl>
      <w:tblPr>
        <w:tblStyle w:val="Tablaconcuadrcula"/>
        <w:tblW w:w="5000" w:type="pct"/>
        <w:tblLook w:val="04A0" w:firstRow="1" w:lastRow="0" w:firstColumn="1" w:lastColumn="0" w:noHBand="0" w:noVBand="1"/>
      </w:tblPr>
      <w:tblGrid>
        <w:gridCol w:w="4530"/>
        <w:gridCol w:w="4530"/>
      </w:tblGrid>
      <w:tr w:rsidR="00E51C01" w:rsidRPr="007A26AD" w14:paraId="47BC9E0B" w14:textId="77777777" w:rsidTr="006C311C">
        <w:trPr>
          <w:trHeight w:val="530"/>
        </w:trPr>
        <w:tc>
          <w:tcPr>
            <w:tcW w:w="2500" w:type="pct"/>
            <w:shd w:val="clear" w:color="auto" w:fill="0E4E7A"/>
            <w:vAlign w:val="center"/>
          </w:tcPr>
          <w:p w14:paraId="3C89D77A" w14:textId="77777777" w:rsidR="00E51C01" w:rsidRPr="007A26AD" w:rsidRDefault="00E51C01" w:rsidP="00DE1DDE">
            <w:pPr>
              <w:spacing w:line="276" w:lineRule="auto"/>
              <w:jc w:val="center"/>
              <w:rPr>
                <w:rFonts w:ascii="Century Gothic" w:hAnsi="Century Gothic"/>
                <w:b/>
                <w:color w:val="FFFFFF" w:themeColor="background1"/>
                <w:sz w:val="24"/>
                <w:szCs w:val="24"/>
              </w:rPr>
            </w:pPr>
            <w:r w:rsidRPr="007A26AD">
              <w:rPr>
                <w:rFonts w:ascii="Century Gothic" w:hAnsi="Century Gothic"/>
                <w:b/>
                <w:color w:val="FFFFFF" w:themeColor="background1"/>
                <w:sz w:val="24"/>
                <w:szCs w:val="24"/>
              </w:rPr>
              <w:t>Oportunidades</w:t>
            </w:r>
          </w:p>
        </w:tc>
        <w:tc>
          <w:tcPr>
            <w:tcW w:w="2500" w:type="pct"/>
            <w:shd w:val="clear" w:color="auto" w:fill="0E4E7A"/>
            <w:vAlign w:val="center"/>
          </w:tcPr>
          <w:p w14:paraId="0F1C3226" w14:textId="77777777" w:rsidR="00E51C01" w:rsidRPr="007A26AD" w:rsidRDefault="00E51C01" w:rsidP="00DE1DDE">
            <w:pPr>
              <w:spacing w:line="276" w:lineRule="auto"/>
              <w:jc w:val="center"/>
              <w:rPr>
                <w:rFonts w:ascii="Century Gothic" w:hAnsi="Century Gothic"/>
                <w:b/>
                <w:color w:val="FFFFFF" w:themeColor="background1"/>
                <w:sz w:val="24"/>
                <w:szCs w:val="24"/>
              </w:rPr>
            </w:pPr>
            <w:r w:rsidRPr="007A26AD">
              <w:rPr>
                <w:rFonts w:ascii="Century Gothic" w:hAnsi="Century Gothic"/>
                <w:b/>
                <w:color w:val="FFFFFF" w:themeColor="background1"/>
                <w:sz w:val="24"/>
                <w:szCs w:val="24"/>
              </w:rPr>
              <w:t>Recomendación</w:t>
            </w:r>
          </w:p>
        </w:tc>
      </w:tr>
      <w:tr w:rsidR="00E51C01" w:rsidRPr="007A26AD" w14:paraId="0EDDFFF4" w14:textId="77777777" w:rsidTr="006C311C">
        <w:trPr>
          <w:trHeight w:val="2536"/>
        </w:trPr>
        <w:tc>
          <w:tcPr>
            <w:tcW w:w="2500" w:type="pct"/>
            <w:vAlign w:val="center"/>
          </w:tcPr>
          <w:p w14:paraId="2A07D55A" w14:textId="77777777" w:rsidR="00E51C01" w:rsidRPr="007A26AD" w:rsidRDefault="0035533B" w:rsidP="00A051D2">
            <w:pPr>
              <w:spacing w:after="80" w:line="276" w:lineRule="auto"/>
              <w:jc w:val="both"/>
              <w:rPr>
                <w:rFonts w:ascii="Century Gothic" w:hAnsi="Century Gothic"/>
                <w:sz w:val="24"/>
                <w:szCs w:val="24"/>
              </w:rPr>
            </w:pPr>
            <w:r w:rsidRPr="0035533B">
              <w:rPr>
                <w:rFonts w:ascii="Century Gothic" w:hAnsi="Century Gothic"/>
                <w:sz w:val="24"/>
                <w:szCs w:val="24"/>
              </w:rPr>
              <w:t xml:space="preserve">Tanto los gestores voluntarios </w:t>
            </w:r>
            <w:r w:rsidR="004448ED">
              <w:rPr>
                <w:rFonts w:ascii="Century Gothic" w:hAnsi="Century Gothic"/>
                <w:sz w:val="24"/>
                <w:szCs w:val="24"/>
              </w:rPr>
              <w:t xml:space="preserve">de la ciudadanía </w:t>
            </w:r>
            <w:r w:rsidRPr="0035533B">
              <w:rPr>
                <w:rFonts w:ascii="Century Gothic" w:hAnsi="Century Gothic"/>
                <w:sz w:val="24"/>
                <w:szCs w:val="24"/>
              </w:rPr>
              <w:t xml:space="preserve">como los </w:t>
            </w:r>
            <w:r w:rsidR="004448ED">
              <w:rPr>
                <w:rFonts w:ascii="Century Gothic" w:hAnsi="Century Gothic"/>
                <w:sz w:val="24"/>
                <w:szCs w:val="24"/>
              </w:rPr>
              <w:t>subc</w:t>
            </w:r>
            <w:r w:rsidRPr="0035533B">
              <w:rPr>
                <w:rFonts w:ascii="Century Gothic" w:hAnsi="Century Gothic"/>
                <w:sz w:val="24"/>
                <w:szCs w:val="24"/>
              </w:rPr>
              <w:t>omités de</w:t>
            </w:r>
            <w:r w:rsidR="004448ED">
              <w:rPr>
                <w:rFonts w:ascii="Century Gothic" w:hAnsi="Century Gothic"/>
                <w:sz w:val="24"/>
                <w:szCs w:val="24"/>
              </w:rPr>
              <w:t xml:space="preserve"> las diferentes dependencias </w:t>
            </w:r>
            <w:r w:rsidRPr="0035533B">
              <w:rPr>
                <w:rFonts w:ascii="Century Gothic" w:hAnsi="Century Gothic"/>
                <w:sz w:val="24"/>
                <w:szCs w:val="24"/>
              </w:rPr>
              <w:t xml:space="preserve"> pueden ejercer funciones de </w:t>
            </w:r>
            <w:r w:rsidR="004448ED">
              <w:rPr>
                <w:rFonts w:ascii="Century Gothic" w:hAnsi="Century Gothic"/>
                <w:sz w:val="24"/>
                <w:szCs w:val="24"/>
              </w:rPr>
              <w:t>supervisión y control de las obras</w:t>
            </w:r>
            <w:r w:rsidRPr="0035533B">
              <w:rPr>
                <w:rFonts w:ascii="Century Gothic" w:hAnsi="Century Gothic"/>
                <w:sz w:val="24"/>
                <w:szCs w:val="24"/>
              </w:rPr>
              <w:t>,</w:t>
            </w:r>
            <w:r w:rsidR="004448ED">
              <w:rPr>
                <w:rFonts w:ascii="Century Gothic" w:hAnsi="Century Gothic"/>
                <w:sz w:val="24"/>
                <w:szCs w:val="24"/>
              </w:rPr>
              <w:t xml:space="preserve"> </w:t>
            </w:r>
            <w:r w:rsidRPr="0035533B">
              <w:rPr>
                <w:rFonts w:ascii="Century Gothic" w:hAnsi="Century Gothic"/>
                <w:sz w:val="24"/>
                <w:szCs w:val="24"/>
              </w:rPr>
              <w:t xml:space="preserve">sin embargo, no se </w:t>
            </w:r>
            <w:r w:rsidR="004448ED">
              <w:rPr>
                <w:rFonts w:ascii="Century Gothic" w:hAnsi="Century Gothic"/>
                <w:sz w:val="24"/>
                <w:szCs w:val="24"/>
              </w:rPr>
              <w:t>evidencio</w:t>
            </w:r>
            <w:r w:rsidRPr="0035533B">
              <w:rPr>
                <w:rFonts w:ascii="Century Gothic" w:hAnsi="Century Gothic"/>
                <w:sz w:val="24"/>
                <w:szCs w:val="24"/>
              </w:rPr>
              <w:t xml:space="preserve"> mecanismos de</w:t>
            </w:r>
            <w:r w:rsidR="004448ED">
              <w:rPr>
                <w:rFonts w:ascii="Century Gothic" w:hAnsi="Century Gothic"/>
                <w:sz w:val="24"/>
                <w:szCs w:val="24"/>
              </w:rPr>
              <w:t xml:space="preserve"> </w:t>
            </w:r>
            <w:r w:rsidRPr="0035533B">
              <w:rPr>
                <w:rFonts w:ascii="Century Gothic" w:hAnsi="Century Gothic"/>
                <w:sz w:val="24"/>
                <w:szCs w:val="24"/>
              </w:rPr>
              <w:t>coordinación entre ambos.</w:t>
            </w:r>
          </w:p>
        </w:tc>
        <w:tc>
          <w:tcPr>
            <w:tcW w:w="2500" w:type="pct"/>
            <w:vAlign w:val="center"/>
          </w:tcPr>
          <w:p w14:paraId="0990B0DF" w14:textId="77777777" w:rsidR="00E51C01" w:rsidRPr="007A26AD" w:rsidRDefault="00E65D15" w:rsidP="00A051D2">
            <w:pPr>
              <w:spacing w:after="80" w:line="276" w:lineRule="auto"/>
              <w:jc w:val="both"/>
              <w:rPr>
                <w:rFonts w:ascii="Century Gothic" w:hAnsi="Century Gothic"/>
                <w:sz w:val="24"/>
                <w:szCs w:val="24"/>
              </w:rPr>
            </w:pPr>
            <w:r>
              <w:rPr>
                <w:rFonts w:ascii="Century Gothic" w:hAnsi="Century Gothic"/>
                <w:sz w:val="24"/>
                <w:szCs w:val="24"/>
              </w:rPr>
              <w:t>Desarrollar una estrategia donde se involucre a la población y a los diferentes subcomités en la supervisión de las obras que se estén realizando.</w:t>
            </w:r>
          </w:p>
        </w:tc>
      </w:tr>
      <w:tr w:rsidR="0031103F" w:rsidRPr="007A26AD" w14:paraId="690764C7" w14:textId="77777777" w:rsidTr="006C311C">
        <w:trPr>
          <w:trHeight w:val="2543"/>
        </w:trPr>
        <w:tc>
          <w:tcPr>
            <w:tcW w:w="2500" w:type="pct"/>
            <w:vAlign w:val="center"/>
          </w:tcPr>
          <w:p w14:paraId="75B0FC2B" w14:textId="77777777" w:rsidR="0031103F" w:rsidRPr="004C5A86" w:rsidRDefault="0031103F" w:rsidP="00A051D2">
            <w:pPr>
              <w:spacing w:after="80" w:line="276" w:lineRule="auto"/>
              <w:jc w:val="both"/>
              <w:rPr>
                <w:rFonts w:ascii="Century Gothic" w:eastAsiaTheme="majorEastAsia" w:hAnsi="Century Gothic" w:cstheme="majorBidi"/>
                <w:b/>
                <w:color w:val="FFFFFF" w:themeColor="background1"/>
                <w:sz w:val="24"/>
                <w:szCs w:val="24"/>
              </w:rPr>
            </w:pPr>
            <w:r>
              <w:rPr>
                <w:rFonts w:ascii="Century Gothic" w:hAnsi="Century Gothic"/>
                <w:sz w:val="24"/>
                <w:szCs w:val="24"/>
              </w:rPr>
              <w:t>Se destaca la s</w:t>
            </w:r>
            <w:r w:rsidRPr="004C5A86">
              <w:rPr>
                <w:rFonts w:ascii="Century Gothic" w:hAnsi="Century Gothic"/>
                <w:sz w:val="24"/>
                <w:szCs w:val="24"/>
              </w:rPr>
              <w:t xml:space="preserve">inergia entre </w:t>
            </w:r>
            <w:r>
              <w:rPr>
                <w:rFonts w:ascii="Century Gothic" w:hAnsi="Century Gothic"/>
                <w:sz w:val="24"/>
                <w:szCs w:val="24"/>
              </w:rPr>
              <w:t>los</w:t>
            </w:r>
            <w:r w:rsidRPr="004C5A86">
              <w:rPr>
                <w:rFonts w:ascii="Century Gothic" w:hAnsi="Century Gothic"/>
                <w:sz w:val="24"/>
                <w:szCs w:val="24"/>
              </w:rPr>
              <w:t xml:space="preserve"> </w:t>
            </w:r>
            <w:r>
              <w:rPr>
                <w:rFonts w:ascii="Century Gothic" w:hAnsi="Century Gothic"/>
                <w:sz w:val="24"/>
                <w:szCs w:val="24"/>
              </w:rPr>
              <w:t xml:space="preserve">diferentes </w:t>
            </w:r>
            <w:r w:rsidRPr="004C5A86">
              <w:rPr>
                <w:rFonts w:ascii="Century Gothic" w:hAnsi="Century Gothic"/>
                <w:sz w:val="24"/>
                <w:szCs w:val="24"/>
              </w:rPr>
              <w:t xml:space="preserve">niveles de gobierno, </w:t>
            </w:r>
            <w:r>
              <w:rPr>
                <w:rFonts w:ascii="Century Gothic" w:hAnsi="Century Gothic"/>
                <w:sz w:val="24"/>
                <w:szCs w:val="24"/>
              </w:rPr>
              <w:t>lo que se refleja en convenios que permitieron mayores recursos para el desarrollo de obras de infraestructura social</w:t>
            </w:r>
            <w:r w:rsidRPr="004C5A86">
              <w:rPr>
                <w:rFonts w:ascii="Century Gothic" w:hAnsi="Century Gothic"/>
                <w:sz w:val="24"/>
                <w:szCs w:val="24"/>
              </w:rPr>
              <w:t>.</w:t>
            </w:r>
          </w:p>
        </w:tc>
        <w:tc>
          <w:tcPr>
            <w:tcW w:w="2500" w:type="pct"/>
            <w:vAlign w:val="center"/>
          </w:tcPr>
          <w:p w14:paraId="21C6F73B" w14:textId="77777777" w:rsidR="0031103F" w:rsidRPr="004C5A86" w:rsidRDefault="0031103F" w:rsidP="00A051D2">
            <w:pPr>
              <w:spacing w:after="80" w:line="276" w:lineRule="auto"/>
              <w:jc w:val="both"/>
              <w:rPr>
                <w:rFonts w:ascii="Century Gothic" w:eastAsiaTheme="majorEastAsia" w:hAnsi="Century Gothic" w:cstheme="majorBidi"/>
                <w:b/>
                <w:color w:val="FFFFFF" w:themeColor="background1"/>
                <w:sz w:val="24"/>
                <w:szCs w:val="24"/>
              </w:rPr>
            </w:pPr>
            <w:r>
              <w:rPr>
                <w:rFonts w:ascii="Century Gothic" w:hAnsi="Century Gothic"/>
                <w:sz w:val="24"/>
                <w:szCs w:val="24"/>
              </w:rPr>
              <w:t xml:space="preserve">Continuar con la estrategia de desarrollo de convenios </w:t>
            </w:r>
            <w:r w:rsidRPr="004C5A86">
              <w:rPr>
                <w:rFonts w:ascii="Century Gothic" w:hAnsi="Century Gothic"/>
                <w:sz w:val="24"/>
                <w:szCs w:val="24"/>
              </w:rPr>
              <w:t>con otras dependencias en todos los niveles de gobierno para crear sinergias que permitan desarrollar o mejorar la infraestructura, a través de nuevos y/o fortalecimiento de proyectos.</w:t>
            </w:r>
          </w:p>
        </w:tc>
      </w:tr>
    </w:tbl>
    <w:p w14:paraId="5BB21808" w14:textId="77777777" w:rsidR="00E51C01" w:rsidRPr="00A051D2" w:rsidRDefault="00E51C01" w:rsidP="00A051D2">
      <w:pPr>
        <w:spacing w:after="80" w:line="276" w:lineRule="auto"/>
        <w:rPr>
          <w:rFonts w:ascii="Century Gothic" w:hAnsi="Century Gothic"/>
          <w:sz w:val="2"/>
        </w:rPr>
      </w:pPr>
    </w:p>
    <w:tbl>
      <w:tblPr>
        <w:tblStyle w:val="Tablaconcuadrcula"/>
        <w:tblW w:w="5000" w:type="pct"/>
        <w:tblLook w:val="04A0" w:firstRow="1" w:lastRow="0" w:firstColumn="1" w:lastColumn="0" w:noHBand="0" w:noVBand="1"/>
      </w:tblPr>
      <w:tblGrid>
        <w:gridCol w:w="4530"/>
        <w:gridCol w:w="4530"/>
      </w:tblGrid>
      <w:tr w:rsidR="00E51C01" w:rsidRPr="007A26AD" w14:paraId="00DFBCF3" w14:textId="77777777" w:rsidTr="006C311C">
        <w:trPr>
          <w:trHeight w:val="583"/>
        </w:trPr>
        <w:tc>
          <w:tcPr>
            <w:tcW w:w="2500" w:type="pct"/>
            <w:shd w:val="clear" w:color="auto" w:fill="0E4E7A"/>
            <w:vAlign w:val="center"/>
          </w:tcPr>
          <w:p w14:paraId="5A50E0C4" w14:textId="77777777" w:rsidR="00E51C01" w:rsidRPr="007A26AD" w:rsidRDefault="00E51C01" w:rsidP="00A051D2">
            <w:pPr>
              <w:spacing w:line="276" w:lineRule="auto"/>
              <w:jc w:val="center"/>
              <w:rPr>
                <w:rFonts w:ascii="Century Gothic" w:hAnsi="Century Gothic"/>
                <w:b/>
                <w:color w:val="FFFFFF" w:themeColor="background1"/>
                <w:sz w:val="24"/>
                <w:szCs w:val="24"/>
              </w:rPr>
            </w:pPr>
            <w:r w:rsidRPr="007A26AD">
              <w:rPr>
                <w:rFonts w:ascii="Century Gothic" w:hAnsi="Century Gothic"/>
                <w:b/>
                <w:color w:val="FFFFFF" w:themeColor="background1"/>
                <w:sz w:val="24"/>
                <w:szCs w:val="24"/>
              </w:rPr>
              <w:t>Amenazas</w:t>
            </w:r>
          </w:p>
        </w:tc>
        <w:tc>
          <w:tcPr>
            <w:tcW w:w="2500" w:type="pct"/>
            <w:shd w:val="clear" w:color="auto" w:fill="0E4E7A"/>
            <w:vAlign w:val="center"/>
          </w:tcPr>
          <w:p w14:paraId="6BCBB4B0" w14:textId="77777777" w:rsidR="00E51C01" w:rsidRPr="007A26AD" w:rsidRDefault="00E51C01" w:rsidP="00A051D2">
            <w:pPr>
              <w:spacing w:line="276" w:lineRule="auto"/>
              <w:jc w:val="center"/>
              <w:rPr>
                <w:rFonts w:ascii="Century Gothic" w:hAnsi="Century Gothic"/>
                <w:b/>
                <w:color w:val="FFFFFF" w:themeColor="background1"/>
                <w:sz w:val="24"/>
                <w:szCs w:val="24"/>
              </w:rPr>
            </w:pPr>
            <w:r w:rsidRPr="007A26AD">
              <w:rPr>
                <w:rFonts w:ascii="Century Gothic" w:hAnsi="Century Gothic"/>
                <w:b/>
                <w:color w:val="FFFFFF" w:themeColor="background1"/>
                <w:sz w:val="24"/>
                <w:szCs w:val="24"/>
              </w:rPr>
              <w:t>Recomendación</w:t>
            </w:r>
          </w:p>
        </w:tc>
      </w:tr>
      <w:tr w:rsidR="00E51C01" w:rsidRPr="007A26AD" w14:paraId="371C923B" w14:textId="77777777" w:rsidTr="006C311C">
        <w:trPr>
          <w:trHeight w:val="1980"/>
        </w:trPr>
        <w:tc>
          <w:tcPr>
            <w:tcW w:w="2500" w:type="pct"/>
          </w:tcPr>
          <w:p w14:paraId="2260773E" w14:textId="77777777" w:rsidR="00E51C01" w:rsidRPr="00767F60" w:rsidRDefault="0035533B" w:rsidP="00A051D2">
            <w:pPr>
              <w:spacing w:after="80" w:line="276" w:lineRule="auto"/>
              <w:jc w:val="both"/>
              <w:rPr>
                <w:rFonts w:ascii="Century Gothic" w:hAnsi="Century Gothic"/>
                <w:sz w:val="24"/>
                <w:szCs w:val="24"/>
              </w:rPr>
            </w:pPr>
            <w:r w:rsidRPr="00767F60">
              <w:rPr>
                <w:rFonts w:ascii="Century Gothic" w:hAnsi="Century Gothic"/>
                <w:sz w:val="24"/>
                <w:szCs w:val="24"/>
              </w:rPr>
              <w:t>Disposición del presupuesto en 12 partes (Ministraciones), lo que limita una adecuada planeación de las obras</w:t>
            </w:r>
            <w:r w:rsidR="004448ED" w:rsidRPr="00767F60">
              <w:rPr>
                <w:rFonts w:ascii="Century Gothic" w:hAnsi="Century Gothic"/>
                <w:sz w:val="24"/>
                <w:szCs w:val="24"/>
              </w:rPr>
              <w:t xml:space="preserve"> e incumplimiento al pago a contratistas.</w:t>
            </w:r>
          </w:p>
        </w:tc>
        <w:tc>
          <w:tcPr>
            <w:tcW w:w="2500" w:type="pct"/>
          </w:tcPr>
          <w:p w14:paraId="69CB4B81" w14:textId="77777777" w:rsidR="00E51C01" w:rsidRPr="00767F60" w:rsidRDefault="004448ED" w:rsidP="00A051D2">
            <w:pPr>
              <w:spacing w:after="80" w:line="276" w:lineRule="auto"/>
              <w:jc w:val="both"/>
              <w:rPr>
                <w:rFonts w:ascii="Century Gothic" w:hAnsi="Century Gothic"/>
                <w:sz w:val="24"/>
                <w:szCs w:val="24"/>
              </w:rPr>
            </w:pPr>
            <w:r w:rsidRPr="00767F60">
              <w:rPr>
                <w:rFonts w:ascii="Century Gothic" w:hAnsi="Century Gothic"/>
                <w:sz w:val="24"/>
                <w:szCs w:val="24"/>
              </w:rPr>
              <w:t>Implementar  mecanismos para asegurar la disponibilidad de recursos para el desarrollo de las obras y el pago de las estimaciones a los contratistas.</w:t>
            </w:r>
          </w:p>
        </w:tc>
      </w:tr>
      <w:tr w:rsidR="00767F60" w:rsidRPr="007A26AD" w14:paraId="601D9349" w14:textId="77777777" w:rsidTr="006C311C">
        <w:tc>
          <w:tcPr>
            <w:tcW w:w="2500" w:type="pct"/>
            <w:vAlign w:val="center"/>
          </w:tcPr>
          <w:p w14:paraId="5E22B50D" w14:textId="77777777" w:rsidR="00767F60" w:rsidRPr="00767F60" w:rsidRDefault="00767F60" w:rsidP="006C311C">
            <w:pPr>
              <w:spacing w:after="80" w:line="276" w:lineRule="auto"/>
              <w:jc w:val="both"/>
              <w:rPr>
                <w:rFonts w:ascii="Century Gothic" w:hAnsi="Century Gothic"/>
                <w:sz w:val="24"/>
              </w:rPr>
            </w:pPr>
            <w:r w:rsidRPr="00767F60">
              <w:rPr>
                <w:rFonts w:ascii="Century Gothic" w:hAnsi="Century Gothic"/>
                <w:sz w:val="24"/>
              </w:rPr>
              <w:t>Las características del suelo pueden no ser viables (estudios topográficos) para el desarrollo de determinadas obras pueden no ser viables, por lo que es necesario contar con otros mecanismos de atención.</w:t>
            </w:r>
          </w:p>
        </w:tc>
        <w:tc>
          <w:tcPr>
            <w:tcW w:w="2500" w:type="pct"/>
            <w:vAlign w:val="center"/>
          </w:tcPr>
          <w:p w14:paraId="7488A8D5" w14:textId="77777777" w:rsidR="00767F60" w:rsidRDefault="006B13C9" w:rsidP="006C311C">
            <w:pPr>
              <w:spacing w:after="80" w:line="276" w:lineRule="auto"/>
              <w:jc w:val="both"/>
              <w:rPr>
                <w:rFonts w:ascii="Century Gothic" w:hAnsi="Century Gothic"/>
                <w:sz w:val="24"/>
              </w:rPr>
            </w:pPr>
            <w:r>
              <w:rPr>
                <w:rFonts w:ascii="Century Gothic" w:hAnsi="Century Gothic"/>
                <w:sz w:val="24"/>
              </w:rPr>
              <w:t>E</w:t>
            </w:r>
            <w:r w:rsidR="00767F60" w:rsidRPr="00767F60">
              <w:rPr>
                <w:rFonts w:ascii="Century Gothic" w:hAnsi="Century Gothic"/>
                <w:sz w:val="24"/>
              </w:rPr>
              <w:t xml:space="preserve">n caso de que los estudios topográficos y de viabilidad </w:t>
            </w:r>
            <w:r>
              <w:rPr>
                <w:rFonts w:ascii="Century Gothic" w:hAnsi="Century Gothic"/>
                <w:sz w:val="24"/>
              </w:rPr>
              <w:t>para el desarrollo de la obra</w:t>
            </w:r>
            <w:r w:rsidR="00767F60" w:rsidRPr="00767F60">
              <w:rPr>
                <w:rFonts w:ascii="Century Gothic" w:hAnsi="Century Gothic"/>
                <w:sz w:val="24"/>
              </w:rPr>
              <w:t xml:space="preserve"> no sean factibles</w:t>
            </w:r>
            <w:r>
              <w:rPr>
                <w:rFonts w:ascii="Century Gothic" w:hAnsi="Century Gothic"/>
                <w:sz w:val="24"/>
              </w:rPr>
              <w:t>, d</w:t>
            </w:r>
            <w:r w:rsidRPr="00767F60">
              <w:rPr>
                <w:rFonts w:ascii="Century Gothic" w:hAnsi="Century Gothic"/>
                <w:sz w:val="24"/>
              </w:rPr>
              <w:t xml:space="preserve">esarrollar mecanismos alternos </w:t>
            </w:r>
            <w:r>
              <w:rPr>
                <w:rFonts w:ascii="Century Gothic" w:hAnsi="Century Gothic"/>
                <w:sz w:val="24"/>
              </w:rPr>
              <w:t>que permitan brindar el apoyo, tal como fue el caso de las obras en drenaje donde por las condiciones del suelo no fue posible instalar red y se atendió mediante biodigestores.</w:t>
            </w:r>
          </w:p>
          <w:p w14:paraId="39C1EFE9" w14:textId="77777777" w:rsidR="006C311C" w:rsidRPr="00767F60" w:rsidRDefault="006C311C" w:rsidP="006C311C">
            <w:pPr>
              <w:spacing w:after="80" w:line="276" w:lineRule="auto"/>
              <w:jc w:val="both"/>
              <w:rPr>
                <w:rFonts w:ascii="Century Gothic" w:hAnsi="Century Gothic"/>
                <w:sz w:val="24"/>
              </w:rPr>
            </w:pPr>
          </w:p>
        </w:tc>
      </w:tr>
      <w:tr w:rsidR="00E51C01" w:rsidRPr="007A26AD" w14:paraId="479C85AB" w14:textId="77777777" w:rsidTr="006C311C">
        <w:trPr>
          <w:trHeight w:val="2961"/>
        </w:trPr>
        <w:tc>
          <w:tcPr>
            <w:tcW w:w="2500" w:type="pct"/>
          </w:tcPr>
          <w:p w14:paraId="69A848F5" w14:textId="77777777" w:rsidR="00A61537" w:rsidRPr="00A61537" w:rsidRDefault="00A61537" w:rsidP="00A051D2">
            <w:pPr>
              <w:spacing w:after="80" w:line="276" w:lineRule="auto"/>
              <w:jc w:val="both"/>
              <w:rPr>
                <w:rFonts w:ascii="Century Gothic" w:hAnsi="Century Gothic"/>
                <w:sz w:val="24"/>
                <w:szCs w:val="24"/>
              </w:rPr>
            </w:pPr>
            <w:r w:rsidRPr="00A61537">
              <w:rPr>
                <w:rFonts w:ascii="Century Gothic" w:hAnsi="Century Gothic"/>
                <w:sz w:val="24"/>
                <w:szCs w:val="24"/>
              </w:rPr>
              <w:lastRenderedPageBreak/>
              <w:t xml:space="preserve">El no tener documentado todos los procesos </w:t>
            </w:r>
            <w:r w:rsidR="00A051D2">
              <w:rPr>
                <w:rFonts w:ascii="Century Gothic" w:hAnsi="Century Gothic"/>
                <w:sz w:val="24"/>
                <w:szCs w:val="24"/>
              </w:rPr>
              <w:t>p</w:t>
            </w:r>
            <w:r w:rsidRPr="00A61537">
              <w:rPr>
                <w:rFonts w:ascii="Century Gothic" w:hAnsi="Century Gothic"/>
                <w:sz w:val="24"/>
                <w:szCs w:val="24"/>
              </w:rPr>
              <w:t>uede generar perdida de procedimientos que ya se realizan y que son óptimos</w:t>
            </w:r>
            <w:r w:rsidR="001B1148">
              <w:rPr>
                <w:rFonts w:ascii="Century Gothic" w:hAnsi="Century Gothic"/>
                <w:sz w:val="24"/>
                <w:szCs w:val="24"/>
              </w:rPr>
              <w:t>,</w:t>
            </w:r>
            <w:r w:rsidRPr="00A61537">
              <w:rPr>
                <w:rFonts w:ascii="Century Gothic" w:hAnsi="Century Gothic"/>
                <w:sz w:val="24"/>
                <w:szCs w:val="24"/>
              </w:rPr>
              <w:t xml:space="preserve"> como es el caso de la planeación, esto ante eventuales cambios bien sea de las personas responsables del proceso o por cambio de gobierno.</w:t>
            </w:r>
          </w:p>
        </w:tc>
        <w:tc>
          <w:tcPr>
            <w:tcW w:w="2500" w:type="pct"/>
          </w:tcPr>
          <w:p w14:paraId="7803DF5A" w14:textId="77777777" w:rsidR="00E51C01" w:rsidRPr="00A61537" w:rsidRDefault="00A61537" w:rsidP="00A051D2">
            <w:pPr>
              <w:spacing w:after="80" w:line="276" w:lineRule="auto"/>
              <w:jc w:val="both"/>
              <w:rPr>
                <w:rFonts w:ascii="Century Gothic" w:hAnsi="Century Gothic"/>
                <w:sz w:val="24"/>
                <w:szCs w:val="24"/>
              </w:rPr>
            </w:pPr>
            <w:r w:rsidRPr="00A61537">
              <w:rPr>
                <w:rFonts w:ascii="Century Gothic" w:hAnsi="Century Gothic"/>
                <w:sz w:val="24"/>
                <w:szCs w:val="24"/>
              </w:rPr>
              <w:t>Documentar cada uno de los procesos que den cuenta de la forma en que se realiza la asignación de recursos, planeación, operación, rendición de cuentas y evaluación, para que esto sea una herramienta ajena a los cambios de personas o responsables de los procesos.</w:t>
            </w:r>
          </w:p>
        </w:tc>
      </w:tr>
    </w:tbl>
    <w:p w14:paraId="5AC0C244" w14:textId="77777777" w:rsidR="006C311C" w:rsidRDefault="006C311C" w:rsidP="009D12E3">
      <w:pPr>
        <w:pStyle w:val="Ttulo1"/>
        <w:spacing w:before="0" w:after="240" w:line="276" w:lineRule="auto"/>
        <w:rPr>
          <w:rFonts w:ascii="Century Gothic" w:hAnsi="Century Gothic"/>
          <w:color w:val="0E4E7A"/>
        </w:rPr>
      </w:pPr>
      <w:bookmarkStart w:id="53" w:name="_Toc511236541"/>
    </w:p>
    <w:p w14:paraId="2FE9A00B" w14:textId="77777777" w:rsidR="006C311C" w:rsidRDefault="006C311C">
      <w:pPr>
        <w:rPr>
          <w:rFonts w:ascii="Century Gothic" w:eastAsiaTheme="majorEastAsia" w:hAnsi="Century Gothic" w:cstheme="majorBidi"/>
          <w:b/>
          <w:bCs/>
          <w:color w:val="0E4E7A"/>
          <w:sz w:val="28"/>
          <w:szCs w:val="28"/>
        </w:rPr>
      </w:pPr>
      <w:r>
        <w:rPr>
          <w:rFonts w:ascii="Century Gothic" w:hAnsi="Century Gothic"/>
          <w:color w:val="0E4E7A"/>
        </w:rPr>
        <w:br w:type="page"/>
      </w:r>
    </w:p>
    <w:p w14:paraId="30AD8AB5" w14:textId="77777777" w:rsidR="009D12E3" w:rsidRDefault="00B07691" w:rsidP="009D12E3">
      <w:pPr>
        <w:pStyle w:val="Ttulo1"/>
        <w:spacing w:before="0" w:after="240" w:line="276" w:lineRule="auto"/>
        <w:rPr>
          <w:rFonts w:ascii="Century Gothic" w:hAnsi="Century Gothic"/>
          <w:color w:val="0E4E7A"/>
        </w:rPr>
      </w:pPr>
      <w:r w:rsidRPr="00A774BA">
        <w:rPr>
          <w:rFonts w:ascii="Century Gothic" w:hAnsi="Century Gothic"/>
          <w:color w:val="0E4E7A"/>
        </w:rPr>
        <w:lastRenderedPageBreak/>
        <w:t>Fuentes de Consulta</w:t>
      </w:r>
      <w:bookmarkEnd w:id="53"/>
    </w:p>
    <w:p w14:paraId="0CAF0AE3" w14:textId="77777777" w:rsidR="00E9688E" w:rsidRPr="00F43155" w:rsidRDefault="00E9688E" w:rsidP="00F43155">
      <w:pPr>
        <w:spacing w:after="240" w:line="276" w:lineRule="auto"/>
        <w:jc w:val="both"/>
        <w:rPr>
          <w:rFonts w:ascii="Century Gothic" w:hAnsi="Century Gothic"/>
          <w:sz w:val="22"/>
          <w:szCs w:val="22"/>
        </w:rPr>
      </w:pPr>
      <w:r w:rsidRPr="00F43155">
        <w:rPr>
          <w:rFonts w:ascii="Century Gothic" w:hAnsi="Century Gothic"/>
          <w:sz w:val="22"/>
          <w:szCs w:val="22"/>
        </w:rPr>
        <w:t xml:space="preserve">CONAC, Acuerdo por el que se emite la clasificación programática (Tipología general). Consultado en el vínculo: </w:t>
      </w:r>
      <w:hyperlink r:id="rId51" w:history="1">
        <w:r w:rsidRPr="00F43155">
          <w:rPr>
            <w:rStyle w:val="Hipervnculo"/>
            <w:rFonts w:ascii="Century Gothic" w:hAnsi="Century Gothic"/>
            <w:sz w:val="22"/>
            <w:szCs w:val="22"/>
          </w:rPr>
          <w:t>http://www.conac.gob.mx/work/models/CONAC/normatividad/NOR_01_02_004.pdf</w:t>
        </w:r>
      </w:hyperlink>
    </w:p>
    <w:p w14:paraId="324164BB" w14:textId="77777777" w:rsidR="009D12E3" w:rsidRPr="00F43155" w:rsidRDefault="009D12E3" w:rsidP="00F43155">
      <w:pPr>
        <w:spacing w:after="240" w:line="276" w:lineRule="auto"/>
        <w:jc w:val="both"/>
        <w:rPr>
          <w:rStyle w:val="Hipervnculo"/>
          <w:rFonts w:ascii="Century Gothic" w:hAnsi="Century Gothic"/>
          <w:sz w:val="22"/>
          <w:szCs w:val="22"/>
        </w:rPr>
      </w:pPr>
      <w:r w:rsidRPr="00F43155">
        <w:rPr>
          <w:rFonts w:ascii="Century Gothic" w:hAnsi="Century Gothic"/>
          <w:sz w:val="22"/>
          <w:szCs w:val="22"/>
        </w:rPr>
        <w:t xml:space="preserve">CONEVAL, (2015). El Ramo 33 en el desarrollo social en México: evaluación de ocho fondos de política pública. Consultado en el vínculo: </w:t>
      </w:r>
      <w:hyperlink r:id="rId52" w:history="1">
        <w:r w:rsidRPr="00F43155">
          <w:rPr>
            <w:rStyle w:val="Hipervnculo"/>
            <w:rFonts w:ascii="Century Gothic" w:hAnsi="Century Gothic"/>
            <w:sz w:val="22"/>
            <w:szCs w:val="22"/>
          </w:rPr>
          <w:t>https://www.coneval.org.mx/rw/resource/coneval/info_public/PDF_PUBLICACIONES/Ramo_33_PDF_02032011.pdf</w:t>
        </w:r>
      </w:hyperlink>
    </w:p>
    <w:p w14:paraId="11C2319A" w14:textId="77777777" w:rsidR="009D12E3" w:rsidRPr="00F43155" w:rsidRDefault="009D12E3" w:rsidP="00F43155">
      <w:pPr>
        <w:spacing w:after="240" w:line="276" w:lineRule="auto"/>
        <w:ind w:left="709" w:hanging="709"/>
        <w:jc w:val="both"/>
        <w:rPr>
          <w:rFonts w:ascii="Century Gothic" w:hAnsi="Century Gothic" w:cs="Arial"/>
          <w:bCs/>
          <w:sz w:val="22"/>
          <w:szCs w:val="22"/>
        </w:rPr>
      </w:pPr>
      <w:r w:rsidRPr="00F43155">
        <w:rPr>
          <w:rFonts w:ascii="Century Gothic" w:hAnsi="Century Gothic" w:cs="Arial"/>
          <w:bCs/>
          <w:sz w:val="22"/>
          <w:szCs w:val="22"/>
        </w:rPr>
        <w:t>DOF, (2007). Lineamientos Generales para la Evaluación de los Programas Federales de la Administración Pública Federal</w:t>
      </w:r>
    </w:p>
    <w:p w14:paraId="61F5A85A" w14:textId="77777777" w:rsidR="009D12E3" w:rsidRPr="00F43155" w:rsidRDefault="009D12E3" w:rsidP="00F43155">
      <w:pPr>
        <w:spacing w:after="240" w:line="276" w:lineRule="auto"/>
        <w:jc w:val="both"/>
        <w:rPr>
          <w:rFonts w:ascii="Century Gothic" w:hAnsi="Century Gothic" w:cs="Arial"/>
          <w:bCs/>
          <w:sz w:val="22"/>
          <w:szCs w:val="22"/>
        </w:rPr>
      </w:pPr>
      <w:r w:rsidRPr="00F43155">
        <w:rPr>
          <w:rFonts w:ascii="Century Gothic" w:hAnsi="Century Gothic" w:cs="Arial"/>
          <w:bCs/>
          <w:sz w:val="22"/>
          <w:szCs w:val="22"/>
        </w:rPr>
        <w:t>-------, (2015). Ley Federal de Presupuesto y Responsabilidad Hacendaria.</w:t>
      </w:r>
    </w:p>
    <w:p w14:paraId="28486282" w14:textId="77777777" w:rsidR="009D12E3" w:rsidRPr="00F43155" w:rsidRDefault="009D12E3" w:rsidP="00F43155">
      <w:pPr>
        <w:spacing w:after="240" w:line="276" w:lineRule="auto"/>
        <w:jc w:val="both"/>
        <w:rPr>
          <w:rFonts w:ascii="Century Gothic" w:hAnsi="Century Gothic" w:cs="Arial"/>
          <w:bCs/>
          <w:sz w:val="22"/>
          <w:szCs w:val="22"/>
        </w:rPr>
      </w:pPr>
      <w:r w:rsidRPr="00F43155">
        <w:rPr>
          <w:rFonts w:ascii="Century Gothic" w:hAnsi="Century Gothic" w:cs="Arial"/>
          <w:bCs/>
          <w:sz w:val="22"/>
          <w:szCs w:val="22"/>
        </w:rPr>
        <w:t>-------, (2016). Ley General de Contabilidad Gubernamental.</w:t>
      </w:r>
    </w:p>
    <w:p w14:paraId="7BF7D895" w14:textId="77777777" w:rsidR="00E9688E" w:rsidRPr="00F43155" w:rsidRDefault="00E9688E" w:rsidP="00F43155">
      <w:pPr>
        <w:spacing w:after="240" w:line="276" w:lineRule="auto"/>
        <w:jc w:val="both"/>
        <w:rPr>
          <w:rFonts w:ascii="Century Gothic" w:hAnsi="Century Gothic"/>
          <w:sz w:val="22"/>
          <w:szCs w:val="22"/>
        </w:rPr>
      </w:pPr>
      <w:r w:rsidRPr="00F43155">
        <w:rPr>
          <w:rFonts w:ascii="Century Gothic" w:hAnsi="Century Gothic" w:cs="Arial"/>
          <w:bCs/>
          <w:sz w:val="22"/>
          <w:szCs w:val="22"/>
        </w:rPr>
        <w:t>-------,</w:t>
      </w:r>
      <w:r w:rsidRPr="00F43155">
        <w:rPr>
          <w:rFonts w:ascii="Century Gothic" w:hAnsi="Century Gothic"/>
          <w:sz w:val="22"/>
          <w:szCs w:val="22"/>
        </w:rPr>
        <w:t xml:space="preserve"> 2017, Lineamientos del Sistema de Evaluación del Desempeño de la Cámara de Diputados. Consultado en el vínculo: </w:t>
      </w:r>
      <w:hyperlink r:id="rId53" w:history="1">
        <w:r w:rsidRPr="00F43155">
          <w:rPr>
            <w:rStyle w:val="Hipervnculo"/>
            <w:rFonts w:ascii="Century Gothic" w:hAnsi="Century Gothic"/>
            <w:sz w:val="22"/>
            <w:szCs w:val="22"/>
          </w:rPr>
          <w:t>http://dof.gob.mx/nota_detalle.php?codigo=5475356&amp;fecha=06/03/2017</w:t>
        </w:r>
      </w:hyperlink>
    </w:p>
    <w:p w14:paraId="6E3CD7A5" w14:textId="77777777" w:rsidR="009D12E3" w:rsidRPr="00F43155" w:rsidRDefault="009D12E3" w:rsidP="00F43155">
      <w:pPr>
        <w:spacing w:after="240" w:line="276" w:lineRule="auto"/>
        <w:jc w:val="both"/>
        <w:rPr>
          <w:rFonts w:ascii="Century Gothic" w:hAnsi="Century Gothic"/>
          <w:sz w:val="22"/>
          <w:szCs w:val="22"/>
        </w:rPr>
      </w:pPr>
      <w:r w:rsidRPr="00F43155">
        <w:rPr>
          <w:rFonts w:ascii="Century Gothic" w:hAnsi="Century Gothic"/>
          <w:sz w:val="22"/>
          <w:szCs w:val="22"/>
        </w:rPr>
        <w:t>-------, (2018). Ley de Coordinación Fiscal.</w:t>
      </w:r>
    </w:p>
    <w:p w14:paraId="2F29B72C" w14:textId="77777777" w:rsidR="009D12E3" w:rsidRPr="00F43155" w:rsidRDefault="00E9688E" w:rsidP="00F43155">
      <w:pPr>
        <w:spacing w:after="240" w:line="276" w:lineRule="auto"/>
        <w:jc w:val="both"/>
        <w:rPr>
          <w:rFonts w:ascii="Century Gothic" w:hAnsi="Century Gothic"/>
          <w:sz w:val="22"/>
          <w:szCs w:val="22"/>
        </w:rPr>
      </w:pPr>
      <w:r w:rsidRPr="00F43155">
        <w:rPr>
          <w:rFonts w:ascii="Century Gothic" w:hAnsi="Century Gothic"/>
          <w:sz w:val="22"/>
          <w:szCs w:val="22"/>
        </w:rPr>
        <w:t xml:space="preserve">Cámara de Diputados. Consultado en el vínculo: </w:t>
      </w:r>
      <w:r w:rsidR="009D12E3" w:rsidRPr="00F43155">
        <w:rPr>
          <w:rFonts w:ascii="Century Gothic" w:hAnsi="Century Gothic"/>
          <w:sz w:val="22"/>
          <w:szCs w:val="22"/>
        </w:rPr>
        <w:t xml:space="preserve">H. Congreso del Estado de Colima. </w:t>
      </w:r>
      <w:r w:rsidR="009D12E3" w:rsidRPr="00F43155">
        <w:rPr>
          <w:rFonts w:ascii="Century Gothic" w:hAnsi="Century Gothic"/>
          <w:bCs/>
          <w:sz w:val="22"/>
          <w:szCs w:val="22"/>
        </w:rPr>
        <w:t xml:space="preserve">Ley Orgánica de la Administración </w:t>
      </w:r>
      <w:hyperlink r:id="rId54" w:history="1">
        <w:r w:rsidRPr="00F43155">
          <w:rPr>
            <w:rFonts w:ascii="Century Gothic" w:hAnsi="Century Gothic"/>
            <w:sz w:val="22"/>
            <w:szCs w:val="22"/>
          </w:rPr>
          <w:t>http://dof.gob.mx/nota_detalle.php?codigo=5475356&amp;fecha=06/03/2017</w:t>
        </w:r>
      </w:hyperlink>
      <w:r w:rsidR="009D12E3" w:rsidRPr="00F43155">
        <w:rPr>
          <w:rFonts w:ascii="Century Gothic" w:hAnsi="Century Gothic"/>
          <w:bCs/>
          <w:sz w:val="22"/>
          <w:szCs w:val="22"/>
        </w:rPr>
        <w:t>Pública del Estado de Colima.</w:t>
      </w:r>
      <w:r w:rsidR="009D12E3" w:rsidRPr="00F43155">
        <w:rPr>
          <w:rFonts w:ascii="Century Gothic" w:hAnsi="Century Gothic"/>
          <w:b/>
          <w:bCs/>
          <w:sz w:val="22"/>
          <w:szCs w:val="22"/>
        </w:rPr>
        <w:t xml:space="preserve"> </w:t>
      </w:r>
      <w:r w:rsidR="009D12E3" w:rsidRPr="00F43155">
        <w:rPr>
          <w:rFonts w:ascii="Century Gothic" w:hAnsi="Century Gothic"/>
          <w:sz w:val="22"/>
          <w:szCs w:val="22"/>
        </w:rPr>
        <w:t xml:space="preserve">Consultado en el vínculo: </w:t>
      </w:r>
      <w:hyperlink r:id="rId55" w:history="1">
        <w:r w:rsidR="009D12E3" w:rsidRPr="00F43155">
          <w:rPr>
            <w:rStyle w:val="Hipervnculo"/>
            <w:rFonts w:ascii="Century Gothic" w:hAnsi="Century Gothic"/>
            <w:sz w:val="22"/>
            <w:szCs w:val="22"/>
          </w:rPr>
          <w:t>http://congresocol.gob.mx/web/Sistema/uploads/LegislacionEstatal/LeyesEstatales/administracion_publica_29sept2015.pdf</w:t>
        </w:r>
      </w:hyperlink>
    </w:p>
    <w:p w14:paraId="6E64F1EA" w14:textId="77777777" w:rsidR="009D12E3" w:rsidRPr="00F43155" w:rsidRDefault="009D12E3" w:rsidP="00F43155">
      <w:pPr>
        <w:spacing w:after="240" w:line="276" w:lineRule="auto"/>
        <w:jc w:val="both"/>
        <w:rPr>
          <w:rFonts w:ascii="Century Gothic" w:hAnsi="Century Gothic"/>
          <w:sz w:val="22"/>
          <w:szCs w:val="22"/>
        </w:rPr>
      </w:pPr>
      <w:r w:rsidRPr="00F43155">
        <w:rPr>
          <w:rFonts w:ascii="Century Gothic" w:hAnsi="Century Gothic"/>
          <w:sz w:val="22"/>
          <w:szCs w:val="22"/>
        </w:rPr>
        <w:t xml:space="preserve">------------------------------------------------. </w:t>
      </w:r>
      <w:r w:rsidRPr="00F43155">
        <w:rPr>
          <w:rFonts w:ascii="Century Gothic" w:hAnsi="Century Gothic"/>
          <w:bCs/>
          <w:sz w:val="22"/>
          <w:szCs w:val="22"/>
        </w:rPr>
        <w:t>Ley Orgánica de la Administración Pública del Estado de Colima.</w:t>
      </w:r>
      <w:r w:rsidRPr="00F43155">
        <w:rPr>
          <w:rFonts w:ascii="Century Gothic" w:hAnsi="Century Gothic"/>
          <w:b/>
          <w:bCs/>
          <w:sz w:val="22"/>
          <w:szCs w:val="22"/>
        </w:rPr>
        <w:t xml:space="preserve"> </w:t>
      </w:r>
      <w:r w:rsidRPr="00F43155">
        <w:rPr>
          <w:rFonts w:ascii="Century Gothic" w:hAnsi="Century Gothic"/>
          <w:sz w:val="22"/>
          <w:szCs w:val="22"/>
        </w:rPr>
        <w:t xml:space="preserve">Consultado en el vínculo: </w:t>
      </w:r>
      <w:hyperlink r:id="rId56" w:history="1">
        <w:r w:rsidRPr="00F43155">
          <w:rPr>
            <w:rStyle w:val="Hipervnculo"/>
            <w:rFonts w:ascii="Century Gothic" w:hAnsi="Century Gothic"/>
            <w:sz w:val="22"/>
            <w:szCs w:val="22"/>
          </w:rPr>
          <w:t>http://congresocol.gob.mx/web/Sistema/uploads/LegislacionEstatal/LeyesEstatales/administracion_publica_29sept2015.pdf</w:t>
        </w:r>
      </w:hyperlink>
    </w:p>
    <w:p w14:paraId="31A1A388" w14:textId="77777777" w:rsidR="009D12E3" w:rsidRPr="00F43155" w:rsidRDefault="009D12E3" w:rsidP="00F43155">
      <w:pPr>
        <w:pStyle w:val="Default"/>
        <w:spacing w:after="240" w:line="276" w:lineRule="auto"/>
        <w:jc w:val="both"/>
        <w:rPr>
          <w:rFonts w:ascii="Century Gothic" w:hAnsi="Century Gothic"/>
          <w:sz w:val="22"/>
          <w:szCs w:val="22"/>
        </w:rPr>
      </w:pPr>
      <w:r w:rsidRPr="00F43155">
        <w:rPr>
          <w:rFonts w:ascii="Century Gothic" w:hAnsi="Century Gothic"/>
          <w:sz w:val="22"/>
          <w:szCs w:val="22"/>
        </w:rPr>
        <w:t xml:space="preserve">------------------------------------------------. Ley Estatal de Obras Públicas. Consultado en el vínculo: </w:t>
      </w:r>
      <w:hyperlink r:id="rId57" w:history="1">
        <w:r w:rsidRPr="00F43155">
          <w:rPr>
            <w:rStyle w:val="Hipervnculo"/>
            <w:rFonts w:ascii="Century Gothic" w:hAnsi="Century Gothic"/>
            <w:sz w:val="22"/>
            <w:szCs w:val="22"/>
          </w:rPr>
          <w:t>http://legismex.mty.itesm.mx/estados/ley-col/COL-L-ObPub2017_09.pdf</w:t>
        </w:r>
      </w:hyperlink>
    </w:p>
    <w:p w14:paraId="210B6642" w14:textId="77777777" w:rsidR="009D12E3" w:rsidRPr="00F43155" w:rsidRDefault="009D12E3" w:rsidP="00F43155">
      <w:pPr>
        <w:spacing w:after="240" w:line="276" w:lineRule="auto"/>
        <w:jc w:val="both"/>
        <w:rPr>
          <w:rFonts w:ascii="Century Gothic" w:hAnsi="Century Gothic"/>
          <w:sz w:val="22"/>
          <w:szCs w:val="22"/>
          <w:lang w:val="es-ES"/>
        </w:rPr>
      </w:pPr>
      <w:r w:rsidRPr="00F43155">
        <w:rPr>
          <w:rFonts w:ascii="Century Gothic" w:hAnsi="Century Gothic"/>
          <w:sz w:val="22"/>
          <w:szCs w:val="22"/>
        </w:rPr>
        <w:t xml:space="preserve">Plan </w:t>
      </w:r>
      <w:r w:rsidRPr="00F43155">
        <w:rPr>
          <w:rFonts w:ascii="Century Gothic" w:hAnsi="Century Gothic"/>
          <w:bCs/>
          <w:sz w:val="22"/>
          <w:szCs w:val="22"/>
        </w:rPr>
        <w:t>Estatal de Desarrollo Colima 2016-2021.</w:t>
      </w:r>
    </w:p>
    <w:p w14:paraId="4D5EC140" w14:textId="77777777" w:rsidR="009D12E3" w:rsidRPr="00F43155" w:rsidRDefault="009D12E3" w:rsidP="00F43155">
      <w:pPr>
        <w:spacing w:after="240" w:line="276" w:lineRule="auto"/>
        <w:jc w:val="both"/>
        <w:rPr>
          <w:rFonts w:ascii="Century Gothic" w:hAnsi="Century Gothic"/>
          <w:sz w:val="22"/>
          <w:szCs w:val="22"/>
        </w:rPr>
      </w:pPr>
      <w:r w:rsidRPr="00F43155">
        <w:rPr>
          <w:rFonts w:ascii="Century Gothic" w:hAnsi="Century Gothic"/>
          <w:sz w:val="22"/>
          <w:szCs w:val="22"/>
        </w:rPr>
        <w:t xml:space="preserve">SEDESOL, 2014(A) Lineamientos generales para la operación del Fondo de Aportaciones para la Infraestructura Social. Consultado en el vínculo: </w:t>
      </w:r>
      <w:hyperlink r:id="rId58" w:history="1">
        <w:r w:rsidRPr="00F43155">
          <w:rPr>
            <w:rStyle w:val="Hipervnculo"/>
            <w:rFonts w:ascii="Century Gothic" w:hAnsi="Century Gothic"/>
            <w:sz w:val="22"/>
            <w:szCs w:val="22"/>
          </w:rPr>
          <w:t>http://www.sedesol.gob.mx/work/models/SEDESOL/Sedesol/sppe/upri/dgapl/fais/PDFS/Lineamientos/VC/Lineamientos_FAIS_2014_0214_DOF-VC.pdf</w:t>
        </w:r>
      </w:hyperlink>
    </w:p>
    <w:p w14:paraId="472894D5" w14:textId="77777777" w:rsidR="009D12E3" w:rsidRPr="00F43155" w:rsidRDefault="009D12E3" w:rsidP="00F43155">
      <w:pPr>
        <w:spacing w:after="240" w:line="276" w:lineRule="auto"/>
        <w:jc w:val="both"/>
        <w:rPr>
          <w:rFonts w:ascii="Century Gothic" w:hAnsi="Century Gothic"/>
          <w:sz w:val="22"/>
          <w:szCs w:val="22"/>
        </w:rPr>
      </w:pPr>
      <w:r w:rsidRPr="00F43155">
        <w:rPr>
          <w:rFonts w:ascii="Century Gothic" w:hAnsi="Century Gothic"/>
          <w:sz w:val="22"/>
          <w:szCs w:val="22"/>
        </w:rPr>
        <w:t xml:space="preserve">------------, 2014 (B) Lineamientos generales para la operación del Fondo de Aportaciones para la Infraestructura Social. Consultado en el vínculo: </w:t>
      </w:r>
      <w:hyperlink r:id="rId59" w:history="1">
        <w:r w:rsidRPr="00F43155">
          <w:rPr>
            <w:rStyle w:val="Hipervnculo"/>
            <w:rFonts w:ascii="Century Gothic" w:hAnsi="Century Gothic"/>
            <w:sz w:val="22"/>
            <w:szCs w:val="22"/>
          </w:rPr>
          <w:t>http://www.sedesol.gob.mx/work/models/SEDESOL/Sedesol/sppe/upri/dgapl/fais/PDFS/Lineamientos/VI/Lineamientos_FAIS_2014_0513_DOF-Int-Acuerdo_Modificatorio.pdf</w:t>
        </w:r>
      </w:hyperlink>
    </w:p>
    <w:p w14:paraId="7AE28E62" w14:textId="77777777" w:rsidR="009D12E3" w:rsidRPr="00F43155" w:rsidRDefault="009D12E3" w:rsidP="00F43155">
      <w:pPr>
        <w:spacing w:after="240" w:line="276" w:lineRule="auto"/>
        <w:jc w:val="both"/>
        <w:rPr>
          <w:rFonts w:ascii="Century Gothic" w:hAnsi="Century Gothic"/>
          <w:sz w:val="22"/>
          <w:szCs w:val="22"/>
        </w:rPr>
      </w:pPr>
      <w:r w:rsidRPr="00F43155">
        <w:rPr>
          <w:rFonts w:ascii="Century Gothic" w:hAnsi="Century Gothic"/>
          <w:sz w:val="22"/>
          <w:szCs w:val="22"/>
        </w:rPr>
        <w:t xml:space="preserve">------------, 2015 Lineamientos generales para la operación del Fondo de Aportaciones para la Infraestructura Social. Consultado en el vínculo: </w:t>
      </w:r>
      <w:hyperlink r:id="rId60" w:history="1">
        <w:r w:rsidRPr="00F43155">
          <w:rPr>
            <w:rStyle w:val="Hipervnculo"/>
            <w:rFonts w:ascii="Century Gothic" w:hAnsi="Century Gothic"/>
            <w:sz w:val="22"/>
            <w:szCs w:val="22"/>
          </w:rPr>
          <w:t>http://www.sedesol.gob.mx/work/models/SEDESOL/Sedesol/sppe/upri/dgapl/fais/PDFS/Lineamientos/VI/Lineamientos_FAIS_2015_0312_DOF-Int.pdf</w:t>
        </w:r>
      </w:hyperlink>
    </w:p>
    <w:p w14:paraId="607D5217" w14:textId="77777777" w:rsidR="009D12E3" w:rsidRPr="00F43155" w:rsidRDefault="009D12E3" w:rsidP="00F43155">
      <w:pPr>
        <w:spacing w:after="240" w:line="276" w:lineRule="auto"/>
        <w:jc w:val="both"/>
        <w:rPr>
          <w:rFonts w:ascii="Century Gothic" w:hAnsi="Century Gothic"/>
          <w:sz w:val="22"/>
          <w:szCs w:val="22"/>
        </w:rPr>
      </w:pPr>
      <w:r w:rsidRPr="00F43155">
        <w:rPr>
          <w:rFonts w:ascii="Century Gothic" w:hAnsi="Century Gothic"/>
          <w:sz w:val="22"/>
          <w:szCs w:val="22"/>
        </w:rPr>
        <w:t xml:space="preserve">------------, 2016 Lineamientos generales para la operación del Fondo de Aportaciones para la Infraestructura Social. Consultado en el vínculo: </w:t>
      </w:r>
      <w:hyperlink r:id="rId61" w:history="1">
        <w:r w:rsidRPr="00F43155">
          <w:rPr>
            <w:rStyle w:val="Hipervnculo"/>
            <w:rFonts w:ascii="Century Gothic" w:hAnsi="Century Gothic"/>
            <w:sz w:val="22"/>
            <w:szCs w:val="22"/>
          </w:rPr>
          <w:t>http://www.sedesol.gob.mx/work/models/SEDESOL/Sedesol/sppe/upri/dgapl/fais/PDFS/Lineamientos/VI/Lineamientos_FAIS_2016_0331_DOF_Int.pdf</w:t>
        </w:r>
      </w:hyperlink>
    </w:p>
    <w:p w14:paraId="42C32C60" w14:textId="77777777" w:rsidR="009D12E3" w:rsidRPr="00F43155" w:rsidRDefault="009D12E3" w:rsidP="00F43155">
      <w:pPr>
        <w:spacing w:after="240" w:line="276" w:lineRule="auto"/>
        <w:jc w:val="both"/>
        <w:rPr>
          <w:rFonts w:ascii="Century Gothic" w:hAnsi="Century Gothic"/>
          <w:sz w:val="22"/>
          <w:szCs w:val="22"/>
        </w:rPr>
      </w:pPr>
      <w:r w:rsidRPr="00F43155">
        <w:rPr>
          <w:rFonts w:ascii="Century Gothic" w:hAnsi="Century Gothic"/>
          <w:sz w:val="22"/>
          <w:szCs w:val="22"/>
        </w:rPr>
        <w:t>------------, 2017, Lineamientos generales para la operación del Fondo de Aportaciones para la Infraestructura Social</w:t>
      </w:r>
    </w:p>
    <w:p w14:paraId="548A278E" w14:textId="77777777" w:rsidR="009D12E3" w:rsidRPr="00F43155" w:rsidRDefault="009D12E3" w:rsidP="00F43155">
      <w:pPr>
        <w:spacing w:after="240" w:line="276" w:lineRule="auto"/>
        <w:jc w:val="both"/>
        <w:rPr>
          <w:rFonts w:ascii="Century Gothic" w:hAnsi="Century Gothic"/>
          <w:sz w:val="22"/>
          <w:szCs w:val="22"/>
          <w:lang w:val="es-MX"/>
        </w:rPr>
      </w:pPr>
      <w:r w:rsidRPr="00F43155">
        <w:rPr>
          <w:rFonts w:ascii="Century Gothic" w:hAnsi="Century Gothic"/>
          <w:sz w:val="22"/>
          <w:szCs w:val="22"/>
          <w:lang w:val="es-MX"/>
        </w:rPr>
        <w:t xml:space="preserve">SHCP, 2017. PEF 2017. </w:t>
      </w:r>
      <w:r w:rsidRPr="00F43155">
        <w:rPr>
          <w:rFonts w:ascii="Century Gothic" w:hAnsi="Century Gothic"/>
          <w:sz w:val="22"/>
          <w:szCs w:val="22"/>
        </w:rPr>
        <w:t xml:space="preserve">Consultado en el vínculo: </w:t>
      </w:r>
      <w:hyperlink r:id="rId62" w:history="1">
        <w:r w:rsidRPr="00F43155">
          <w:rPr>
            <w:rStyle w:val="Hipervnculo"/>
            <w:rFonts w:ascii="Century Gothic" w:hAnsi="Century Gothic"/>
            <w:sz w:val="22"/>
            <w:szCs w:val="22"/>
            <w:lang w:val="es-MX"/>
          </w:rPr>
          <w:t>http://www.pef.hacienda.gob.mx/work/models/PEF2017/docs/33/r33_ep.pdf</w:t>
        </w:r>
      </w:hyperlink>
    </w:p>
    <w:p w14:paraId="531C53C4" w14:textId="77777777" w:rsidR="00E9688E" w:rsidRPr="00F43155" w:rsidRDefault="00E9688E" w:rsidP="00F43155">
      <w:pPr>
        <w:spacing w:after="240" w:line="276" w:lineRule="auto"/>
        <w:jc w:val="both"/>
        <w:rPr>
          <w:rStyle w:val="Hipervnculo"/>
          <w:rFonts w:ascii="Century Gothic" w:hAnsi="Century Gothic"/>
          <w:sz w:val="22"/>
          <w:szCs w:val="22"/>
        </w:rPr>
      </w:pPr>
      <w:r w:rsidRPr="00F43155">
        <w:rPr>
          <w:rFonts w:ascii="Century Gothic" w:hAnsi="Century Gothic"/>
          <w:sz w:val="22"/>
          <w:szCs w:val="22"/>
        </w:rPr>
        <w:t xml:space="preserve">--------, 2018. Estructura Programática a emplear en el proyecto de Presupuesto de Egresos 2018. Consultado en el vínculo: </w:t>
      </w:r>
      <w:hyperlink r:id="rId63" w:history="1">
        <w:r w:rsidRPr="00F43155">
          <w:rPr>
            <w:rStyle w:val="Hipervnculo"/>
            <w:rFonts w:ascii="Century Gothic" w:hAnsi="Century Gothic"/>
            <w:sz w:val="22"/>
            <w:szCs w:val="22"/>
          </w:rPr>
          <w:t>http://ppef.hacienda.gob.mx/work/models/PPEF/2018/estructura_programatica/1_EstructurasProgramaticas_paraPPEF2018.pdf</w:t>
        </w:r>
      </w:hyperlink>
    </w:p>
    <w:p w14:paraId="00C6769A" w14:textId="77777777" w:rsidR="00E9688E" w:rsidRPr="00F43155" w:rsidRDefault="00E9688E" w:rsidP="00F43155">
      <w:pPr>
        <w:spacing w:after="240" w:line="276" w:lineRule="auto"/>
        <w:jc w:val="both"/>
        <w:rPr>
          <w:rFonts w:ascii="Century Gothic" w:hAnsi="Century Gothic"/>
          <w:sz w:val="22"/>
          <w:szCs w:val="22"/>
        </w:rPr>
      </w:pPr>
      <w:r w:rsidRPr="00F43155">
        <w:rPr>
          <w:rFonts w:ascii="Century Gothic" w:hAnsi="Century Gothic"/>
          <w:sz w:val="22"/>
          <w:szCs w:val="22"/>
        </w:rPr>
        <w:t xml:space="preserve">-------, s.a., Sistema de Evaluación del Desempeño. Consultado en el vínculo: </w:t>
      </w:r>
      <w:hyperlink r:id="rId64" w:history="1">
        <w:r w:rsidRPr="00F43155">
          <w:rPr>
            <w:rStyle w:val="Hipervnculo"/>
            <w:rFonts w:ascii="Century Gothic" w:hAnsi="Century Gothic"/>
            <w:sz w:val="22"/>
            <w:szCs w:val="22"/>
          </w:rPr>
          <w:t>http://www.apartados.hacienda.gob.mx/sed/html/docs/DirectricesSED.html</w:t>
        </w:r>
      </w:hyperlink>
    </w:p>
    <w:p w14:paraId="58C090BD" w14:textId="77777777" w:rsidR="00E9688E" w:rsidRPr="00F43155" w:rsidRDefault="00E9688E" w:rsidP="00F43155">
      <w:pPr>
        <w:spacing w:after="240" w:line="276" w:lineRule="auto"/>
        <w:jc w:val="both"/>
        <w:rPr>
          <w:rFonts w:ascii="Century Gothic" w:hAnsi="Century Gothic"/>
          <w:sz w:val="22"/>
          <w:szCs w:val="22"/>
        </w:rPr>
      </w:pPr>
      <w:r w:rsidRPr="00F43155">
        <w:rPr>
          <w:rFonts w:ascii="Century Gothic" w:hAnsi="Century Gothic"/>
          <w:sz w:val="22"/>
          <w:szCs w:val="22"/>
        </w:rPr>
        <w:t xml:space="preserve">SFP, 2016. Guía para la Optimización, Estandarización y Mejora Continua de Procesos.  Consultado en el vínculo: </w:t>
      </w:r>
      <w:hyperlink r:id="rId65" w:history="1">
        <w:r w:rsidRPr="00F43155">
          <w:rPr>
            <w:rStyle w:val="Hipervnculo"/>
            <w:rFonts w:ascii="Century Gothic" w:hAnsi="Century Gothic"/>
            <w:sz w:val="22"/>
            <w:szCs w:val="22"/>
          </w:rPr>
          <w:t>https://www.gob.mx/cms/uploads/attachment/file/56904/Gu_a_para_la_Optimizaci_n__Estandarizaci_n_y_Mejora_Continua_de_Procesos.pdf</w:t>
        </w:r>
      </w:hyperlink>
    </w:p>
    <w:p w14:paraId="6E7D9599" w14:textId="77777777" w:rsidR="00B07691" w:rsidRPr="00E9688E" w:rsidRDefault="00B07691" w:rsidP="009D12E3">
      <w:pPr>
        <w:spacing w:after="240" w:line="276" w:lineRule="auto"/>
      </w:pPr>
    </w:p>
    <w:sectPr w:rsidR="00B07691" w:rsidRPr="00E9688E" w:rsidSect="00551863">
      <w:pgSz w:w="12240" w:h="15840"/>
      <w:pgMar w:top="1418" w:right="1469"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FF01A" w14:textId="77777777" w:rsidR="00B90DA9" w:rsidRDefault="00B90DA9" w:rsidP="00550203">
      <w:r>
        <w:separator/>
      </w:r>
    </w:p>
  </w:endnote>
  <w:endnote w:type="continuationSeparator" w:id="0">
    <w:p w14:paraId="5BD9F374" w14:textId="77777777" w:rsidR="00B90DA9" w:rsidRDefault="00B90DA9" w:rsidP="00550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w:altName w:val="Arial"/>
    <w:charset w:val="00"/>
    <w:family w:val="auto"/>
    <w:pitch w:val="variable"/>
    <w:sig w:usb0="80000067" w:usb1="00000000"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843908"/>
      <w:docPartObj>
        <w:docPartGallery w:val="Page Numbers (Bottom of Page)"/>
        <w:docPartUnique/>
      </w:docPartObj>
    </w:sdtPr>
    <w:sdtEndPr/>
    <w:sdtContent>
      <w:p w14:paraId="490E8B53" w14:textId="77777777" w:rsidR="004F75FB" w:rsidRDefault="004F75FB">
        <w:pPr>
          <w:pStyle w:val="Piedepgina"/>
          <w:jc w:val="right"/>
        </w:pPr>
        <w:r>
          <w:fldChar w:fldCharType="begin"/>
        </w:r>
        <w:r>
          <w:instrText>PAGE   \* MERGEFORMAT</w:instrText>
        </w:r>
        <w:r>
          <w:fldChar w:fldCharType="separate"/>
        </w:r>
        <w:r w:rsidR="00BA5762" w:rsidRPr="00BA5762">
          <w:rPr>
            <w:noProof/>
            <w:lang w:val="es-ES"/>
          </w:rPr>
          <w:t>21</w:t>
        </w:r>
        <w:r>
          <w:fldChar w:fldCharType="end"/>
        </w:r>
      </w:p>
    </w:sdtContent>
  </w:sdt>
  <w:p w14:paraId="4E03CE03" w14:textId="77777777" w:rsidR="004F75FB" w:rsidRDefault="004F75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08F85" w14:textId="77777777" w:rsidR="00B90DA9" w:rsidRDefault="00B90DA9" w:rsidP="00550203">
      <w:r>
        <w:separator/>
      </w:r>
    </w:p>
  </w:footnote>
  <w:footnote w:type="continuationSeparator" w:id="0">
    <w:p w14:paraId="65F6B6ED" w14:textId="77777777" w:rsidR="00B90DA9" w:rsidRDefault="00B90DA9" w:rsidP="00550203">
      <w:r>
        <w:continuationSeparator/>
      </w:r>
    </w:p>
  </w:footnote>
  <w:footnote w:id="1">
    <w:p w14:paraId="1AFE9276" w14:textId="77777777" w:rsidR="004F75FB" w:rsidRDefault="004F75FB" w:rsidP="00495B9E">
      <w:pPr>
        <w:pStyle w:val="Textonotapie"/>
      </w:pPr>
      <w:r>
        <w:rPr>
          <w:rStyle w:val="Refdenotaalpie"/>
        </w:rPr>
        <w:footnoteRef/>
      </w:r>
      <w:r>
        <w:t xml:space="preserve"> Índice determinado por la Secretaría de Hacienda y Crédito Público, cuya escala de calificaciones oscila entre cero y cien.</w:t>
      </w:r>
    </w:p>
  </w:footnote>
  <w:footnote w:id="2">
    <w:p w14:paraId="33456C1F" w14:textId="77777777" w:rsidR="004F75FB" w:rsidRDefault="004F75FB" w:rsidP="00F2366C">
      <w:pPr>
        <w:pStyle w:val="Textonotapie"/>
        <w:jc w:val="both"/>
      </w:pPr>
      <w:r>
        <w:rPr>
          <w:rStyle w:val="Refdenotaalpie"/>
        </w:rPr>
        <w:footnoteRef/>
      </w:r>
      <w:r>
        <w:rPr>
          <w:rFonts w:cs="Calibri"/>
        </w:rPr>
        <w:t xml:space="preserve"> Iniciativa que reforma, deroga y adiciona diversos artículos de la Ley de Coordinación Fiscal, abril de 2013. </w:t>
      </w:r>
    </w:p>
  </w:footnote>
  <w:footnote w:id="3">
    <w:p w14:paraId="09519E08" w14:textId="77777777" w:rsidR="004F75FB" w:rsidRDefault="004F75FB" w:rsidP="00F2366C">
      <w:pPr>
        <w:pStyle w:val="Textonotapie"/>
        <w:jc w:val="both"/>
      </w:pPr>
      <w:r>
        <w:rPr>
          <w:rStyle w:val="Refdenotaalpie"/>
        </w:rPr>
        <w:footnoteRef/>
      </w:r>
      <w:r>
        <w:rPr>
          <w:rFonts w:cs="Calibri"/>
        </w:rPr>
        <w:t xml:space="preserve"> El Ramo 33 se formó con recursos de los Ramos 26 (</w:t>
      </w:r>
      <w:r>
        <w:rPr>
          <w:rFonts w:cs="Calibri"/>
          <w:i/>
          <w:iCs/>
        </w:rPr>
        <w:t>Combate a la Pobreza</w:t>
      </w:r>
      <w:r>
        <w:rPr>
          <w:rFonts w:cs="Calibri"/>
        </w:rPr>
        <w:t>), 25 (</w:t>
      </w:r>
      <w:r>
        <w:rPr>
          <w:rFonts w:cs="Calibri"/>
          <w:i/>
          <w:iCs/>
        </w:rPr>
        <w:t>Educación</w:t>
      </w:r>
      <w:r>
        <w:rPr>
          <w:rFonts w:cs="Calibri"/>
        </w:rPr>
        <w:t>), 02 (</w:t>
      </w:r>
      <w:r>
        <w:rPr>
          <w:rFonts w:cs="Calibri"/>
          <w:i/>
          <w:iCs/>
        </w:rPr>
        <w:t>Partida del Presidente</w:t>
      </w:r>
      <w:r>
        <w:rPr>
          <w:rFonts w:cs="Calibri"/>
        </w:rPr>
        <w:t>), 29 (</w:t>
      </w:r>
      <w:r>
        <w:rPr>
          <w:rFonts w:cs="Calibri"/>
          <w:i/>
          <w:iCs/>
        </w:rPr>
        <w:t>Saneamiento Financiero</w:t>
      </w:r>
      <w:r>
        <w:rPr>
          <w:rFonts w:cs="Calibri"/>
        </w:rPr>
        <w:t>), 04 (</w:t>
      </w:r>
      <w:r>
        <w:rPr>
          <w:rFonts w:cs="Calibri"/>
          <w:i/>
          <w:iCs/>
        </w:rPr>
        <w:t>Seguridad Pública</w:t>
      </w:r>
      <w:r>
        <w:rPr>
          <w:rFonts w:cs="Calibri"/>
        </w:rPr>
        <w:t>) y 06 (</w:t>
      </w:r>
      <w:r>
        <w:rPr>
          <w:rFonts w:cs="Calibri"/>
          <w:i/>
          <w:iCs/>
        </w:rPr>
        <w:t>Coordinación Hacendaria</w:t>
      </w:r>
      <w:r>
        <w:rPr>
          <w:rFonts w:cs="Calibri"/>
        </w:rPr>
        <w:t>).</w:t>
      </w:r>
    </w:p>
  </w:footnote>
  <w:footnote w:id="4">
    <w:p w14:paraId="1B28584C" w14:textId="77777777" w:rsidR="004F75FB" w:rsidRDefault="004F75FB" w:rsidP="00175E1A">
      <w:pPr>
        <w:pStyle w:val="Textonotapie"/>
        <w:jc w:val="both"/>
      </w:pPr>
      <w:r>
        <w:rPr>
          <w:rStyle w:val="Refdenotaalpie"/>
        </w:rPr>
        <w:footnoteRef/>
      </w:r>
      <w:r>
        <w:t xml:space="preserve"> </w:t>
      </w:r>
      <w:r>
        <w:rPr>
          <w:rFonts w:cs="Calibri"/>
        </w:rPr>
        <w:t xml:space="preserve">Según la </w:t>
      </w:r>
      <w:r>
        <w:rPr>
          <w:rFonts w:cs="Calibri"/>
          <w:b/>
          <w:i/>
        </w:rPr>
        <w:t>Guía para emitir documentos normativos</w:t>
      </w:r>
      <w:r>
        <w:rPr>
          <w:rFonts w:cs="Calibri"/>
        </w:rPr>
        <w:t xml:space="preserve">, lineamiento se define como el instrumento por el que se determinan términos, límites y características que deben observarse para actividades o procesos del sector público. Sirve para describir las etapas, fases y pautas necesarias para desarrollar una actividad o acción y se emiten cuando se requiere particularizar o detallar acciones, sea que deriven de un ordenamiento de mayor jerarquía o se estimen necesarias para la gestión gubernamental. </w:t>
      </w:r>
      <w:r>
        <w:rPr>
          <w:rFonts w:cs="Calibri"/>
          <w:i/>
        </w:rPr>
        <w:t>Secretaría de la Función Pública</w:t>
      </w:r>
      <w:r>
        <w:rPr>
          <w:rFonts w:cs="Calibri"/>
        </w:rPr>
        <w:t>, tercera Edición, 2011.</w:t>
      </w:r>
    </w:p>
  </w:footnote>
  <w:footnote w:id="5">
    <w:p w14:paraId="75D028B5" w14:textId="77777777" w:rsidR="004F75FB" w:rsidRDefault="004F75FB" w:rsidP="00175E1A">
      <w:pPr>
        <w:pStyle w:val="Textonotapie"/>
        <w:jc w:val="both"/>
      </w:pPr>
      <w:r>
        <w:rPr>
          <w:rStyle w:val="Refdenotaalpie"/>
        </w:rPr>
        <w:footnoteRef/>
      </w:r>
      <w:r>
        <w:rPr>
          <w:rFonts w:cs="Calibri"/>
        </w:rPr>
        <w:t xml:space="preserve"> El IASSPRZ de cada entidad y municipio, desde el 2014 hasta el 2018,  se puede consultar en: </w:t>
      </w:r>
      <w:hyperlink r:id="rId1" w:history="1">
        <w:r>
          <w:rPr>
            <w:rStyle w:val="Hipervnculo"/>
            <w:rFonts w:cs="Calibri"/>
          </w:rPr>
          <w:t>https://www.gob.mx/sedesol/documentos/informe-anual-sobre-la-situacion-de-pobreza-y-rezago-social</w:t>
        </w:r>
      </w:hyperlink>
      <w:r>
        <w:rPr>
          <w:rFonts w:cs="Calibri"/>
        </w:rPr>
        <w:t xml:space="preserve"> </w:t>
      </w:r>
    </w:p>
  </w:footnote>
  <w:footnote w:id="6">
    <w:p w14:paraId="4DB6A46F" w14:textId="77777777" w:rsidR="004F75FB" w:rsidRPr="00BB315E" w:rsidRDefault="004F75FB" w:rsidP="00027EDD">
      <w:pPr>
        <w:pStyle w:val="Textonotapie"/>
        <w:jc w:val="both"/>
        <w:rPr>
          <w:lang w:val="es-MX"/>
        </w:rPr>
      </w:pPr>
      <w:r>
        <w:rPr>
          <w:rStyle w:val="Refdenotaalpie"/>
        </w:rPr>
        <w:footnoteRef/>
      </w:r>
      <w:r>
        <w:t xml:space="preserve"> </w:t>
      </w:r>
      <w:r>
        <w:rPr>
          <w:rFonts w:ascii="Verdana" w:hAnsi="Verdana"/>
          <w:color w:val="000000"/>
          <w:sz w:val="17"/>
          <w:szCs w:val="17"/>
        </w:rPr>
        <w:t xml:space="preserve">La </w:t>
      </w:r>
      <w:r>
        <w:rPr>
          <w:rFonts w:ascii="Verdana" w:hAnsi="Verdana"/>
          <w:b/>
          <w:bCs/>
          <w:color w:val="000000"/>
          <w:sz w:val="17"/>
          <w:szCs w:val="17"/>
        </w:rPr>
        <w:t xml:space="preserve">Gestión para Resultados (GpR) </w:t>
      </w:r>
      <w:r>
        <w:rPr>
          <w:rFonts w:ascii="Verdana" w:hAnsi="Verdana"/>
          <w:color w:val="000000"/>
          <w:sz w:val="17"/>
          <w:szCs w:val="17"/>
        </w:rPr>
        <w:t xml:space="preserve">es un modelo de cultura organizacional, directiva y de gestión que pone énfasis en los resultados y no en los procedimientos.  Aunque también interesa cómo se hacen las cosas, cobra mayor relevancia qué se hace, qué se logra y cuál es su impacto en el bienestar de la población; es decir, la creación de </w:t>
      </w:r>
      <w:r>
        <w:rPr>
          <w:rFonts w:ascii="Verdana" w:hAnsi="Verdana"/>
          <w:b/>
          <w:bCs/>
          <w:color w:val="000000"/>
          <w:sz w:val="17"/>
          <w:szCs w:val="17"/>
        </w:rPr>
        <w:t xml:space="preserve">valor público. </w:t>
      </w:r>
      <w:r w:rsidRPr="00515A03">
        <w:rPr>
          <w:rFonts w:ascii="Verdana" w:hAnsi="Verdana"/>
          <w:bCs/>
          <w:color w:val="000000"/>
          <w:sz w:val="17"/>
          <w:szCs w:val="17"/>
        </w:rPr>
        <w:t>(SHCP)</w:t>
      </w:r>
      <w:r>
        <w:rPr>
          <w:rFonts w:ascii="Verdana" w:hAnsi="Verdana"/>
          <w:bCs/>
          <w:color w:val="000000"/>
          <w:sz w:val="17"/>
          <w:szCs w:val="17"/>
        </w:rPr>
        <w:t>.</w:t>
      </w:r>
    </w:p>
  </w:footnote>
  <w:footnote w:id="7">
    <w:p w14:paraId="72CF19C0" w14:textId="77777777" w:rsidR="004F75FB" w:rsidRPr="00515A03" w:rsidRDefault="004F75FB" w:rsidP="00027EDD">
      <w:pPr>
        <w:pStyle w:val="Textonotapie"/>
        <w:jc w:val="both"/>
        <w:rPr>
          <w:lang w:val="es-MX"/>
        </w:rPr>
      </w:pPr>
      <w:r>
        <w:rPr>
          <w:rStyle w:val="Refdenotaalpie"/>
        </w:rPr>
        <w:footnoteRef/>
      </w:r>
      <w:r>
        <w:t xml:space="preserve"> </w:t>
      </w:r>
      <w:r>
        <w:rPr>
          <w:rFonts w:ascii="Verdana" w:hAnsi="Verdana"/>
          <w:color w:val="000000"/>
          <w:sz w:val="17"/>
          <w:szCs w:val="17"/>
        </w:rPr>
        <w:t>El Presupuesto Basado en Resultados (PbR) es un componente de la GpR que consiste en un conjunto de actividades y herramientas que permite apoyar las decisiones presupuestarias en información que sistemáticamente incorpora consideraciones sobre los resultados del ejercicio de los recursos públicos, y que motiva a las instituciones públicas a lograrlos, con el objeto de mejorar la calidad del gasto público federal y promover una más adecuada rendición de cuentas.</w:t>
      </w:r>
      <w:r w:rsidRPr="00515A03">
        <w:rPr>
          <w:rFonts w:ascii="Verdana" w:hAnsi="Verdana"/>
          <w:bCs/>
          <w:color w:val="000000"/>
          <w:sz w:val="17"/>
          <w:szCs w:val="17"/>
        </w:rPr>
        <w:t xml:space="preserve"> (SHCP)</w:t>
      </w:r>
      <w:r>
        <w:rPr>
          <w:rFonts w:ascii="Verdana" w:hAnsi="Verdana"/>
          <w:bCs/>
          <w:color w:val="000000"/>
          <w:sz w:val="17"/>
          <w:szCs w:val="17"/>
        </w:rPr>
        <w:t>.</w:t>
      </w:r>
    </w:p>
  </w:footnote>
  <w:footnote w:id="8">
    <w:p w14:paraId="0E1BDC61" w14:textId="77777777" w:rsidR="004F75FB" w:rsidRPr="00515A03" w:rsidRDefault="004F75FB" w:rsidP="00027EDD">
      <w:pPr>
        <w:pStyle w:val="Textonotapie"/>
        <w:jc w:val="both"/>
        <w:rPr>
          <w:lang w:val="es-MX"/>
        </w:rPr>
      </w:pPr>
      <w:r>
        <w:rPr>
          <w:rStyle w:val="Refdenotaalpie"/>
        </w:rPr>
        <w:footnoteRef/>
      </w:r>
      <w:r>
        <w:t xml:space="preserve"> </w:t>
      </w:r>
      <w:r>
        <w:rPr>
          <w:rFonts w:ascii="Verdana" w:hAnsi="Verdana"/>
          <w:color w:val="000000"/>
          <w:sz w:val="17"/>
          <w:szCs w:val="17"/>
        </w:rPr>
        <w:t xml:space="preserve">El Sistema de Evaluación del Desempeño (SED) realizará el seguimiento y la evaluación sistemática de las políticas y programas de las entidades y dependencias de la APF, para contribuir a la consecución de los objetivos establecidos en el PND y los programas que se derivan de éste. </w:t>
      </w:r>
      <w:r w:rsidRPr="00515A03">
        <w:rPr>
          <w:rFonts w:ascii="Verdana" w:hAnsi="Verdana"/>
          <w:bCs/>
          <w:color w:val="000000"/>
          <w:sz w:val="17"/>
          <w:szCs w:val="17"/>
        </w:rPr>
        <w:t>(SHCP)</w:t>
      </w:r>
      <w:r>
        <w:rPr>
          <w:rFonts w:ascii="Verdana" w:hAnsi="Verdana"/>
          <w:bCs/>
          <w:color w:val="000000"/>
          <w:sz w:val="17"/>
          <w:szCs w:val="17"/>
        </w:rPr>
        <w:t>.</w:t>
      </w:r>
    </w:p>
  </w:footnote>
  <w:footnote w:id="9">
    <w:p w14:paraId="5DE23201" w14:textId="77777777" w:rsidR="004F75FB" w:rsidRDefault="004F75FB" w:rsidP="00027EDD">
      <w:pPr>
        <w:pStyle w:val="Textonotapie"/>
        <w:jc w:val="both"/>
        <w:rPr>
          <w:rFonts w:ascii="Arial" w:hAnsi="Arial" w:cs="Arial"/>
          <w:color w:val="000000"/>
          <w:sz w:val="18"/>
          <w:szCs w:val="18"/>
        </w:rPr>
      </w:pPr>
      <w:r>
        <w:rPr>
          <w:rStyle w:val="Refdenotaalpie"/>
        </w:rPr>
        <w:footnoteRef/>
      </w:r>
      <w:r>
        <w:t xml:space="preserve"> </w:t>
      </w:r>
      <w:r>
        <w:rPr>
          <w:rFonts w:ascii="Arial" w:hAnsi="Arial" w:cs="Arial"/>
          <w:i/>
          <w:iCs/>
          <w:color w:val="000000"/>
          <w:sz w:val="18"/>
          <w:szCs w:val="18"/>
        </w:rPr>
        <w:t xml:space="preserve">El gasto federalizado o descentralizado </w:t>
      </w:r>
      <w:r>
        <w:rPr>
          <w:rFonts w:ascii="Arial" w:hAnsi="Arial" w:cs="Arial"/>
          <w:color w:val="000000"/>
          <w:sz w:val="18"/>
          <w:szCs w:val="18"/>
        </w:rPr>
        <w:t>se integra por los recursos que el Gobierno Federal transfiere a los estados y municipios a través de las participaciones y aportaciones federales los apoyos para las entidades federativas y los convenios de descentralización.</w:t>
      </w:r>
    </w:p>
    <w:p w14:paraId="49A5361E" w14:textId="77777777" w:rsidR="004F75FB" w:rsidRDefault="004F75FB" w:rsidP="00027EDD">
      <w:pPr>
        <w:pStyle w:val="Textonotapie"/>
        <w:jc w:val="both"/>
        <w:rPr>
          <w:rFonts w:ascii="Arial" w:hAnsi="Arial" w:cs="Arial"/>
          <w:color w:val="000000"/>
          <w:sz w:val="18"/>
          <w:szCs w:val="18"/>
        </w:rPr>
      </w:pPr>
      <w:r>
        <w:rPr>
          <w:rFonts w:ascii="Arial" w:hAnsi="Arial" w:cs="Arial"/>
          <w:color w:val="000000"/>
          <w:sz w:val="18"/>
          <w:szCs w:val="18"/>
        </w:rPr>
        <w:t xml:space="preserve">Las Participaciones Federales </w:t>
      </w:r>
      <w:r w:rsidRPr="00B6725E">
        <w:rPr>
          <w:rFonts w:ascii="Arial" w:hAnsi="Arial" w:cs="Arial"/>
          <w:color w:val="000000"/>
          <w:sz w:val="18"/>
          <w:szCs w:val="18"/>
        </w:rPr>
        <w:t>son recursos federales que se entregan a las entidades federativas y sus municipios con el fin de compensarles su aportación a la economía del país</w:t>
      </w:r>
      <w:r>
        <w:rPr>
          <w:rFonts w:ascii="Arial" w:hAnsi="Arial" w:cs="Arial"/>
          <w:color w:val="000000"/>
          <w:sz w:val="18"/>
          <w:szCs w:val="18"/>
        </w:rPr>
        <w:t>.</w:t>
      </w:r>
    </w:p>
    <w:p w14:paraId="6219E9FF" w14:textId="77777777" w:rsidR="004F75FB" w:rsidRPr="00B6725E" w:rsidRDefault="004F75FB" w:rsidP="00027EDD">
      <w:pPr>
        <w:pStyle w:val="Textonotapie"/>
        <w:jc w:val="both"/>
        <w:rPr>
          <w:rFonts w:ascii="Century Gothic" w:hAnsi="Century Gothic"/>
          <w:sz w:val="24"/>
          <w:szCs w:val="24"/>
          <w:lang w:val="es-ES_tradnl"/>
        </w:rPr>
      </w:pPr>
      <w:r w:rsidRPr="00B6725E">
        <w:rPr>
          <w:rFonts w:ascii="Arial" w:hAnsi="Arial" w:cs="Arial"/>
          <w:color w:val="000000"/>
          <w:sz w:val="18"/>
          <w:szCs w:val="18"/>
        </w:rPr>
        <w:t>Aportaciones Federales se</w:t>
      </w:r>
      <w:r w:rsidRPr="00B6725E">
        <w:rPr>
          <w:rFonts w:ascii="Century Gothic" w:hAnsi="Century Gothic"/>
          <w:sz w:val="24"/>
          <w:szCs w:val="24"/>
          <w:lang w:val="es-ES_tradnl"/>
        </w:rPr>
        <w:t xml:space="preserve"> </w:t>
      </w:r>
      <w:r w:rsidRPr="00B6725E">
        <w:rPr>
          <w:rFonts w:ascii="Arial" w:hAnsi="Arial" w:cs="Arial"/>
          <w:color w:val="000000"/>
          <w:sz w:val="18"/>
          <w:szCs w:val="18"/>
        </w:rPr>
        <w:t>reparten con el objetivo de subsidiar los ingresos de</w:t>
      </w:r>
      <w:r w:rsidRPr="00B6725E">
        <w:rPr>
          <w:rFonts w:ascii="Century Gothic" w:hAnsi="Century Gothic"/>
          <w:sz w:val="24"/>
          <w:szCs w:val="24"/>
          <w:lang w:val="es-ES_tradnl"/>
        </w:rPr>
        <w:t xml:space="preserve"> </w:t>
      </w:r>
      <w:r w:rsidRPr="00B6725E">
        <w:rPr>
          <w:rFonts w:ascii="Arial" w:hAnsi="Arial" w:cs="Arial"/>
          <w:color w:val="000000"/>
          <w:sz w:val="18"/>
          <w:szCs w:val="18"/>
        </w:rPr>
        <w:t>aquellos estados y municipios que tienen mayores niveles de pobreza. Por esta razón, la Federación es mucho más estricta dando monitoreo al gasto estatal de las Aportaciones que con el gasto de las Participaciones Federales.</w:t>
      </w:r>
    </w:p>
  </w:footnote>
  <w:footnote w:id="10">
    <w:p w14:paraId="1732D852" w14:textId="77777777" w:rsidR="004F75FB" w:rsidRPr="00365A91" w:rsidRDefault="004F75FB">
      <w:pPr>
        <w:pStyle w:val="Textonotapie"/>
        <w:rPr>
          <w:lang w:val="es-MX"/>
        </w:rPr>
      </w:pPr>
      <w:r>
        <w:rPr>
          <w:rStyle w:val="Refdenotaalpie"/>
        </w:rPr>
        <w:footnoteRef/>
      </w:r>
      <w:r>
        <w:t xml:space="preserve"> Tomado del Anexo 1</w:t>
      </w:r>
      <w:r w:rsidRPr="00365A91">
        <w:rPr>
          <w:lang w:val="es-MX"/>
        </w:rPr>
        <w:t>, “</w:t>
      </w:r>
      <w:r>
        <w:rPr>
          <w:lang w:val="es-MX"/>
        </w:rPr>
        <w:t>Objetivos  del ente responsable”, llenado por la SEIDUR.</w:t>
      </w:r>
    </w:p>
  </w:footnote>
  <w:footnote w:id="11">
    <w:p w14:paraId="14A17EDC" w14:textId="77777777" w:rsidR="004F75FB" w:rsidRPr="003D5050" w:rsidRDefault="004F75FB">
      <w:pPr>
        <w:pStyle w:val="Textonotapie"/>
        <w:rPr>
          <w:lang w:val="es-MX"/>
        </w:rPr>
      </w:pPr>
      <w:r w:rsidRPr="00365A91">
        <w:rPr>
          <w:lang w:val="es-MX"/>
        </w:rPr>
        <w:footnoteRef/>
      </w:r>
      <w:r w:rsidRPr="00365A91">
        <w:rPr>
          <w:lang w:val="es-MX"/>
        </w:rPr>
        <w:t xml:space="preserve"> </w:t>
      </w:r>
      <w:r>
        <w:rPr>
          <w:lang w:val="es-MX"/>
        </w:rPr>
        <w:t>Tomado de la MIR del Programa Presupuestario, suministrada por la SEIDUR.</w:t>
      </w:r>
    </w:p>
  </w:footnote>
  <w:footnote w:id="12">
    <w:p w14:paraId="128C72D3" w14:textId="77777777" w:rsidR="004F75FB" w:rsidRPr="000075CC" w:rsidRDefault="004F75FB" w:rsidP="00CE4767">
      <w:pPr>
        <w:pStyle w:val="Textonotapie"/>
        <w:jc w:val="both"/>
        <w:rPr>
          <w:lang w:val="es-MX"/>
        </w:rPr>
      </w:pPr>
      <w:r>
        <w:rPr>
          <w:rStyle w:val="Refdenotaalpie"/>
        </w:rPr>
        <w:footnoteRef/>
      </w:r>
      <w:r>
        <w:t xml:space="preserve"> </w:t>
      </w:r>
      <w:r>
        <w:rPr>
          <w:lang w:val="es-MX"/>
        </w:rPr>
        <w:t>Tomado del documento Plan de calidad para proyectos ejecutivos” suministrado por la SEIDUR como evidencia.</w:t>
      </w:r>
    </w:p>
  </w:footnote>
  <w:footnote w:id="13">
    <w:p w14:paraId="311DC545" w14:textId="77777777" w:rsidR="004F75FB" w:rsidRPr="0079616F" w:rsidRDefault="004F75FB" w:rsidP="00284B40">
      <w:pPr>
        <w:pStyle w:val="Textonotapie"/>
        <w:jc w:val="both"/>
        <w:rPr>
          <w:lang w:val="es-MX"/>
        </w:rPr>
      </w:pPr>
      <w:r>
        <w:rPr>
          <w:rStyle w:val="Refdenotaalpie"/>
        </w:rPr>
        <w:footnoteRef/>
      </w:r>
      <w:r>
        <w:t xml:space="preserve"> </w:t>
      </w:r>
      <w:r>
        <w:rPr>
          <w:lang w:val="es-MX"/>
        </w:rPr>
        <w:t>Tomado del documento “Plan de la Calidad para la contratación” suministrado por la SEIDUR como evidencia.</w:t>
      </w:r>
    </w:p>
  </w:footnote>
  <w:footnote w:id="14">
    <w:p w14:paraId="5E25BFE1" w14:textId="77777777" w:rsidR="004F75FB" w:rsidRPr="00C30B6B" w:rsidRDefault="004F75FB" w:rsidP="00C951E6">
      <w:pPr>
        <w:pStyle w:val="Textonotapie"/>
        <w:rPr>
          <w:lang w:val="es-MX"/>
        </w:rPr>
      </w:pPr>
      <w:r>
        <w:rPr>
          <w:rStyle w:val="Refdenotaalpie"/>
        </w:rPr>
        <w:footnoteRef/>
      </w:r>
      <w:r>
        <w:t xml:space="preserve"> </w:t>
      </w:r>
      <w:r>
        <w:rPr>
          <w:lang w:val="es-MX"/>
        </w:rPr>
        <w:t xml:space="preserve">Tomado del documento </w:t>
      </w:r>
      <w:r w:rsidRPr="00C30B6B">
        <w:rPr>
          <w:lang w:val="es-MX"/>
        </w:rPr>
        <w:t xml:space="preserve">Procedimiento de Ejecución de Obra Contratada </w:t>
      </w:r>
      <w:r>
        <w:rPr>
          <w:lang w:val="es-MX"/>
        </w:rPr>
        <w:t>suministrado por la SEIDUR como evidencia.</w:t>
      </w:r>
    </w:p>
  </w:footnote>
  <w:footnote w:id="15">
    <w:p w14:paraId="693F1671" w14:textId="77777777" w:rsidR="004F75FB" w:rsidRPr="000C73BE" w:rsidRDefault="004F75FB" w:rsidP="00C951E6">
      <w:pPr>
        <w:pStyle w:val="Textonotapie"/>
        <w:jc w:val="both"/>
        <w:rPr>
          <w:lang w:val="es-MX"/>
        </w:rPr>
      </w:pPr>
      <w:r>
        <w:rPr>
          <w:rStyle w:val="Refdenotaalpie"/>
        </w:rPr>
        <w:footnoteRef/>
      </w:r>
      <w:r>
        <w:t xml:space="preserve"> </w:t>
      </w:r>
      <w:r>
        <w:rPr>
          <w:lang w:val="es-MX"/>
        </w:rPr>
        <w:t xml:space="preserve">Tomado del documento </w:t>
      </w:r>
      <w:r w:rsidRPr="000C73BE">
        <w:rPr>
          <w:lang w:val="es-MX"/>
        </w:rPr>
        <w:t>Plan de calidad para la ejecución de la obra</w:t>
      </w:r>
      <w:r>
        <w:rPr>
          <w:lang w:val="es-MX"/>
        </w:rPr>
        <w:t xml:space="preserve"> suministrado por la SEIDUR como evidencia.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DF4E3" w14:textId="77777777" w:rsidR="004F75FB" w:rsidRDefault="004F75FB">
    <w:pPr>
      <w:pStyle w:val="Encabezado"/>
    </w:pPr>
    <w:r w:rsidRPr="001633D0">
      <w:rPr>
        <w:rFonts w:ascii="Calibri" w:eastAsia="Calibri" w:hAnsi="Calibri" w:cs="Times New Roman"/>
        <w:b/>
        <w:noProof/>
        <w:lang w:val="es-MX" w:eastAsia="es-MX"/>
      </w:rPr>
      <w:drawing>
        <wp:anchor distT="0" distB="0" distL="114300" distR="114300" simplePos="0" relativeHeight="251659264" behindDoc="0" locked="0" layoutInCell="1" allowOverlap="1" wp14:anchorId="31E49358" wp14:editId="28F55F34">
          <wp:simplePos x="0" y="0"/>
          <wp:positionH relativeFrom="margin">
            <wp:posOffset>5510179</wp:posOffset>
          </wp:positionH>
          <wp:positionV relativeFrom="paragraph">
            <wp:posOffset>-217805</wp:posOffset>
          </wp:positionV>
          <wp:extent cx="1002104" cy="518165"/>
          <wp:effectExtent l="0" t="0" r="0" b="0"/>
          <wp:wrapNone/>
          <wp:docPr id="3076" name="Picture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3" descr="logo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2104" cy="5181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50203">
      <w:rPr>
        <w:rFonts w:ascii="Calibri" w:eastAsia="Calibri" w:hAnsi="Calibri" w:cs="Times New Roman"/>
        <w:b/>
        <w:noProof/>
        <w:lang w:val="es-MX" w:eastAsia="es-MX"/>
      </w:rPr>
      <w:drawing>
        <wp:anchor distT="0" distB="0" distL="114300" distR="114300" simplePos="0" relativeHeight="251660288" behindDoc="0" locked="0" layoutInCell="1" allowOverlap="1" wp14:anchorId="68520543" wp14:editId="2DA0BE19">
          <wp:simplePos x="0" y="0"/>
          <wp:positionH relativeFrom="column">
            <wp:posOffset>-686435</wp:posOffset>
          </wp:positionH>
          <wp:positionV relativeFrom="paragraph">
            <wp:posOffset>-216535</wp:posOffset>
          </wp:positionV>
          <wp:extent cx="1482725" cy="509270"/>
          <wp:effectExtent l="0" t="0" r="0" b="0"/>
          <wp:wrapThrough wrapText="bothSides">
            <wp:wrapPolygon edited="0">
              <wp:start x="0" y="0"/>
              <wp:lineTo x="0" y="20469"/>
              <wp:lineTo x="21091" y="20469"/>
              <wp:lineTo x="2109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2725" cy="5092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098FB" w14:textId="77777777" w:rsidR="004F75FB" w:rsidRDefault="004F75FB" w:rsidP="007369FD">
    <w:pPr>
      <w:pStyle w:val="Encabezado"/>
    </w:pPr>
    <w:r w:rsidRPr="001633D0">
      <w:rPr>
        <w:rFonts w:ascii="Calibri" w:eastAsia="Calibri" w:hAnsi="Calibri" w:cs="Times New Roman"/>
        <w:b/>
        <w:noProof/>
        <w:lang w:val="es-MX" w:eastAsia="es-MX"/>
      </w:rPr>
      <w:drawing>
        <wp:anchor distT="0" distB="0" distL="114300" distR="114300" simplePos="0" relativeHeight="251662336" behindDoc="0" locked="0" layoutInCell="1" allowOverlap="1" wp14:anchorId="0AA987FF" wp14:editId="24D2FCFB">
          <wp:simplePos x="0" y="0"/>
          <wp:positionH relativeFrom="margin">
            <wp:posOffset>5510179</wp:posOffset>
          </wp:positionH>
          <wp:positionV relativeFrom="paragraph">
            <wp:posOffset>-217805</wp:posOffset>
          </wp:positionV>
          <wp:extent cx="1002104" cy="518165"/>
          <wp:effectExtent l="0" t="0" r="0" b="0"/>
          <wp:wrapNone/>
          <wp:docPr id="18" name="Picture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3" descr="logo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2104" cy="5181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50203">
      <w:rPr>
        <w:rFonts w:ascii="Calibri" w:eastAsia="Calibri" w:hAnsi="Calibri" w:cs="Times New Roman"/>
        <w:b/>
        <w:noProof/>
        <w:lang w:val="es-MX" w:eastAsia="es-MX"/>
      </w:rPr>
      <w:drawing>
        <wp:anchor distT="0" distB="0" distL="114300" distR="114300" simplePos="0" relativeHeight="251663360" behindDoc="0" locked="0" layoutInCell="1" allowOverlap="1" wp14:anchorId="4D3FFDA1" wp14:editId="2AF1D82A">
          <wp:simplePos x="0" y="0"/>
          <wp:positionH relativeFrom="column">
            <wp:posOffset>-686435</wp:posOffset>
          </wp:positionH>
          <wp:positionV relativeFrom="paragraph">
            <wp:posOffset>-216535</wp:posOffset>
          </wp:positionV>
          <wp:extent cx="1482725" cy="509270"/>
          <wp:effectExtent l="0" t="0" r="0" b="0"/>
          <wp:wrapThrough wrapText="bothSides">
            <wp:wrapPolygon edited="0">
              <wp:start x="0" y="0"/>
              <wp:lineTo x="0" y="20469"/>
              <wp:lineTo x="21091" y="20469"/>
              <wp:lineTo x="21091"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2725" cy="509270"/>
                  </a:xfrm>
                  <a:prstGeom prst="rect">
                    <a:avLst/>
                  </a:prstGeom>
                </pic:spPr>
              </pic:pic>
            </a:graphicData>
          </a:graphic>
          <wp14:sizeRelH relativeFrom="page">
            <wp14:pctWidth>0</wp14:pctWidth>
          </wp14:sizeRelH>
          <wp14:sizeRelV relativeFrom="page">
            <wp14:pctHeight>0</wp14:pctHeight>
          </wp14:sizeRelV>
        </wp:anchor>
      </w:drawing>
    </w:r>
  </w:p>
  <w:p w14:paraId="3F999626" w14:textId="77777777" w:rsidR="004F75FB" w:rsidRDefault="004F75FB">
    <w:pPr>
      <w:pStyle w:val="Encabezado"/>
    </w:pPr>
  </w:p>
  <w:p w14:paraId="02220CCB" w14:textId="77777777" w:rsidR="004F75FB" w:rsidRDefault="004F75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BD14565_"/>
      </v:shape>
    </w:pict>
  </w:numPicBullet>
  <w:numPicBullet w:numPicBulletId="1">
    <w:pict>
      <v:shape id="_x0000_i1049" type="#_x0000_t75" style="width:11.25pt;height:11.25pt" o:bullet="t">
        <v:imagedata r:id="rId2" o:title="BD14565_"/>
      </v:shape>
    </w:pict>
  </w:numPicBullet>
  <w:abstractNum w:abstractNumId="0">
    <w:nsid w:val="0E5175D0"/>
    <w:multiLevelType w:val="hybridMultilevel"/>
    <w:tmpl w:val="D6A89CCA"/>
    <w:lvl w:ilvl="0" w:tplc="699E676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2A39C5"/>
    <w:multiLevelType w:val="hybridMultilevel"/>
    <w:tmpl w:val="155605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E22720"/>
    <w:multiLevelType w:val="hybridMultilevel"/>
    <w:tmpl w:val="CABE7E62"/>
    <w:lvl w:ilvl="0" w:tplc="E96C6FD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FC5431"/>
    <w:multiLevelType w:val="multilevel"/>
    <w:tmpl w:val="833625A6"/>
    <w:lvl w:ilvl="0">
      <w:start w:val="4"/>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6C11B3A"/>
    <w:multiLevelType w:val="multilevel"/>
    <w:tmpl w:val="DDF49312"/>
    <w:lvl w:ilvl="0">
      <w:start w:val="4"/>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2E86075"/>
    <w:multiLevelType w:val="hybridMultilevel"/>
    <w:tmpl w:val="5A62FB14"/>
    <w:lvl w:ilvl="0" w:tplc="E96C6FD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E1A58ED"/>
    <w:multiLevelType w:val="hybridMultilevel"/>
    <w:tmpl w:val="6AB4FAD8"/>
    <w:lvl w:ilvl="0" w:tplc="699E676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9193188"/>
    <w:multiLevelType w:val="hybridMultilevel"/>
    <w:tmpl w:val="DDBAE9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B9D24F2"/>
    <w:multiLevelType w:val="multilevel"/>
    <w:tmpl w:val="3996AA4E"/>
    <w:lvl w:ilvl="0">
      <w:numFmt w:val="bullet"/>
      <w:lvlText w:val=""/>
      <w:lvlPicBulletId w:val="0"/>
      <w:lvlJc w:val="left"/>
      <w:pPr>
        <w:ind w:left="720" w:hanging="360"/>
      </w:pPr>
      <w:rPr>
        <w:rFonts w:hAnsi="Symbol" w:hint="default"/>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3C7048F5"/>
    <w:multiLevelType w:val="hybridMultilevel"/>
    <w:tmpl w:val="377298C6"/>
    <w:lvl w:ilvl="0" w:tplc="699E6766">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3F682B47"/>
    <w:multiLevelType w:val="hybridMultilevel"/>
    <w:tmpl w:val="F2288D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39B583A"/>
    <w:multiLevelType w:val="multilevel"/>
    <w:tmpl w:val="D27209D4"/>
    <w:lvl w:ilvl="0">
      <w:start w:val="4"/>
      <w:numFmt w:val="decimal"/>
      <w:lvlText w:val="%1"/>
      <w:lvlJc w:val="left"/>
      <w:pPr>
        <w:ind w:left="555" w:hanging="555"/>
      </w:pPr>
      <w:rPr>
        <w:rFonts w:hint="default"/>
      </w:rPr>
    </w:lvl>
    <w:lvl w:ilvl="1">
      <w:start w:val="4"/>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52F675F"/>
    <w:multiLevelType w:val="hybridMultilevel"/>
    <w:tmpl w:val="06B8FB1C"/>
    <w:lvl w:ilvl="0" w:tplc="080A0013">
      <w:start w:val="1"/>
      <w:numFmt w:val="upperRoman"/>
      <w:lvlText w:val="%1."/>
      <w:lvlJc w:val="right"/>
      <w:pPr>
        <w:ind w:left="1440" w:hanging="360"/>
      </w:pPr>
      <w:rPr>
        <w:rFonts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461256F9"/>
    <w:multiLevelType w:val="multilevel"/>
    <w:tmpl w:val="FE7438D8"/>
    <w:lvl w:ilvl="0">
      <w:start w:val="4"/>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9AF0210"/>
    <w:multiLevelType w:val="hybridMultilevel"/>
    <w:tmpl w:val="C0F2938E"/>
    <w:lvl w:ilvl="0" w:tplc="2C2033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B216B8A"/>
    <w:multiLevelType w:val="hybridMultilevel"/>
    <w:tmpl w:val="BEE04FF0"/>
    <w:lvl w:ilvl="0" w:tplc="699E6766">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B4A1AF3"/>
    <w:multiLevelType w:val="multilevel"/>
    <w:tmpl w:val="8B246308"/>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4F4A039F"/>
    <w:multiLevelType w:val="hybridMultilevel"/>
    <w:tmpl w:val="CABE7E62"/>
    <w:lvl w:ilvl="0" w:tplc="E96C6FD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08420B"/>
    <w:multiLevelType w:val="multilevel"/>
    <w:tmpl w:val="8466E15C"/>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587707B8"/>
    <w:multiLevelType w:val="hybridMultilevel"/>
    <w:tmpl w:val="BD02B0F4"/>
    <w:lvl w:ilvl="0" w:tplc="699E6766">
      <w:start w:val="1"/>
      <w:numFmt w:val="bullet"/>
      <w:lvlText w:val=""/>
      <w:lvlPicBulletId w:val="0"/>
      <w:lvlJc w:val="left"/>
      <w:pPr>
        <w:tabs>
          <w:tab w:val="num" w:pos="720"/>
        </w:tabs>
        <w:ind w:left="720" w:hanging="360"/>
      </w:pPr>
      <w:rPr>
        <w:rFonts w:ascii="Symbol" w:hAnsi="Symbol" w:hint="default"/>
        <w:color w:val="auto"/>
      </w:rPr>
    </w:lvl>
    <w:lvl w:ilvl="1" w:tplc="BBE6D55A" w:tentative="1">
      <w:start w:val="1"/>
      <w:numFmt w:val="bullet"/>
      <w:lvlText w:val=""/>
      <w:lvlJc w:val="left"/>
      <w:pPr>
        <w:tabs>
          <w:tab w:val="num" w:pos="1440"/>
        </w:tabs>
        <w:ind w:left="1440" w:hanging="360"/>
      </w:pPr>
      <w:rPr>
        <w:rFonts w:ascii="Wingdings" w:hAnsi="Wingdings" w:hint="default"/>
      </w:rPr>
    </w:lvl>
    <w:lvl w:ilvl="2" w:tplc="95DC9338" w:tentative="1">
      <w:start w:val="1"/>
      <w:numFmt w:val="bullet"/>
      <w:lvlText w:val=""/>
      <w:lvlJc w:val="left"/>
      <w:pPr>
        <w:tabs>
          <w:tab w:val="num" w:pos="2160"/>
        </w:tabs>
        <w:ind w:left="2160" w:hanging="360"/>
      </w:pPr>
      <w:rPr>
        <w:rFonts w:ascii="Wingdings" w:hAnsi="Wingdings" w:hint="default"/>
      </w:rPr>
    </w:lvl>
    <w:lvl w:ilvl="3" w:tplc="549436DA" w:tentative="1">
      <w:start w:val="1"/>
      <w:numFmt w:val="bullet"/>
      <w:lvlText w:val=""/>
      <w:lvlJc w:val="left"/>
      <w:pPr>
        <w:tabs>
          <w:tab w:val="num" w:pos="2880"/>
        </w:tabs>
        <w:ind w:left="2880" w:hanging="360"/>
      </w:pPr>
      <w:rPr>
        <w:rFonts w:ascii="Wingdings" w:hAnsi="Wingdings" w:hint="default"/>
      </w:rPr>
    </w:lvl>
    <w:lvl w:ilvl="4" w:tplc="B0C4CD36" w:tentative="1">
      <w:start w:val="1"/>
      <w:numFmt w:val="bullet"/>
      <w:lvlText w:val=""/>
      <w:lvlJc w:val="left"/>
      <w:pPr>
        <w:tabs>
          <w:tab w:val="num" w:pos="3600"/>
        </w:tabs>
        <w:ind w:left="3600" w:hanging="360"/>
      </w:pPr>
      <w:rPr>
        <w:rFonts w:ascii="Wingdings" w:hAnsi="Wingdings" w:hint="default"/>
      </w:rPr>
    </w:lvl>
    <w:lvl w:ilvl="5" w:tplc="094E2F96" w:tentative="1">
      <w:start w:val="1"/>
      <w:numFmt w:val="bullet"/>
      <w:lvlText w:val=""/>
      <w:lvlJc w:val="left"/>
      <w:pPr>
        <w:tabs>
          <w:tab w:val="num" w:pos="4320"/>
        </w:tabs>
        <w:ind w:left="4320" w:hanging="360"/>
      </w:pPr>
      <w:rPr>
        <w:rFonts w:ascii="Wingdings" w:hAnsi="Wingdings" w:hint="default"/>
      </w:rPr>
    </w:lvl>
    <w:lvl w:ilvl="6" w:tplc="E8E890A0" w:tentative="1">
      <w:start w:val="1"/>
      <w:numFmt w:val="bullet"/>
      <w:lvlText w:val=""/>
      <w:lvlJc w:val="left"/>
      <w:pPr>
        <w:tabs>
          <w:tab w:val="num" w:pos="5040"/>
        </w:tabs>
        <w:ind w:left="5040" w:hanging="360"/>
      </w:pPr>
      <w:rPr>
        <w:rFonts w:ascii="Wingdings" w:hAnsi="Wingdings" w:hint="default"/>
      </w:rPr>
    </w:lvl>
    <w:lvl w:ilvl="7" w:tplc="C34611B0" w:tentative="1">
      <w:start w:val="1"/>
      <w:numFmt w:val="bullet"/>
      <w:lvlText w:val=""/>
      <w:lvlJc w:val="left"/>
      <w:pPr>
        <w:tabs>
          <w:tab w:val="num" w:pos="5760"/>
        </w:tabs>
        <w:ind w:left="5760" w:hanging="360"/>
      </w:pPr>
      <w:rPr>
        <w:rFonts w:ascii="Wingdings" w:hAnsi="Wingdings" w:hint="default"/>
      </w:rPr>
    </w:lvl>
    <w:lvl w:ilvl="8" w:tplc="C938094C" w:tentative="1">
      <w:start w:val="1"/>
      <w:numFmt w:val="bullet"/>
      <w:lvlText w:val=""/>
      <w:lvlJc w:val="left"/>
      <w:pPr>
        <w:tabs>
          <w:tab w:val="num" w:pos="6480"/>
        </w:tabs>
        <w:ind w:left="6480" w:hanging="360"/>
      </w:pPr>
      <w:rPr>
        <w:rFonts w:ascii="Wingdings" w:hAnsi="Wingdings" w:hint="default"/>
      </w:rPr>
    </w:lvl>
  </w:abstractNum>
  <w:abstractNum w:abstractNumId="20">
    <w:nsid w:val="61170C4F"/>
    <w:multiLevelType w:val="hybridMultilevel"/>
    <w:tmpl w:val="D53CDBA2"/>
    <w:lvl w:ilvl="0" w:tplc="699E676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625645B"/>
    <w:multiLevelType w:val="multilevel"/>
    <w:tmpl w:val="F4D05532"/>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nsid w:val="76F15C4C"/>
    <w:multiLevelType w:val="hybridMultilevel"/>
    <w:tmpl w:val="CFB2796C"/>
    <w:lvl w:ilvl="0" w:tplc="080A000D">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7C9D6E86"/>
    <w:multiLevelType w:val="hybridMultilevel"/>
    <w:tmpl w:val="A54AAB2C"/>
    <w:lvl w:ilvl="0" w:tplc="699E676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DBA1119"/>
    <w:multiLevelType w:val="hybridMultilevel"/>
    <w:tmpl w:val="C0E238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9"/>
  </w:num>
  <w:num w:numId="4">
    <w:abstractNumId w:val="1"/>
  </w:num>
  <w:num w:numId="5">
    <w:abstractNumId w:val="14"/>
  </w:num>
  <w:num w:numId="6">
    <w:abstractNumId w:val="16"/>
  </w:num>
  <w:num w:numId="7">
    <w:abstractNumId w:val="5"/>
  </w:num>
  <w:num w:numId="8">
    <w:abstractNumId w:val="17"/>
  </w:num>
  <w:num w:numId="9">
    <w:abstractNumId w:val="8"/>
  </w:num>
  <w:num w:numId="10">
    <w:abstractNumId w:val="22"/>
  </w:num>
  <w:num w:numId="11">
    <w:abstractNumId w:val="24"/>
  </w:num>
  <w:num w:numId="12">
    <w:abstractNumId w:val="10"/>
  </w:num>
  <w:num w:numId="13">
    <w:abstractNumId w:val="0"/>
  </w:num>
  <w:num w:numId="14">
    <w:abstractNumId w:val="20"/>
  </w:num>
  <w:num w:numId="15">
    <w:abstractNumId w:val="6"/>
  </w:num>
  <w:num w:numId="16">
    <w:abstractNumId w:val="23"/>
  </w:num>
  <w:num w:numId="17">
    <w:abstractNumId w:val="12"/>
  </w:num>
  <w:num w:numId="18">
    <w:abstractNumId w:val="15"/>
  </w:num>
  <w:num w:numId="19">
    <w:abstractNumId w:val="3"/>
  </w:num>
  <w:num w:numId="20">
    <w:abstractNumId w:val="13"/>
  </w:num>
  <w:num w:numId="21">
    <w:abstractNumId w:val="11"/>
  </w:num>
  <w:num w:numId="22">
    <w:abstractNumId w:val="21"/>
  </w:num>
  <w:num w:numId="23">
    <w:abstractNumId w:val="18"/>
  </w:num>
  <w:num w:numId="24">
    <w:abstractNumId w:val="4"/>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407"/>
    <w:rsid w:val="0000494E"/>
    <w:rsid w:val="000075CC"/>
    <w:rsid w:val="00011D5B"/>
    <w:rsid w:val="000139F9"/>
    <w:rsid w:val="0002550B"/>
    <w:rsid w:val="00027EDD"/>
    <w:rsid w:val="0003571C"/>
    <w:rsid w:val="00040902"/>
    <w:rsid w:val="00042EC2"/>
    <w:rsid w:val="00043012"/>
    <w:rsid w:val="00046A00"/>
    <w:rsid w:val="00046D23"/>
    <w:rsid w:val="00050DA1"/>
    <w:rsid w:val="00054E43"/>
    <w:rsid w:val="000551DC"/>
    <w:rsid w:val="00057532"/>
    <w:rsid w:val="000623CB"/>
    <w:rsid w:val="00066E1B"/>
    <w:rsid w:val="00070A10"/>
    <w:rsid w:val="00075F60"/>
    <w:rsid w:val="00081AA1"/>
    <w:rsid w:val="00083843"/>
    <w:rsid w:val="00085EE8"/>
    <w:rsid w:val="00093EA6"/>
    <w:rsid w:val="000A3113"/>
    <w:rsid w:val="000A3773"/>
    <w:rsid w:val="000B05F0"/>
    <w:rsid w:val="000B2974"/>
    <w:rsid w:val="000B6EC3"/>
    <w:rsid w:val="000C11E7"/>
    <w:rsid w:val="000C13C0"/>
    <w:rsid w:val="000C73BE"/>
    <w:rsid w:val="000D15E5"/>
    <w:rsid w:val="000D3AD0"/>
    <w:rsid w:val="000E3E82"/>
    <w:rsid w:val="00101651"/>
    <w:rsid w:val="00104772"/>
    <w:rsid w:val="001176E0"/>
    <w:rsid w:val="00124879"/>
    <w:rsid w:val="0013273A"/>
    <w:rsid w:val="00133B4A"/>
    <w:rsid w:val="00144E9F"/>
    <w:rsid w:val="001478BC"/>
    <w:rsid w:val="001649BF"/>
    <w:rsid w:val="001724BA"/>
    <w:rsid w:val="00175E1A"/>
    <w:rsid w:val="00175E28"/>
    <w:rsid w:val="00180A08"/>
    <w:rsid w:val="00183244"/>
    <w:rsid w:val="001935D3"/>
    <w:rsid w:val="001A024F"/>
    <w:rsid w:val="001A13C2"/>
    <w:rsid w:val="001B1148"/>
    <w:rsid w:val="001B4EF7"/>
    <w:rsid w:val="001C05B2"/>
    <w:rsid w:val="001C1439"/>
    <w:rsid w:val="001C535B"/>
    <w:rsid w:val="001C68B1"/>
    <w:rsid w:val="001D1846"/>
    <w:rsid w:val="001D27E1"/>
    <w:rsid w:val="001E2607"/>
    <w:rsid w:val="001E68F1"/>
    <w:rsid w:val="001F5A81"/>
    <w:rsid w:val="00203977"/>
    <w:rsid w:val="0022459D"/>
    <w:rsid w:val="002274D0"/>
    <w:rsid w:val="002303AE"/>
    <w:rsid w:val="002320D1"/>
    <w:rsid w:val="00233983"/>
    <w:rsid w:val="00234CF3"/>
    <w:rsid w:val="00234EC0"/>
    <w:rsid w:val="0024137D"/>
    <w:rsid w:val="00264723"/>
    <w:rsid w:val="0026713C"/>
    <w:rsid w:val="0027031D"/>
    <w:rsid w:val="002735EC"/>
    <w:rsid w:val="00282924"/>
    <w:rsid w:val="00284B40"/>
    <w:rsid w:val="002854BE"/>
    <w:rsid w:val="00290A1D"/>
    <w:rsid w:val="00292D08"/>
    <w:rsid w:val="00293524"/>
    <w:rsid w:val="00293BD0"/>
    <w:rsid w:val="00294162"/>
    <w:rsid w:val="002B575E"/>
    <w:rsid w:val="002C4E1A"/>
    <w:rsid w:val="002D1603"/>
    <w:rsid w:val="002D3CE7"/>
    <w:rsid w:val="002D6284"/>
    <w:rsid w:val="002E3A8C"/>
    <w:rsid w:val="002E6E56"/>
    <w:rsid w:val="003016B2"/>
    <w:rsid w:val="0031045E"/>
    <w:rsid w:val="0031103F"/>
    <w:rsid w:val="00314737"/>
    <w:rsid w:val="00325E99"/>
    <w:rsid w:val="00326F99"/>
    <w:rsid w:val="00327210"/>
    <w:rsid w:val="00332610"/>
    <w:rsid w:val="00340C07"/>
    <w:rsid w:val="003501B3"/>
    <w:rsid w:val="00350250"/>
    <w:rsid w:val="00350CEE"/>
    <w:rsid w:val="0035533B"/>
    <w:rsid w:val="00365A91"/>
    <w:rsid w:val="00375FE0"/>
    <w:rsid w:val="00391C07"/>
    <w:rsid w:val="003943B2"/>
    <w:rsid w:val="003B36F9"/>
    <w:rsid w:val="003C38A6"/>
    <w:rsid w:val="003C6DE0"/>
    <w:rsid w:val="003C764C"/>
    <w:rsid w:val="003D5050"/>
    <w:rsid w:val="003D56C0"/>
    <w:rsid w:val="003E3189"/>
    <w:rsid w:val="003F219B"/>
    <w:rsid w:val="003F3CF6"/>
    <w:rsid w:val="00405A05"/>
    <w:rsid w:val="0042065F"/>
    <w:rsid w:val="00426FF8"/>
    <w:rsid w:val="0042723D"/>
    <w:rsid w:val="00430FFB"/>
    <w:rsid w:val="00434B73"/>
    <w:rsid w:val="00440C44"/>
    <w:rsid w:val="0044256C"/>
    <w:rsid w:val="004448ED"/>
    <w:rsid w:val="00446656"/>
    <w:rsid w:val="004504EE"/>
    <w:rsid w:val="00451E93"/>
    <w:rsid w:val="00453462"/>
    <w:rsid w:val="004605E6"/>
    <w:rsid w:val="00466551"/>
    <w:rsid w:val="0047102A"/>
    <w:rsid w:val="0047139B"/>
    <w:rsid w:val="004732BB"/>
    <w:rsid w:val="00473C37"/>
    <w:rsid w:val="004833F1"/>
    <w:rsid w:val="00484949"/>
    <w:rsid w:val="00485986"/>
    <w:rsid w:val="00491CFA"/>
    <w:rsid w:val="00495A03"/>
    <w:rsid w:val="00495B9E"/>
    <w:rsid w:val="004A03C0"/>
    <w:rsid w:val="004A6B8C"/>
    <w:rsid w:val="004B039F"/>
    <w:rsid w:val="004B2065"/>
    <w:rsid w:val="004B7396"/>
    <w:rsid w:val="004C36F1"/>
    <w:rsid w:val="004D49BD"/>
    <w:rsid w:val="004D4A1E"/>
    <w:rsid w:val="004E2F4B"/>
    <w:rsid w:val="004E6466"/>
    <w:rsid w:val="004F0B49"/>
    <w:rsid w:val="004F2A31"/>
    <w:rsid w:val="004F2A9C"/>
    <w:rsid w:val="004F3AAA"/>
    <w:rsid w:val="004F59D8"/>
    <w:rsid w:val="004F75FB"/>
    <w:rsid w:val="00515A03"/>
    <w:rsid w:val="00527C59"/>
    <w:rsid w:val="0053161B"/>
    <w:rsid w:val="00534E37"/>
    <w:rsid w:val="0053513E"/>
    <w:rsid w:val="00542056"/>
    <w:rsid w:val="00550203"/>
    <w:rsid w:val="00551863"/>
    <w:rsid w:val="00556582"/>
    <w:rsid w:val="00567259"/>
    <w:rsid w:val="00575C69"/>
    <w:rsid w:val="00576198"/>
    <w:rsid w:val="00583C93"/>
    <w:rsid w:val="0058467B"/>
    <w:rsid w:val="00584B73"/>
    <w:rsid w:val="005946E6"/>
    <w:rsid w:val="005B082C"/>
    <w:rsid w:val="005B2808"/>
    <w:rsid w:val="005B3642"/>
    <w:rsid w:val="005B6847"/>
    <w:rsid w:val="005C2BA5"/>
    <w:rsid w:val="005C63FE"/>
    <w:rsid w:val="005D3E41"/>
    <w:rsid w:val="005E0431"/>
    <w:rsid w:val="005E4813"/>
    <w:rsid w:val="005F2EB5"/>
    <w:rsid w:val="005F3E5F"/>
    <w:rsid w:val="005F47D5"/>
    <w:rsid w:val="005F5AF4"/>
    <w:rsid w:val="0060201D"/>
    <w:rsid w:val="00604989"/>
    <w:rsid w:val="0062389D"/>
    <w:rsid w:val="006373B3"/>
    <w:rsid w:val="0064226F"/>
    <w:rsid w:val="006520E8"/>
    <w:rsid w:val="006576D1"/>
    <w:rsid w:val="006600CA"/>
    <w:rsid w:val="00676826"/>
    <w:rsid w:val="00680E07"/>
    <w:rsid w:val="0068322F"/>
    <w:rsid w:val="006837FB"/>
    <w:rsid w:val="0069371D"/>
    <w:rsid w:val="006954B3"/>
    <w:rsid w:val="006A07D7"/>
    <w:rsid w:val="006B13C9"/>
    <w:rsid w:val="006B4AC2"/>
    <w:rsid w:val="006C2D40"/>
    <w:rsid w:val="006C311C"/>
    <w:rsid w:val="006C3153"/>
    <w:rsid w:val="006C6894"/>
    <w:rsid w:val="006D155E"/>
    <w:rsid w:val="006D1992"/>
    <w:rsid w:val="006D619C"/>
    <w:rsid w:val="006D7FCB"/>
    <w:rsid w:val="006E06C8"/>
    <w:rsid w:val="006E3360"/>
    <w:rsid w:val="006F373E"/>
    <w:rsid w:val="00700F1B"/>
    <w:rsid w:val="00711C4F"/>
    <w:rsid w:val="00712473"/>
    <w:rsid w:val="00713CB6"/>
    <w:rsid w:val="0071415A"/>
    <w:rsid w:val="00725407"/>
    <w:rsid w:val="0073116F"/>
    <w:rsid w:val="00734BBD"/>
    <w:rsid w:val="007369FD"/>
    <w:rsid w:val="00737BD5"/>
    <w:rsid w:val="00737C8A"/>
    <w:rsid w:val="007541EF"/>
    <w:rsid w:val="00760343"/>
    <w:rsid w:val="0076349E"/>
    <w:rsid w:val="00767F60"/>
    <w:rsid w:val="007714BB"/>
    <w:rsid w:val="007866D6"/>
    <w:rsid w:val="007877B1"/>
    <w:rsid w:val="00794215"/>
    <w:rsid w:val="00794780"/>
    <w:rsid w:val="00795142"/>
    <w:rsid w:val="0079616F"/>
    <w:rsid w:val="007A07AD"/>
    <w:rsid w:val="007A26AD"/>
    <w:rsid w:val="007A7C77"/>
    <w:rsid w:val="007B3AC8"/>
    <w:rsid w:val="007E57C4"/>
    <w:rsid w:val="007F1AC3"/>
    <w:rsid w:val="007F23DE"/>
    <w:rsid w:val="007F44F9"/>
    <w:rsid w:val="0080329D"/>
    <w:rsid w:val="00813636"/>
    <w:rsid w:val="00813CC6"/>
    <w:rsid w:val="00823267"/>
    <w:rsid w:val="00834CB9"/>
    <w:rsid w:val="00840C94"/>
    <w:rsid w:val="008624EB"/>
    <w:rsid w:val="00866AB6"/>
    <w:rsid w:val="008723D4"/>
    <w:rsid w:val="00876110"/>
    <w:rsid w:val="008944CD"/>
    <w:rsid w:val="00895C23"/>
    <w:rsid w:val="00896BD2"/>
    <w:rsid w:val="008A62A7"/>
    <w:rsid w:val="008B26D9"/>
    <w:rsid w:val="008B53A5"/>
    <w:rsid w:val="008B66B5"/>
    <w:rsid w:val="008C2580"/>
    <w:rsid w:val="008C5259"/>
    <w:rsid w:val="008D0F69"/>
    <w:rsid w:val="008D263C"/>
    <w:rsid w:val="008F0DB2"/>
    <w:rsid w:val="008F60B9"/>
    <w:rsid w:val="0090281D"/>
    <w:rsid w:val="00902B79"/>
    <w:rsid w:val="009170F2"/>
    <w:rsid w:val="00923A25"/>
    <w:rsid w:val="00924D1E"/>
    <w:rsid w:val="0092758E"/>
    <w:rsid w:val="0092759A"/>
    <w:rsid w:val="009301F8"/>
    <w:rsid w:val="009343A4"/>
    <w:rsid w:val="00936864"/>
    <w:rsid w:val="00937355"/>
    <w:rsid w:val="00940229"/>
    <w:rsid w:val="0094401A"/>
    <w:rsid w:val="00945D62"/>
    <w:rsid w:val="00947D25"/>
    <w:rsid w:val="00951A37"/>
    <w:rsid w:val="00951C20"/>
    <w:rsid w:val="00953BBA"/>
    <w:rsid w:val="009558F1"/>
    <w:rsid w:val="0096755B"/>
    <w:rsid w:val="00970DC6"/>
    <w:rsid w:val="00980C53"/>
    <w:rsid w:val="0098322C"/>
    <w:rsid w:val="0098510E"/>
    <w:rsid w:val="009A3A99"/>
    <w:rsid w:val="009A6A8E"/>
    <w:rsid w:val="009A7C67"/>
    <w:rsid w:val="009B00B7"/>
    <w:rsid w:val="009B4F10"/>
    <w:rsid w:val="009D12E3"/>
    <w:rsid w:val="009D1AF1"/>
    <w:rsid w:val="009E727D"/>
    <w:rsid w:val="009F2007"/>
    <w:rsid w:val="009F224A"/>
    <w:rsid w:val="00A051D2"/>
    <w:rsid w:val="00A063D0"/>
    <w:rsid w:val="00A07214"/>
    <w:rsid w:val="00A1184D"/>
    <w:rsid w:val="00A12582"/>
    <w:rsid w:val="00A22359"/>
    <w:rsid w:val="00A407E4"/>
    <w:rsid w:val="00A414E4"/>
    <w:rsid w:val="00A44175"/>
    <w:rsid w:val="00A5001A"/>
    <w:rsid w:val="00A51E52"/>
    <w:rsid w:val="00A53A59"/>
    <w:rsid w:val="00A61537"/>
    <w:rsid w:val="00A64960"/>
    <w:rsid w:val="00A651C2"/>
    <w:rsid w:val="00A774BA"/>
    <w:rsid w:val="00A84878"/>
    <w:rsid w:val="00A87923"/>
    <w:rsid w:val="00A9041F"/>
    <w:rsid w:val="00A94FF1"/>
    <w:rsid w:val="00AC6A2D"/>
    <w:rsid w:val="00AD5448"/>
    <w:rsid w:val="00AF6170"/>
    <w:rsid w:val="00B005BA"/>
    <w:rsid w:val="00B02936"/>
    <w:rsid w:val="00B07691"/>
    <w:rsid w:val="00B14EF0"/>
    <w:rsid w:val="00B16CC1"/>
    <w:rsid w:val="00B23C60"/>
    <w:rsid w:val="00B30441"/>
    <w:rsid w:val="00B30A86"/>
    <w:rsid w:val="00B37B13"/>
    <w:rsid w:val="00B40E76"/>
    <w:rsid w:val="00B429A9"/>
    <w:rsid w:val="00B43F32"/>
    <w:rsid w:val="00B45BC5"/>
    <w:rsid w:val="00B46FD6"/>
    <w:rsid w:val="00B5277F"/>
    <w:rsid w:val="00B53140"/>
    <w:rsid w:val="00B5628A"/>
    <w:rsid w:val="00B7060D"/>
    <w:rsid w:val="00B7132D"/>
    <w:rsid w:val="00B822EE"/>
    <w:rsid w:val="00B85D8B"/>
    <w:rsid w:val="00B90DA9"/>
    <w:rsid w:val="00B929C0"/>
    <w:rsid w:val="00BA5762"/>
    <w:rsid w:val="00BA6AAB"/>
    <w:rsid w:val="00BB0CF3"/>
    <w:rsid w:val="00BB2A1C"/>
    <w:rsid w:val="00BB2C18"/>
    <w:rsid w:val="00BB315E"/>
    <w:rsid w:val="00BC40B0"/>
    <w:rsid w:val="00BD0C0E"/>
    <w:rsid w:val="00BD1545"/>
    <w:rsid w:val="00BD4B16"/>
    <w:rsid w:val="00BE087F"/>
    <w:rsid w:val="00BE1AFC"/>
    <w:rsid w:val="00BE7ED2"/>
    <w:rsid w:val="00BF1265"/>
    <w:rsid w:val="00C01567"/>
    <w:rsid w:val="00C11682"/>
    <w:rsid w:val="00C15DBB"/>
    <w:rsid w:val="00C16A9B"/>
    <w:rsid w:val="00C308AE"/>
    <w:rsid w:val="00C30B6B"/>
    <w:rsid w:val="00C310D5"/>
    <w:rsid w:val="00C3166C"/>
    <w:rsid w:val="00C341D8"/>
    <w:rsid w:val="00C45893"/>
    <w:rsid w:val="00C4664A"/>
    <w:rsid w:val="00C730D1"/>
    <w:rsid w:val="00C74061"/>
    <w:rsid w:val="00C74970"/>
    <w:rsid w:val="00C76AF2"/>
    <w:rsid w:val="00C8057A"/>
    <w:rsid w:val="00C80AF0"/>
    <w:rsid w:val="00C94071"/>
    <w:rsid w:val="00C951E6"/>
    <w:rsid w:val="00CA013F"/>
    <w:rsid w:val="00CA0FCB"/>
    <w:rsid w:val="00CB1B72"/>
    <w:rsid w:val="00CB4CDE"/>
    <w:rsid w:val="00CC16EC"/>
    <w:rsid w:val="00CC2486"/>
    <w:rsid w:val="00CC5C50"/>
    <w:rsid w:val="00CD0B2E"/>
    <w:rsid w:val="00CD0C8F"/>
    <w:rsid w:val="00CE0E0E"/>
    <w:rsid w:val="00CE2C94"/>
    <w:rsid w:val="00CE4767"/>
    <w:rsid w:val="00CE6970"/>
    <w:rsid w:val="00CF29A1"/>
    <w:rsid w:val="00CF3FD2"/>
    <w:rsid w:val="00D119BA"/>
    <w:rsid w:val="00D204B6"/>
    <w:rsid w:val="00D22664"/>
    <w:rsid w:val="00D26BB9"/>
    <w:rsid w:val="00D34E41"/>
    <w:rsid w:val="00D46E78"/>
    <w:rsid w:val="00D56069"/>
    <w:rsid w:val="00D63547"/>
    <w:rsid w:val="00D81836"/>
    <w:rsid w:val="00D91CFE"/>
    <w:rsid w:val="00D96F9D"/>
    <w:rsid w:val="00DA5EC9"/>
    <w:rsid w:val="00DB0A3C"/>
    <w:rsid w:val="00DB3BAE"/>
    <w:rsid w:val="00DC7EA2"/>
    <w:rsid w:val="00DD3150"/>
    <w:rsid w:val="00DE1DDE"/>
    <w:rsid w:val="00DE2912"/>
    <w:rsid w:val="00DE33F4"/>
    <w:rsid w:val="00DF1DAA"/>
    <w:rsid w:val="00DF6D70"/>
    <w:rsid w:val="00E017F0"/>
    <w:rsid w:val="00E050F7"/>
    <w:rsid w:val="00E1130F"/>
    <w:rsid w:val="00E21CFB"/>
    <w:rsid w:val="00E25EE1"/>
    <w:rsid w:val="00E37F9D"/>
    <w:rsid w:val="00E43A3E"/>
    <w:rsid w:val="00E43D53"/>
    <w:rsid w:val="00E45618"/>
    <w:rsid w:val="00E51C01"/>
    <w:rsid w:val="00E52D94"/>
    <w:rsid w:val="00E54539"/>
    <w:rsid w:val="00E65D15"/>
    <w:rsid w:val="00E65FB0"/>
    <w:rsid w:val="00E66675"/>
    <w:rsid w:val="00E66B86"/>
    <w:rsid w:val="00E71A4D"/>
    <w:rsid w:val="00E721BA"/>
    <w:rsid w:val="00E7371C"/>
    <w:rsid w:val="00E84C5A"/>
    <w:rsid w:val="00E872A3"/>
    <w:rsid w:val="00E94228"/>
    <w:rsid w:val="00E9685F"/>
    <w:rsid w:val="00E9688E"/>
    <w:rsid w:val="00EB196E"/>
    <w:rsid w:val="00EB745C"/>
    <w:rsid w:val="00EB7466"/>
    <w:rsid w:val="00EC67D9"/>
    <w:rsid w:val="00EC6FF5"/>
    <w:rsid w:val="00ED3776"/>
    <w:rsid w:val="00ED5F3A"/>
    <w:rsid w:val="00ED7197"/>
    <w:rsid w:val="00EE14B2"/>
    <w:rsid w:val="00EE2F3E"/>
    <w:rsid w:val="00EE5649"/>
    <w:rsid w:val="00EF2AB0"/>
    <w:rsid w:val="00EF6171"/>
    <w:rsid w:val="00F01068"/>
    <w:rsid w:val="00F0453E"/>
    <w:rsid w:val="00F04762"/>
    <w:rsid w:val="00F13C69"/>
    <w:rsid w:val="00F21E37"/>
    <w:rsid w:val="00F2366C"/>
    <w:rsid w:val="00F26A67"/>
    <w:rsid w:val="00F27379"/>
    <w:rsid w:val="00F31E04"/>
    <w:rsid w:val="00F34F15"/>
    <w:rsid w:val="00F40C41"/>
    <w:rsid w:val="00F43155"/>
    <w:rsid w:val="00F4655B"/>
    <w:rsid w:val="00F515B3"/>
    <w:rsid w:val="00F54D8F"/>
    <w:rsid w:val="00F56A30"/>
    <w:rsid w:val="00F629C6"/>
    <w:rsid w:val="00F6465D"/>
    <w:rsid w:val="00F728F0"/>
    <w:rsid w:val="00F7380E"/>
    <w:rsid w:val="00F77047"/>
    <w:rsid w:val="00F8264E"/>
    <w:rsid w:val="00F83403"/>
    <w:rsid w:val="00F835FA"/>
    <w:rsid w:val="00F86DCD"/>
    <w:rsid w:val="00F9313A"/>
    <w:rsid w:val="00FA295E"/>
    <w:rsid w:val="00FB2B4C"/>
    <w:rsid w:val="00FB5D51"/>
    <w:rsid w:val="00FB6723"/>
    <w:rsid w:val="00FC3902"/>
    <w:rsid w:val="00FC7676"/>
    <w:rsid w:val="00FC7893"/>
    <w:rsid w:val="00FD07D1"/>
    <w:rsid w:val="00FD1D13"/>
    <w:rsid w:val="00FD237D"/>
    <w:rsid w:val="00FD3AD8"/>
    <w:rsid w:val="00FE60E5"/>
    <w:rsid w:val="00FE7612"/>
    <w:rsid w:val="00FF01C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FEC8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B6EC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070A1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9558F1"/>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25407"/>
    <w:rPr>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50203"/>
    <w:pPr>
      <w:tabs>
        <w:tab w:val="center" w:pos="4419"/>
        <w:tab w:val="right" w:pos="8838"/>
      </w:tabs>
    </w:pPr>
  </w:style>
  <w:style w:type="character" w:customStyle="1" w:styleId="EncabezadoCar">
    <w:name w:val="Encabezado Car"/>
    <w:basedOn w:val="Fuentedeprrafopredeter"/>
    <w:link w:val="Encabezado"/>
    <w:uiPriority w:val="99"/>
    <w:rsid w:val="00550203"/>
  </w:style>
  <w:style w:type="paragraph" w:styleId="Piedepgina">
    <w:name w:val="footer"/>
    <w:basedOn w:val="Normal"/>
    <w:link w:val="PiedepginaCar"/>
    <w:uiPriority w:val="99"/>
    <w:unhideWhenUsed/>
    <w:rsid w:val="00550203"/>
    <w:pPr>
      <w:tabs>
        <w:tab w:val="center" w:pos="4419"/>
        <w:tab w:val="right" w:pos="8838"/>
      </w:tabs>
    </w:pPr>
  </w:style>
  <w:style w:type="character" w:customStyle="1" w:styleId="PiedepginaCar">
    <w:name w:val="Pie de página Car"/>
    <w:basedOn w:val="Fuentedeprrafopredeter"/>
    <w:link w:val="Piedepgina"/>
    <w:uiPriority w:val="99"/>
    <w:rsid w:val="00550203"/>
  </w:style>
  <w:style w:type="paragraph" w:styleId="Prrafodelista">
    <w:name w:val="List Paragraph"/>
    <w:basedOn w:val="Normal"/>
    <w:uiPriority w:val="34"/>
    <w:qFormat/>
    <w:rsid w:val="00B07691"/>
    <w:pPr>
      <w:ind w:left="720"/>
      <w:contextualSpacing/>
    </w:pPr>
  </w:style>
  <w:style w:type="character" w:customStyle="1" w:styleId="Ttulo1Car">
    <w:name w:val="Título 1 Car"/>
    <w:basedOn w:val="Fuentedeprrafopredeter"/>
    <w:link w:val="Ttulo1"/>
    <w:uiPriority w:val="9"/>
    <w:rsid w:val="000B6EC3"/>
    <w:rPr>
      <w:rFonts w:asciiTheme="majorHAnsi" w:eastAsiaTheme="majorEastAsia" w:hAnsiTheme="majorHAnsi" w:cstheme="majorBidi"/>
      <w:b/>
      <w:bCs/>
      <w:color w:val="2E74B5" w:themeColor="accent1" w:themeShade="BF"/>
      <w:sz w:val="28"/>
      <w:szCs w:val="28"/>
    </w:rPr>
  </w:style>
  <w:style w:type="paragraph" w:styleId="TtulodeTDC">
    <w:name w:val="TOC Heading"/>
    <w:basedOn w:val="Ttulo1"/>
    <w:next w:val="Normal"/>
    <w:uiPriority w:val="39"/>
    <w:semiHidden/>
    <w:unhideWhenUsed/>
    <w:qFormat/>
    <w:rsid w:val="0080329D"/>
    <w:pPr>
      <w:spacing w:line="276" w:lineRule="auto"/>
      <w:outlineLvl w:val="9"/>
    </w:pPr>
    <w:rPr>
      <w:lang w:val="es-MX" w:eastAsia="es-MX"/>
    </w:rPr>
  </w:style>
  <w:style w:type="paragraph" w:styleId="TDC1">
    <w:name w:val="toc 1"/>
    <w:basedOn w:val="Normal"/>
    <w:next w:val="Normal"/>
    <w:autoRedefine/>
    <w:uiPriority w:val="39"/>
    <w:unhideWhenUsed/>
    <w:rsid w:val="0080329D"/>
    <w:pPr>
      <w:spacing w:after="100"/>
    </w:pPr>
  </w:style>
  <w:style w:type="character" w:styleId="Hipervnculo">
    <w:name w:val="Hyperlink"/>
    <w:basedOn w:val="Fuentedeprrafopredeter"/>
    <w:uiPriority w:val="99"/>
    <w:unhideWhenUsed/>
    <w:rsid w:val="0080329D"/>
    <w:rPr>
      <w:color w:val="0563C1" w:themeColor="hyperlink"/>
      <w:u w:val="single"/>
    </w:rPr>
  </w:style>
  <w:style w:type="paragraph" w:styleId="Textodeglobo">
    <w:name w:val="Balloon Text"/>
    <w:basedOn w:val="Normal"/>
    <w:link w:val="TextodegloboCar"/>
    <w:uiPriority w:val="99"/>
    <w:semiHidden/>
    <w:unhideWhenUsed/>
    <w:rsid w:val="0080329D"/>
    <w:rPr>
      <w:rFonts w:ascii="Tahoma" w:hAnsi="Tahoma" w:cs="Tahoma"/>
      <w:sz w:val="16"/>
      <w:szCs w:val="16"/>
    </w:rPr>
  </w:style>
  <w:style w:type="character" w:customStyle="1" w:styleId="TextodegloboCar">
    <w:name w:val="Texto de globo Car"/>
    <w:basedOn w:val="Fuentedeprrafopredeter"/>
    <w:link w:val="Textodeglobo"/>
    <w:uiPriority w:val="99"/>
    <w:semiHidden/>
    <w:rsid w:val="0080329D"/>
    <w:rPr>
      <w:rFonts w:ascii="Tahoma" w:hAnsi="Tahoma" w:cs="Tahoma"/>
      <w:sz w:val="16"/>
      <w:szCs w:val="16"/>
    </w:rPr>
  </w:style>
  <w:style w:type="paragraph" w:customStyle="1" w:styleId="m7602841390528739651msonormal">
    <w:name w:val="m_7602841390528739651msonormal"/>
    <w:basedOn w:val="Normal"/>
    <w:rsid w:val="0080329D"/>
    <w:pPr>
      <w:spacing w:before="100" w:beforeAutospacing="1" w:after="100" w:afterAutospacing="1"/>
    </w:pPr>
    <w:rPr>
      <w:rFonts w:ascii="Times New Roman" w:eastAsia="Times New Roman" w:hAnsi="Times New Roman" w:cs="Times New Roman"/>
      <w:lang w:val="es-MX" w:eastAsia="es-MX"/>
    </w:rPr>
  </w:style>
  <w:style w:type="character" w:customStyle="1" w:styleId="Ttulo2Car">
    <w:name w:val="Título 2 Car"/>
    <w:basedOn w:val="Fuentedeprrafopredeter"/>
    <w:link w:val="Ttulo2"/>
    <w:uiPriority w:val="9"/>
    <w:rsid w:val="00070A10"/>
    <w:rPr>
      <w:rFonts w:asciiTheme="majorHAnsi" w:eastAsiaTheme="majorEastAsia" w:hAnsiTheme="majorHAnsi" w:cstheme="majorBidi"/>
      <w:b/>
      <w:bCs/>
      <w:color w:val="5B9BD5" w:themeColor="accent1"/>
      <w:sz w:val="26"/>
      <w:szCs w:val="26"/>
    </w:rPr>
  </w:style>
  <w:style w:type="paragraph" w:styleId="Textonotapie">
    <w:name w:val="footnote text"/>
    <w:aliases w:val="Texto nota pie 1.22"/>
    <w:basedOn w:val="Normal"/>
    <w:link w:val="TextonotapieCar"/>
    <w:uiPriority w:val="99"/>
    <w:unhideWhenUsed/>
    <w:qFormat/>
    <w:rsid w:val="00F21E37"/>
    <w:rPr>
      <w:sz w:val="20"/>
      <w:szCs w:val="20"/>
      <w:lang w:val="es-ES"/>
    </w:rPr>
  </w:style>
  <w:style w:type="character" w:customStyle="1" w:styleId="TextonotapieCar">
    <w:name w:val="Texto nota pie Car"/>
    <w:aliases w:val="Texto nota pie 1.22 Car"/>
    <w:basedOn w:val="Fuentedeprrafopredeter"/>
    <w:link w:val="Textonotapie"/>
    <w:uiPriority w:val="99"/>
    <w:rsid w:val="00F21E37"/>
    <w:rPr>
      <w:sz w:val="20"/>
      <w:szCs w:val="20"/>
      <w:lang w:val="es-ES"/>
    </w:rPr>
  </w:style>
  <w:style w:type="character" w:styleId="Refdenotaalpie">
    <w:name w:val="footnote reference"/>
    <w:basedOn w:val="Fuentedeprrafopredeter"/>
    <w:uiPriority w:val="99"/>
    <w:unhideWhenUsed/>
    <w:rsid w:val="00F21E37"/>
    <w:rPr>
      <w:vertAlign w:val="superscript"/>
    </w:rPr>
  </w:style>
  <w:style w:type="paragraph" w:styleId="TDC2">
    <w:name w:val="toc 2"/>
    <w:basedOn w:val="Normal"/>
    <w:next w:val="Normal"/>
    <w:autoRedefine/>
    <w:uiPriority w:val="39"/>
    <w:unhideWhenUsed/>
    <w:rsid w:val="007A07AD"/>
    <w:pPr>
      <w:spacing w:after="100"/>
      <w:ind w:left="240"/>
    </w:pPr>
  </w:style>
  <w:style w:type="table" w:customStyle="1" w:styleId="Tablaconcuadrcula2">
    <w:name w:val="Tabla con cuadrícula2"/>
    <w:basedOn w:val="Tablanormal"/>
    <w:next w:val="Tablaconcuadrcula"/>
    <w:uiPriority w:val="39"/>
    <w:rsid w:val="00C76AF2"/>
    <w:pPr>
      <w:jc w:val="both"/>
    </w:pPr>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C76AF2"/>
    <w:pPr>
      <w:jc w:val="both"/>
    </w:pPr>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76AF2"/>
    <w:rPr>
      <w:sz w:val="22"/>
      <w:szCs w:val="22"/>
      <w:lang w:val="es-MX"/>
    </w:rPr>
  </w:style>
  <w:style w:type="character" w:customStyle="1" w:styleId="Ttulo3Car">
    <w:name w:val="Título 3 Car"/>
    <w:basedOn w:val="Fuentedeprrafopredeter"/>
    <w:link w:val="Ttulo3"/>
    <w:uiPriority w:val="9"/>
    <w:rsid w:val="009558F1"/>
    <w:rPr>
      <w:rFonts w:asciiTheme="majorHAnsi" w:eastAsiaTheme="majorEastAsia" w:hAnsiTheme="majorHAnsi" w:cstheme="majorBidi"/>
      <w:b/>
      <w:bCs/>
      <w:color w:val="5B9BD5" w:themeColor="accent1"/>
    </w:rPr>
  </w:style>
  <w:style w:type="paragraph" w:customStyle="1" w:styleId="Default">
    <w:name w:val="Default"/>
    <w:rsid w:val="009D12E3"/>
    <w:pPr>
      <w:autoSpaceDE w:val="0"/>
      <w:autoSpaceDN w:val="0"/>
      <w:adjustRightInd w:val="0"/>
    </w:pPr>
    <w:rPr>
      <w:rFonts w:ascii="Futura Lt" w:eastAsia="Times New Roman" w:hAnsi="Futura Lt" w:cs="Futura Lt"/>
      <w:color w:val="000000"/>
      <w:lang w:val="es-ES" w:eastAsia="es-ES"/>
    </w:rPr>
  </w:style>
  <w:style w:type="paragraph" w:styleId="TDC3">
    <w:name w:val="toc 3"/>
    <w:basedOn w:val="Normal"/>
    <w:next w:val="Normal"/>
    <w:autoRedefine/>
    <w:uiPriority w:val="39"/>
    <w:unhideWhenUsed/>
    <w:rsid w:val="007B3AC8"/>
    <w:pPr>
      <w:spacing w:after="100"/>
      <w:ind w:left="480"/>
    </w:pPr>
  </w:style>
  <w:style w:type="character" w:styleId="nfasis">
    <w:name w:val="Emphasis"/>
    <w:basedOn w:val="Fuentedeprrafopredeter"/>
    <w:qFormat/>
    <w:rsid w:val="00453462"/>
    <w:rPr>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491266">
      <w:bodyDiv w:val="1"/>
      <w:marLeft w:val="0"/>
      <w:marRight w:val="0"/>
      <w:marTop w:val="0"/>
      <w:marBottom w:val="0"/>
      <w:divBdr>
        <w:top w:val="none" w:sz="0" w:space="0" w:color="auto"/>
        <w:left w:val="none" w:sz="0" w:space="0" w:color="auto"/>
        <w:bottom w:val="none" w:sz="0" w:space="0" w:color="auto"/>
        <w:right w:val="none" w:sz="0" w:space="0" w:color="auto"/>
      </w:divBdr>
    </w:div>
    <w:div w:id="330068422">
      <w:bodyDiv w:val="1"/>
      <w:marLeft w:val="0"/>
      <w:marRight w:val="0"/>
      <w:marTop w:val="0"/>
      <w:marBottom w:val="0"/>
      <w:divBdr>
        <w:top w:val="none" w:sz="0" w:space="0" w:color="auto"/>
        <w:left w:val="none" w:sz="0" w:space="0" w:color="auto"/>
        <w:bottom w:val="none" w:sz="0" w:space="0" w:color="auto"/>
        <w:right w:val="none" w:sz="0" w:space="0" w:color="auto"/>
      </w:divBdr>
    </w:div>
    <w:div w:id="350688487">
      <w:bodyDiv w:val="1"/>
      <w:marLeft w:val="0"/>
      <w:marRight w:val="0"/>
      <w:marTop w:val="0"/>
      <w:marBottom w:val="0"/>
      <w:divBdr>
        <w:top w:val="none" w:sz="0" w:space="0" w:color="auto"/>
        <w:left w:val="none" w:sz="0" w:space="0" w:color="auto"/>
        <w:bottom w:val="none" w:sz="0" w:space="0" w:color="auto"/>
        <w:right w:val="none" w:sz="0" w:space="0" w:color="auto"/>
      </w:divBdr>
    </w:div>
    <w:div w:id="391736159">
      <w:bodyDiv w:val="1"/>
      <w:marLeft w:val="0"/>
      <w:marRight w:val="0"/>
      <w:marTop w:val="0"/>
      <w:marBottom w:val="0"/>
      <w:divBdr>
        <w:top w:val="none" w:sz="0" w:space="0" w:color="auto"/>
        <w:left w:val="none" w:sz="0" w:space="0" w:color="auto"/>
        <w:bottom w:val="none" w:sz="0" w:space="0" w:color="auto"/>
        <w:right w:val="none" w:sz="0" w:space="0" w:color="auto"/>
      </w:divBdr>
    </w:div>
    <w:div w:id="454719911">
      <w:bodyDiv w:val="1"/>
      <w:marLeft w:val="0"/>
      <w:marRight w:val="0"/>
      <w:marTop w:val="0"/>
      <w:marBottom w:val="0"/>
      <w:divBdr>
        <w:top w:val="none" w:sz="0" w:space="0" w:color="auto"/>
        <w:left w:val="none" w:sz="0" w:space="0" w:color="auto"/>
        <w:bottom w:val="none" w:sz="0" w:space="0" w:color="auto"/>
        <w:right w:val="none" w:sz="0" w:space="0" w:color="auto"/>
      </w:divBdr>
    </w:div>
    <w:div w:id="599416717">
      <w:bodyDiv w:val="1"/>
      <w:marLeft w:val="0"/>
      <w:marRight w:val="0"/>
      <w:marTop w:val="0"/>
      <w:marBottom w:val="0"/>
      <w:divBdr>
        <w:top w:val="none" w:sz="0" w:space="0" w:color="auto"/>
        <w:left w:val="none" w:sz="0" w:space="0" w:color="auto"/>
        <w:bottom w:val="none" w:sz="0" w:space="0" w:color="auto"/>
        <w:right w:val="none" w:sz="0" w:space="0" w:color="auto"/>
      </w:divBdr>
    </w:div>
    <w:div w:id="611979930">
      <w:bodyDiv w:val="1"/>
      <w:marLeft w:val="0"/>
      <w:marRight w:val="0"/>
      <w:marTop w:val="0"/>
      <w:marBottom w:val="0"/>
      <w:divBdr>
        <w:top w:val="none" w:sz="0" w:space="0" w:color="auto"/>
        <w:left w:val="none" w:sz="0" w:space="0" w:color="auto"/>
        <w:bottom w:val="none" w:sz="0" w:space="0" w:color="auto"/>
        <w:right w:val="none" w:sz="0" w:space="0" w:color="auto"/>
      </w:divBdr>
      <w:divsChild>
        <w:div w:id="536238958">
          <w:marLeft w:val="0"/>
          <w:marRight w:val="0"/>
          <w:marTop w:val="0"/>
          <w:marBottom w:val="0"/>
          <w:divBdr>
            <w:top w:val="none" w:sz="0" w:space="0" w:color="auto"/>
            <w:left w:val="none" w:sz="0" w:space="0" w:color="auto"/>
            <w:bottom w:val="none" w:sz="0" w:space="0" w:color="auto"/>
            <w:right w:val="none" w:sz="0" w:space="0" w:color="auto"/>
          </w:divBdr>
        </w:div>
        <w:div w:id="860896057">
          <w:marLeft w:val="0"/>
          <w:marRight w:val="0"/>
          <w:marTop w:val="0"/>
          <w:marBottom w:val="0"/>
          <w:divBdr>
            <w:top w:val="none" w:sz="0" w:space="0" w:color="auto"/>
            <w:left w:val="none" w:sz="0" w:space="0" w:color="auto"/>
            <w:bottom w:val="none" w:sz="0" w:space="0" w:color="auto"/>
            <w:right w:val="none" w:sz="0" w:space="0" w:color="auto"/>
          </w:divBdr>
        </w:div>
        <w:div w:id="482819919">
          <w:marLeft w:val="0"/>
          <w:marRight w:val="0"/>
          <w:marTop w:val="0"/>
          <w:marBottom w:val="0"/>
          <w:divBdr>
            <w:top w:val="none" w:sz="0" w:space="0" w:color="auto"/>
            <w:left w:val="none" w:sz="0" w:space="0" w:color="auto"/>
            <w:bottom w:val="none" w:sz="0" w:space="0" w:color="auto"/>
            <w:right w:val="none" w:sz="0" w:space="0" w:color="auto"/>
          </w:divBdr>
        </w:div>
        <w:div w:id="1461341617">
          <w:marLeft w:val="0"/>
          <w:marRight w:val="0"/>
          <w:marTop w:val="0"/>
          <w:marBottom w:val="0"/>
          <w:divBdr>
            <w:top w:val="none" w:sz="0" w:space="0" w:color="auto"/>
            <w:left w:val="none" w:sz="0" w:space="0" w:color="auto"/>
            <w:bottom w:val="none" w:sz="0" w:space="0" w:color="auto"/>
            <w:right w:val="none" w:sz="0" w:space="0" w:color="auto"/>
          </w:divBdr>
        </w:div>
        <w:div w:id="236403551">
          <w:marLeft w:val="0"/>
          <w:marRight w:val="0"/>
          <w:marTop w:val="0"/>
          <w:marBottom w:val="0"/>
          <w:divBdr>
            <w:top w:val="none" w:sz="0" w:space="0" w:color="auto"/>
            <w:left w:val="none" w:sz="0" w:space="0" w:color="auto"/>
            <w:bottom w:val="none" w:sz="0" w:space="0" w:color="auto"/>
            <w:right w:val="none" w:sz="0" w:space="0" w:color="auto"/>
          </w:divBdr>
        </w:div>
        <w:div w:id="900017830">
          <w:marLeft w:val="0"/>
          <w:marRight w:val="0"/>
          <w:marTop w:val="0"/>
          <w:marBottom w:val="0"/>
          <w:divBdr>
            <w:top w:val="none" w:sz="0" w:space="0" w:color="auto"/>
            <w:left w:val="none" w:sz="0" w:space="0" w:color="auto"/>
            <w:bottom w:val="none" w:sz="0" w:space="0" w:color="auto"/>
            <w:right w:val="none" w:sz="0" w:space="0" w:color="auto"/>
          </w:divBdr>
        </w:div>
      </w:divsChild>
    </w:div>
    <w:div w:id="621032009">
      <w:bodyDiv w:val="1"/>
      <w:marLeft w:val="0"/>
      <w:marRight w:val="0"/>
      <w:marTop w:val="0"/>
      <w:marBottom w:val="0"/>
      <w:divBdr>
        <w:top w:val="none" w:sz="0" w:space="0" w:color="auto"/>
        <w:left w:val="none" w:sz="0" w:space="0" w:color="auto"/>
        <w:bottom w:val="none" w:sz="0" w:space="0" w:color="auto"/>
        <w:right w:val="none" w:sz="0" w:space="0" w:color="auto"/>
      </w:divBdr>
    </w:div>
    <w:div w:id="634720459">
      <w:bodyDiv w:val="1"/>
      <w:marLeft w:val="0"/>
      <w:marRight w:val="0"/>
      <w:marTop w:val="0"/>
      <w:marBottom w:val="0"/>
      <w:divBdr>
        <w:top w:val="none" w:sz="0" w:space="0" w:color="auto"/>
        <w:left w:val="none" w:sz="0" w:space="0" w:color="auto"/>
        <w:bottom w:val="none" w:sz="0" w:space="0" w:color="auto"/>
        <w:right w:val="none" w:sz="0" w:space="0" w:color="auto"/>
      </w:divBdr>
    </w:div>
    <w:div w:id="824785013">
      <w:bodyDiv w:val="1"/>
      <w:marLeft w:val="0"/>
      <w:marRight w:val="0"/>
      <w:marTop w:val="0"/>
      <w:marBottom w:val="0"/>
      <w:divBdr>
        <w:top w:val="none" w:sz="0" w:space="0" w:color="auto"/>
        <w:left w:val="none" w:sz="0" w:space="0" w:color="auto"/>
        <w:bottom w:val="none" w:sz="0" w:space="0" w:color="auto"/>
        <w:right w:val="none" w:sz="0" w:space="0" w:color="auto"/>
      </w:divBdr>
    </w:div>
    <w:div w:id="944847386">
      <w:bodyDiv w:val="1"/>
      <w:marLeft w:val="0"/>
      <w:marRight w:val="0"/>
      <w:marTop w:val="0"/>
      <w:marBottom w:val="0"/>
      <w:divBdr>
        <w:top w:val="none" w:sz="0" w:space="0" w:color="auto"/>
        <w:left w:val="none" w:sz="0" w:space="0" w:color="auto"/>
        <w:bottom w:val="none" w:sz="0" w:space="0" w:color="auto"/>
        <w:right w:val="none" w:sz="0" w:space="0" w:color="auto"/>
      </w:divBdr>
    </w:div>
    <w:div w:id="1056198123">
      <w:bodyDiv w:val="1"/>
      <w:marLeft w:val="0"/>
      <w:marRight w:val="0"/>
      <w:marTop w:val="0"/>
      <w:marBottom w:val="0"/>
      <w:divBdr>
        <w:top w:val="none" w:sz="0" w:space="0" w:color="auto"/>
        <w:left w:val="none" w:sz="0" w:space="0" w:color="auto"/>
        <w:bottom w:val="none" w:sz="0" w:space="0" w:color="auto"/>
        <w:right w:val="none" w:sz="0" w:space="0" w:color="auto"/>
      </w:divBdr>
    </w:div>
    <w:div w:id="1087120263">
      <w:bodyDiv w:val="1"/>
      <w:marLeft w:val="0"/>
      <w:marRight w:val="0"/>
      <w:marTop w:val="0"/>
      <w:marBottom w:val="0"/>
      <w:divBdr>
        <w:top w:val="none" w:sz="0" w:space="0" w:color="auto"/>
        <w:left w:val="none" w:sz="0" w:space="0" w:color="auto"/>
        <w:bottom w:val="none" w:sz="0" w:space="0" w:color="auto"/>
        <w:right w:val="none" w:sz="0" w:space="0" w:color="auto"/>
      </w:divBdr>
    </w:div>
    <w:div w:id="1356007150">
      <w:bodyDiv w:val="1"/>
      <w:marLeft w:val="0"/>
      <w:marRight w:val="0"/>
      <w:marTop w:val="0"/>
      <w:marBottom w:val="0"/>
      <w:divBdr>
        <w:top w:val="none" w:sz="0" w:space="0" w:color="auto"/>
        <w:left w:val="none" w:sz="0" w:space="0" w:color="auto"/>
        <w:bottom w:val="none" w:sz="0" w:space="0" w:color="auto"/>
        <w:right w:val="none" w:sz="0" w:space="0" w:color="auto"/>
      </w:divBdr>
    </w:div>
    <w:div w:id="1425951379">
      <w:bodyDiv w:val="1"/>
      <w:marLeft w:val="0"/>
      <w:marRight w:val="0"/>
      <w:marTop w:val="0"/>
      <w:marBottom w:val="0"/>
      <w:divBdr>
        <w:top w:val="none" w:sz="0" w:space="0" w:color="auto"/>
        <w:left w:val="none" w:sz="0" w:space="0" w:color="auto"/>
        <w:bottom w:val="none" w:sz="0" w:space="0" w:color="auto"/>
        <w:right w:val="none" w:sz="0" w:space="0" w:color="auto"/>
      </w:divBdr>
    </w:div>
    <w:div w:id="1650793050">
      <w:bodyDiv w:val="1"/>
      <w:marLeft w:val="0"/>
      <w:marRight w:val="0"/>
      <w:marTop w:val="0"/>
      <w:marBottom w:val="0"/>
      <w:divBdr>
        <w:top w:val="none" w:sz="0" w:space="0" w:color="auto"/>
        <w:left w:val="none" w:sz="0" w:space="0" w:color="auto"/>
        <w:bottom w:val="none" w:sz="0" w:space="0" w:color="auto"/>
        <w:right w:val="none" w:sz="0" w:space="0" w:color="auto"/>
      </w:divBdr>
    </w:div>
    <w:div w:id="1665088035">
      <w:bodyDiv w:val="1"/>
      <w:marLeft w:val="0"/>
      <w:marRight w:val="0"/>
      <w:marTop w:val="0"/>
      <w:marBottom w:val="0"/>
      <w:divBdr>
        <w:top w:val="none" w:sz="0" w:space="0" w:color="auto"/>
        <w:left w:val="none" w:sz="0" w:space="0" w:color="auto"/>
        <w:bottom w:val="none" w:sz="0" w:space="0" w:color="auto"/>
        <w:right w:val="none" w:sz="0" w:space="0" w:color="auto"/>
      </w:divBdr>
    </w:div>
    <w:div w:id="1703899722">
      <w:bodyDiv w:val="1"/>
      <w:marLeft w:val="0"/>
      <w:marRight w:val="0"/>
      <w:marTop w:val="0"/>
      <w:marBottom w:val="0"/>
      <w:divBdr>
        <w:top w:val="none" w:sz="0" w:space="0" w:color="auto"/>
        <w:left w:val="none" w:sz="0" w:space="0" w:color="auto"/>
        <w:bottom w:val="none" w:sz="0" w:space="0" w:color="auto"/>
        <w:right w:val="none" w:sz="0" w:space="0" w:color="auto"/>
      </w:divBdr>
    </w:div>
    <w:div w:id="1770352336">
      <w:bodyDiv w:val="1"/>
      <w:marLeft w:val="0"/>
      <w:marRight w:val="0"/>
      <w:marTop w:val="0"/>
      <w:marBottom w:val="0"/>
      <w:divBdr>
        <w:top w:val="none" w:sz="0" w:space="0" w:color="auto"/>
        <w:left w:val="none" w:sz="0" w:space="0" w:color="auto"/>
        <w:bottom w:val="none" w:sz="0" w:space="0" w:color="auto"/>
        <w:right w:val="none" w:sz="0" w:space="0" w:color="auto"/>
      </w:divBdr>
    </w:div>
    <w:div w:id="1837837438">
      <w:bodyDiv w:val="1"/>
      <w:marLeft w:val="0"/>
      <w:marRight w:val="0"/>
      <w:marTop w:val="0"/>
      <w:marBottom w:val="0"/>
      <w:divBdr>
        <w:top w:val="none" w:sz="0" w:space="0" w:color="auto"/>
        <w:left w:val="none" w:sz="0" w:space="0" w:color="auto"/>
        <w:bottom w:val="none" w:sz="0" w:space="0" w:color="auto"/>
        <w:right w:val="none" w:sz="0" w:space="0" w:color="auto"/>
      </w:divBdr>
    </w:div>
    <w:div w:id="1990087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header" Target="header2.xml"/><Relationship Id="rId34" Type="http://schemas.openxmlformats.org/officeDocument/2006/relationships/image" Target="media/image25.emf"/><Relationship Id="rId42" Type="http://schemas.openxmlformats.org/officeDocument/2006/relationships/image" Target="media/image310.jp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congresocol.gob.mx/web/Sistema/uploads/LegislacionEstatal/LeyesEstatales/administracion_publica_29sept2015.pdf" TargetMode="External"/><Relationship Id="rId63" Type="http://schemas.openxmlformats.org/officeDocument/2006/relationships/hyperlink" Target="http://ppef.hacienda.gob.mx/work/models/PPEF/2018/estructura_programatica/1_EstructurasProgramaticas_paraPPEF2018.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0.jpg"/><Relationship Id="rId53" Type="http://schemas.openxmlformats.org/officeDocument/2006/relationships/hyperlink" Target="http://dof.gob.mx/nota_detalle.php?codigo=5475356&amp;fecha=06/03/2017" TargetMode="External"/><Relationship Id="rId58" Type="http://schemas.openxmlformats.org/officeDocument/2006/relationships/hyperlink" Target="http://www.sedesol.gob.mx/work/models/SEDESOL/Sedesol/sppe/upri/dgapl/fais/PDFS/Lineamientos/VC/Lineamientos_FAIS_2014_0214_DOF-VC.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0.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hyperlink" Target="http://legismex.mty.itesm.mx/estados/ley-col/COL-L-ObPub2017_09.pdf" TargetMode="External"/><Relationship Id="rId61" Type="http://schemas.openxmlformats.org/officeDocument/2006/relationships/hyperlink" Target="http://www.sedesol.gob.mx/work/models/SEDESOL/Sedesol/sppe/upri/dgapl/fais/PDFS/Lineamientos/VI/Lineamientos_FAIS_2016_0331_DOF_Int.pdf" TargetMode="External"/><Relationship Id="rId10" Type="http://schemas.openxmlformats.org/officeDocument/2006/relationships/image" Target="media/image5.png"/><Relationship Id="rId19" Type="http://schemas.openxmlformats.org/officeDocument/2006/relationships/header" Target="header1.xml"/><Relationship Id="rId31" Type="http://schemas.openxmlformats.org/officeDocument/2006/relationships/image" Target="media/image23.emf"/><Relationship Id="rId44" Type="http://schemas.openxmlformats.org/officeDocument/2006/relationships/image" Target="media/image33.jpg"/><Relationship Id="rId52" Type="http://schemas.openxmlformats.org/officeDocument/2006/relationships/hyperlink" Target="https://www.coneval.org.mx/rw/resource/coneval/info_public/PDF_PUBLICACIONES/Ramo_33_PDF_02032011.pdf" TargetMode="External"/><Relationship Id="rId60" Type="http://schemas.openxmlformats.org/officeDocument/2006/relationships/hyperlink" Target="http://www.sedesol.gob.mx/work/models/SEDESOL/Sedesol/sppe/upri/dgapl/fais/PDFS/Lineamientos/VI/Lineamientos_FAIS_2015_0312_DOF-Int.pdf" TargetMode="External"/><Relationship Id="rId65" Type="http://schemas.openxmlformats.org/officeDocument/2006/relationships/hyperlink" Target="https://www.gob.mx/cms/uploads/attachment/file/56904/Gu_a_para_la_Optimizaci_n__Estandarizaci_n_y_Mejora_Continua_de_Procesos.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oleObject" Target="embeddings/oleObject2.bin"/><Relationship Id="rId43" Type="http://schemas.openxmlformats.org/officeDocument/2006/relationships/image" Target="media/image32.jpg"/><Relationship Id="rId48" Type="http://schemas.openxmlformats.org/officeDocument/2006/relationships/image" Target="media/image36.png"/><Relationship Id="rId56" Type="http://schemas.openxmlformats.org/officeDocument/2006/relationships/hyperlink" Target="http://congresocol.gob.mx/web/Sistema/uploads/LegislacionEstatal/LeyesEstatales/administracion_publica_29sept2015.pdf" TargetMode="External"/><Relationship Id="rId64" Type="http://schemas.openxmlformats.org/officeDocument/2006/relationships/hyperlink" Target="http://www.apartados.hacienda.gob.mx/sed/html/docs/DirectricesSED.html" TargetMode="External"/><Relationship Id="rId8" Type="http://schemas.openxmlformats.org/officeDocument/2006/relationships/image" Target="media/image3.jpeg"/><Relationship Id="rId51" Type="http://schemas.openxmlformats.org/officeDocument/2006/relationships/hyperlink" Target="http://www.conac.gob.mx/work/models/CONAC/normatividad/NOR_01_02_004.pdf"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8.png"/><Relationship Id="rId46" Type="http://schemas.openxmlformats.org/officeDocument/2006/relationships/image" Target="media/image34.jpeg"/><Relationship Id="rId59" Type="http://schemas.openxmlformats.org/officeDocument/2006/relationships/hyperlink" Target="http://www.sedesol.gob.mx/work/models/SEDESOL/Sedesol/sppe/upri/dgapl/fais/PDFS/Lineamientos/VI/Lineamientos_FAIS_2014_0513_DOF-Int-Acuerdo_Modificatorio.pdf" TargetMode="External"/><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31.jpg"/><Relationship Id="rId54" Type="http://schemas.openxmlformats.org/officeDocument/2006/relationships/hyperlink" Target="http://dof.gob.mx/nota_detalle.php?codigo=5475356&amp;fecha=06/03/2017" TargetMode="External"/><Relationship Id="rId62" Type="http://schemas.openxmlformats.org/officeDocument/2006/relationships/hyperlink" Target="http://www.pef.hacienda.gob.mx/work/models/PEF2017/docs/33/r33_ep.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b.mx/sedesol/documentos/informe-anual-sobre-la-situacion-de-pobreza-y-rezago-soci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tif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13.tiff"/><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D811E-3A7E-4AFD-A85F-AC6768D27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89</Pages>
  <Words>19949</Words>
  <Characters>109723</Characters>
  <Application>Microsoft Office Word</Application>
  <DocSecurity>0</DocSecurity>
  <Lines>914</Lines>
  <Paragraphs>258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129414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Usuario de Windows</cp:lastModifiedBy>
  <cp:revision>5</cp:revision>
  <cp:lastPrinted>2018-04-12T00:07:00Z</cp:lastPrinted>
  <dcterms:created xsi:type="dcterms:W3CDTF">2018-05-14T16:10:00Z</dcterms:created>
  <dcterms:modified xsi:type="dcterms:W3CDTF">2018-06-06T15:53:00Z</dcterms:modified>
</cp:coreProperties>
</file>